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XGBoost Model</w:t>
      </w:r>
    </w:p>
    <w:p>
      <w:r>
        <w:rPr>
          <w:b/>
        </w:rPr>
        <w:t xml:space="preserve">XGBoost (Extreme Gradient Boosting) </w:t>
      </w:r>
      <w:r>
        <w:t>is an ensemble machine-learning classification algorithm that builds decision trees sequentially, with each new tree learning to reduce errors made by the existing ensemble. It is well suited for structured numerical data such as VANET Basic Safety Message (BSM) data because it can learn complex, non-linear relationships between vehicle and communication features.</w:t>
      </w:r>
    </w:p>
    <w:p>
      <w:r>
        <w:rPr>
          <w:b/>
        </w:rPr>
        <w:t xml:space="preserve">Working Principle: </w:t>
      </w:r>
      <w:r>
        <w:t>XGBoost trains a sequence of decision trees using gradient boosting. Each subsequent tree focuses on improving the objective function, while regularization helps control model complexity. The final binary prediction estimates whether a BSM record is Genuine (0) or Attack (1).</w:t>
      </w:r>
    </w:p>
    <w:p>
      <w:r>
        <w:rPr>
          <w:b/>
        </w:rPr>
        <w:t xml:space="preserve">Dataset and Experimental Setup: </w:t>
      </w:r>
      <w:r>
        <w:t>The provided two_bsm_clean.csv dataset contained 9,049 records and 64 columns. After excluding the target label and metadata columns (attack_type, reported_id, and fold), 60 input features were used. The label column was the binary target (0 = Genuine; 1 = Attack). The dataset contained 8,902 attack samples and 147 genuine samples. The predefined five-fold structure was used: each fold served as the test set once, with the remaining folds used for training. Class imbalance was addressed using scale_pos_weight calculated from the training partition only. The reported metrics below aggregate out-of-fold predictions across all five folds.</w:t>
      </w:r>
    </w:p>
    <w:p>
      <w:r>
        <w:rPr>
          <w:b/>
        </w:rPr>
        <w:t xml:space="preserve">Model Configuration: </w:t>
      </w:r>
      <w:r>
        <w:t>XGBClassifier with 300 estimators, maximum tree depth 5, learning rate 0.05, subsample 0.8, colsample_bytree 0.8, binary logistic objective, log-loss evaluation metric, and random_state 42. The metadata columns were not used as model inputs.</w:t>
      </w:r>
    </w:p>
    <w:p>
      <w:pPr>
        <w:pStyle w:val="Heading1"/>
      </w:pPr>
      <w:r>
        <w:t>XGBoost Evaluation Results</w:t>
      </w:r>
    </w:p>
    <w:p>
      <w:pPr>
        <w:pStyle w:val="ListBullet"/>
        <w:ind w:left="360"/>
      </w:pPr>
      <w:r>
        <w:rPr>
          <w:b/>
        </w:rPr>
        <w:t xml:space="preserve">Accuracy: </w:t>
      </w:r>
      <w:r>
        <w:t>97.01%</w:t>
      </w:r>
    </w:p>
    <w:p>
      <w:pPr>
        <w:pStyle w:val="ListBullet"/>
        <w:ind w:left="360"/>
      </w:pPr>
      <w:r>
        <w:rPr>
          <w:b/>
        </w:rPr>
        <w:t xml:space="preserve">Attack-class precision: </w:t>
      </w:r>
      <w:r>
        <w:t>99.06%</w:t>
      </w:r>
    </w:p>
    <w:p>
      <w:pPr>
        <w:pStyle w:val="ListBullet"/>
        <w:ind w:left="360"/>
      </w:pPr>
      <w:r>
        <w:rPr>
          <w:b/>
        </w:rPr>
        <w:t xml:space="preserve">Attack-class recall: </w:t>
      </w:r>
      <w:r>
        <w:t>97.89%</w:t>
      </w:r>
    </w:p>
    <w:p>
      <w:pPr>
        <w:pStyle w:val="ListBullet"/>
        <w:ind w:left="360"/>
      </w:pPr>
      <w:r>
        <w:rPr>
          <w:b/>
        </w:rPr>
        <w:t xml:space="preserve">Attack-class F1-score: </w:t>
      </w:r>
      <w:r>
        <w:t>98.47%</w:t>
      </w:r>
    </w:p>
    <w:p>
      <w:pPr>
        <w:pStyle w:val="ListBullet"/>
        <w:ind w:left="360"/>
      </w:pPr>
      <w:r>
        <w:rPr>
          <w:b/>
        </w:rPr>
        <w:t xml:space="preserve">PR-AUC (Average Precision): </w:t>
      </w:r>
      <w:r>
        <w:t>99.94%</w:t>
      </w:r>
    </w:p>
    <w:p>
      <w:pPr>
        <w:pStyle w:val="ListBullet"/>
        <w:ind w:left="360"/>
      </w:pPr>
      <w:r>
        <w:rPr>
          <w:b/>
        </w:rPr>
        <w:t xml:space="preserve">ROC-AUC: </w:t>
      </w:r>
      <w:r>
        <w:t>96.37%</w:t>
      </w:r>
    </w:p>
    <w:p>
      <w:pPr>
        <w:pStyle w:val="ListBullet"/>
        <w:ind w:left="360"/>
      </w:pPr>
      <w:r>
        <w:rPr>
          <w:b/>
        </w:rPr>
        <w:t xml:space="preserve">Balanced Accuracy: </w:t>
      </w:r>
      <w:r>
        <w:t>70.71%</w:t>
      </w:r>
    </w:p>
    <w:p>
      <w:pPr>
        <w:pStyle w:val="ListBullet"/>
        <w:ind w:left="360"/>
      </w:pPr>
      <w:r>
        <w:rPr>
          <w:b/>
        </w:rPr>
        <w:t xml:space="preserve">Specificity / Genuine-class recall: </w:t>
      </w:r>
      <w:r>
        <w:t>43.54%</w:t>
      </w:r>
    </w:p>
    <w:p>
      <w:pPr>
        <w:pStyle w:val="ListBullet"/>
        <w:ind w:left="360"/>
      </w:pPr>
      <w:r>
        <w:rPr>
          <w:b/>
        </w:rPr>
        <w:t xml:space="preserve">False Positive Rate (FPR): </w:t>
      </w:r>
      <w:r>
        <w:t>56.46%</w:t>
      </w:r>
    </w:p>
    <w:p>
      <w:pPr>
        <w:pStyle w:val="ListBullet"/>
        <w:ind w:left="360"/>
      </w:pPr>
      <w:r>
        <w:rPr>
          <w:b/>
        </w:rPr>
        <w:t xml:space="preserve">False Negative Rate (FNR): </w:t>
      </w:r>
      <w:r>
        <w:t>2.11%</w:t>
      </w:r>
    </w:p>
    <w:p>
      <w:pPr>
        <w:pStyle w:val="ListBullet"/>
        <w:ind w:left="360"/>
      </w:pPr>
      <w:r>
        <w:rPr>
          <w:b/>
        </w:rPr>
        <w:t xml:space="preserve">Correctly detected attacks: </w:t>
      </w:r>
      <w:r>
        <w:t>8,714 out of 8,902 (97.89%)</w:t>
      </w:r>
    </w:p>
    <w:p>
      <w:pPr>
        <w:pStyle w:val="ListBullet"/>
        <w:ind w:left="360"/>
      </w:pPr>
      <w:r>
        <w:rPr>
          <w:b/>
        </w:rPr>
        <w:t xml:space="preserve">Genuine samples correctly classified: </w:t>
      </w:r>
      <w:r>
        <w:t>64 out of 147</w:t>
      </w:r>
    </w:p>
    <w:p>
      <w:pPr>
        <w:pStyle w:val="ListBullet"/>
        <w:ind w:left="360"/>
      </w:pPr>
      <w:r>
        <w:rPr>
          <w:b/>
        </w:rPr>
        <w:t xml:space="preserve">Genuine samples incorrectly classified as attacks: </w:t>
      </w:r>
      <w:r>
        <w:t>83 out of 147</w:t>
      </w:r>
    </w:p>
    <w:p>
      <w:pPr>
        <w:pStyle w:val="Heading1"/>
      </w:pPr>
      <w:r>
        <w:t>Confusion Matrix</w:t>
      </w:r>
    </w:p>
    <w:p>
      <w:r>
        <w:t>Rows represent actual classes and columns represent predicted classes. Class order is Genuine (0), Attack (1).</w:t>
      </w:r>
    </w:p>
    <w:tbl>
      <w:tblPr>
        <w:tblStyle w:val="TableGrid"/>
        <w:tblW w:type="auto" w:w="0"/>
        <w:jc w:val="center"/>
        <w:tblLook w:firstColumn="1" w:firstRow="1" w:lastColumn="0" w:lastRow="0" w:noHBand="0" w:noVBand="1" w:val="04A0"/>
      </w:tblPr>
      <w:tblGrid>
        <w:gridCol w:w="3312"/>
        <w:gridCol w:w="3312"/>
        <w:gridCol w:w="3312"/>
      </w:tblGrid>
      <w:tr>
        <w:tc>
          <w:tcPr>
            <w:tcW w:type="dxa" w:w="3312"/>
            <w:vAlign w:val="center"/>
          </w:tcPr>
          <w:p>
            <w:r>
              <w:rPr>
                <w:b/>
              </w:rPr>
              <w:t>Actual \ Predicted</w:t>
            </w:r>
          </w:p>
        </w:tc>
        <w:tc>
          <w:tcPr>
            <w:tcW w:type="dxa" w:w="3312"/>
            <w:vAlign w:val="center"/>
          </w:tcPr>
          <w:p>
            <w:r>
              <w:rPr>
                <w:b/>
              </w:rPr>
              <w:t>Genuine (0)</w:t>
            </w:r>
          </w:p>
        </w:tc>
        <w:tc>
          <w:tcPr>
            <w:tcW w:type="dxa" w:w="3312"/>
            <w:vAlign w:val="center"/>
          </w:tcPr>
          <w:p>
            <w:r>
              <w:rPr>
                <w:b/>
              </w:rPr>
              <w:t>Attack (1)</w:t>
            </w:r>
          </w:p>
        </w:tc>
      </w:tr>
      <w:tr>
        <w:tc>
          <w:tcPr>
            <w:tcW w:type="dxa" w:w="3312"/>
            <w:vAlign w:val="center"/>
          </w:tcPr>
          <w:p>
            <w:r>
              <w:rPr>
                <w:b/>
              </w:rPr>
              <w:t>Genuine (0)</w:t>
            </w:r>
          </w:p>
        </w:tc>
        <w:tc>
          <w:tcPr>
            <w:tcW w:type="dxa" w:w="3312"/>
            <w:vAlign w:val="center"/>
          </w:tcPr>
          <w:p>
            <w:r>
              <w:t>64</w:t>
            </w:r>
          </w:p>
        </w:tc>
        <w:tc>
          <w:tcPr>
            <w:tcW w:type="dxa" w:w="3312"/>
            <w:vAlign w:val="center"/>
          </w:tcPr>
          <w:p>
            <w:r>
              <w:t>83</w:t>
            </w:r>
          </w:p>
        </w:tc>
      </w:tr>
      <w:tr>
        <w:tc>
          <w:tcPr>
            <w:tcW w:type="dxa" w:w="3312"/>
            <w:vAlign w:val="center"/>
          </w:tcPr>
          <w:p>
            <w:r>
              <w:rPr>
                <w:b/>
              </w:rPr>
              <w:t>Attack (1)</w:t>
            </w:r>
          </w:p>
        </w:tc>
        <w:tc>
          <w:tcPr>
            <w:tcW w:type="dxa" w:w="3312"/>
            <w:vAlign w:val="center"/>
          </w:tcPr>
          <w:p>
            <w:r>
              <w:t>188</w:t>
            </w:r>
          </w:p>
        </w:tc>
        <w:tc>
          <w:tcPr>
            <w:tcW w:type="dxa" w:w="3312"/>
            <w:vAlign w:val="center"/>
          </w:tcPr>
          <w:p>
            <w:r>
              <w:t>8,714</w:t>
            </w:r>
          </w:p>
        </w:tc>
      </w:tr>
    </w:tbl>
    <w:p>
      <w:pPr>
        <w:pStyle w:val="Heading1"/>
      </w:pPr>
      <w:r>
        <w:t>Per-Class Performance</w:t>
      </w:r>
    </w:p>
    <w:tbl>
      <w:tblPr>
        <w:tblStyle w:val="TableGrid"/>
        <w:tblW w:type="auto" w:w="0"/>
        <w:jc w:val="center"/>
        <w:tblLook w:firstColumn="1" w:firstRow="1" w:lastColumn="0" w:lastRow="0" w:noHBand="0" w:noVBand="1" w:val="04A0"/>
      </w:tblPr>
      <w:tblGrid>
        <w:gridCol w:w="1987"/>
        <w:gridCol w:w="1987"/>
        <w:gridCol w:w="1987"/>
        <w:gridCol w:w="1987"/>
        <w:gridCol w:w="1987"/>
      </w:tblGrid>
      <w:tr>
        <w:tc>
          <w:tcPr>
            <w:tcW w:type="dxa" w:w="1987"/>
            <w:vAlign w:val="center"/>
          </w:tcPr>
          <w:p>
            <w:r>
              <w:rPr>
                <w:b/>
              </w:rPr>
              <w:t>Class</w:t>
            </w:r>
          </w:p>
        </w:tc>
        <w:tc>
          <w:tcPr>
            <w:tcW w:type="dxa" w:w="1987"/>
            <w:vAlign w:val="center"/>
          </w:tcPr>
          <w:p>
            <w:r>
              <w:rPr>
                <w:b/>
              </w:rPr>
              <w:t>Precision</w:t>
            </w:r>
          </w:p>
        </w:tc>
        <w:tc>
          <w:tcPr>
            <w:tcW w:type="dxa" w:w="1987"/>
            <w:vAlign w:val="center"/>
          </w:tcPr>
          <w:p>
            <w:r>
              <w:rPr>
                <w:b/>
              </w:rPr>
              <w:t>Recall</w:t>
            </w:r>
          </w:p>
        </w:tc>
        <w:tc>
          <w:tcPr>
            <w:tcW w:type="dxa" w:w="1987"/>
            <w:vAlign w:val="center"/>
          </w:tcPr>
          <w:p>
            <w:r>
              <w:rPr>
                <w:b/>
              </w:rPr>
              <w:t>F1-score</w:t>
            </w:r>
          </w:p>
        </w:tc>
        <w:tc>
          <w:tcPr>
            <w:tcW w:type="dxa" w:w="1987"/>
            <w:vAlign w:val="center"/>
          </w:tcPr>
          <w:p>
            <w:r>
              <w:rPr>
                <w:b/>
              </w:rPr>
              <w:t>Support</w:t>
            </w:r>
          </w:p>
        </w:tc>
      </w:tr>
      <w:tr>
        <w:tc>
          <w:tcPr>
            <w:tcW w:type="dxa" w:w="1987"/>
            <w:vAlign w:val="center"/>
          </w:tcPr>
          <w:p>
            <w:r>
              <w:t>Genuine (0)</w:t>
            </w:r>
          </w:p>
        </w:tc>
        <w:tc>
          <w:tcPr>
            <w:tcW w:type="dxa" w:w="1987"/>
            <w:vAlign w:val="center"/>
          </w:tcPr>
          <w:p>
            <w:r>
              <w:t>25.40%</w:t>
            </w:r>
          </w:p>
        </w:tc>
        <w:tc>
          <w:tcPr>
            <w:tcW w:type="dxa" w:w="1987"/>
            <w:vAlign w:val="center"/>
          </w:tcPr>
          <w:p>
            <w:r>
              <w:t>43.54%</w:t>
            </w:r>
          </w:p>
        </w:tc>
        <w:tc>
          <w:tcPr>
            <w:tcW w:type="dxa" w:w="1987"/>
            <w:vAlign w:val="center"/>
          </w:tcPr>
          <w:p>
            <w:r>
              <w:t>32.07%</w:t>
            </w:r>
          </w:p>
        </w:tc>
        <w:tc>
          <w:tcPr>
            <w:tcW w:type="dxa" w:w="1987"/>
            <w:vAlign w:val="center"/>
          </w:tcPr>
          <w:p>
            <w:r>
              <w:t>147</w:t>
            </w:r>
          </w:p>
        </w:tc>
      </w:tr>
      <w:tr>
        <w:tc>
          <w:tcPr>
            <w:tcW w:type="dxa" w:w="1987"/>
            <w:vAlign w:val="center"/>
          </w:tcPr>
          <w:p>
            <w:r>
              <w:t>Attack (1)</w:t>
            </w:r>
          </w:p>
        </w:tc>
        <w:tc>
          <w:tcPr>
            <w:tcW w:type="dxa" w:w="1987"/>
            <w:vAlign w:val="center"/>
          </w:tcPr>
          <w:p>
            <w:r>
              <w:t>99.06%</w:t>
            </w:r>
          </w:p>
        </w:tc>
        <w:tc>
          <w:tcPr>
            <w:tcW w:type="dxa" w:w="1987"/>
            <w:vAlign w:val="center"/>
          </w:tcPr>
          <w:p>
            <w:r>
              <w:t>97.89%</w:t>
            </w:r>
          </w:p>
        </w:tc>
        <w:tc>
          <w:tcPr>
            <w:tcW w:type="dxa" w:w="1987"/>
            <w:vAlign w:val="center"/>
          </w:tcPr>
          <w:p>
            <w:r>
              <w:t>98.47%</w:t>
            </w:r>
          </w:p>
        </w:tc>
        <w:tc>
          <w:tcPr>
            <w:tcW w:type="dxa" w:w="1987"/>
            <w:vAlign w:val="center"/>
          </w:tcPr>
          <w:p>
            <w:r>
              <w:t>8,902</w:t>
            </w:r>
          </w:p>
        </w:tc>
      </w:tr>
    </w:tbl>
    <w:p>
      <w:r>
        <w:rPr>
          <w:b/>
        </w:rPr>
        <w:t xml:space="preserve">Additional aggregate metrics: </w:t>
      </w:r>
      <w:r>
        <w:t>Macro F1-score = 65.27%; weighted F1-score = 97.39%.</w:t>
      </w:r>
    </w:p>
    <w:p>
      <w:pPr>
        <w:pStyle w:val="Heading1"/>
      </w:pPr>
      <w:r>
        <w:t>Result Interpretation</w:t>
      </w:r>
    </w:p>
    <w:p>
      <w:r>
        <w:t>XGBoost achieved 97.01% overall accuracy and detected 8,714 of the 8,902 attack records in the out-of-fold evaluation. Attack-class precision was 99.06%, attack recall was 97.89%, and PR-AUC was 99.94%. These results indicate strong performance on the majority attack class.</w:t>
      </w:r>
    </w:p>
    <w:p>
      <w:r>
        <w:t>However, the dataset is highly imbalanced: attack samples account for approximately 98.38% of all records. The model correctly classified only 64 of 147 genuine records and incorrectly flagged 83 genuine records as attacks. Genuine-class recall (specificity when attack is the positive class) was 43.54%, and the false-positive rate was 56.46%. Therefore, the overall accuracy and attack metrics alone do not demonstrate balanced performance across both classes.</w:t>
      </w:r>
    </w:p>
    <w:p>
      <w:r>
        <w:t>The predefined folds also have an uneven distribution of genuine samples: fold 2 contains no genuine test samples, and fold 4 contains only five. As a result, some fold-level class metrics are unstable. The aggregate out-of-fold confusion matrix includes all 147 genuine records, but the fold structure should be considered when interpreting the results. Threshold tuning on validation data, careful cross-validation, and additional evaluation on an independently collected dataset are recommended.</w:t>
      </w:r>
    </w:p>
    <w:p>
      <w:pPr>
        <w:pStyle w:val="Heading1"/>
      </w:pPr>
      <w:r>
        <w:t>Important Dataset Note</w:t>
      </w:r>
    </w:p>
    <w:p>
      <w:r>
        <w:t>The uploaded two_bsm_clean.csv file used for this report contains 9,049 records, whereas the supplied Random Forest reference report states 8,931 records. These are different dataset totals, so the model results should not be treated as a strict head-to-head comparison unless both models are evaluated on the same exact file, feature handling, and partitions.</w:t>
      </w:r>
    </w:p>
    <w:p>
      <w:pPr>
        <w:pStyle w:val="Heading1"/>
      </w:pPr>
      <w:r>
        <w:t>Conclusion</w:t>
      </w:r>
    </w:p>
    <w:p>
      <w:r>
        <w:t>XGBoost provides a strong baseline for identifying attack traffic in this VANET BSM dataset, particularly for the majority attack class. Its lower genuine-class recall and elevated false-positive rate show that further work is needed before it can be considered reliable for deployment. Future experiments should prioritize balanced metrics, reduce false alarms, verify fold definitions, and compare models using identical leakage-safe evaluation protocols.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 xml:space="preserve">XGBoost VANET Evaluation Report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4E79"/>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b/>
      <w:color w:val="17365D" w:themeColor="text2" w:themeShade="BF"/>
      <w:spacing w:val="5"/>
      <w:kern w:val="28"/>
      <w:sz w:val="4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