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Decision Tree Evaluation Report – VANET Sybil Attack Detection</w:t>
      </w:r>
    </w:p>
    <w:p>
      <w:pPr/>
      <w:r>
        <w:rPr>
          <w:b/>
        </w:rPr>
        <w:t xml:space="preserve">Decision Tree</w:t>
      </w:r>
      <w:r>
        <w:t xml:space="preserve"> is a supervised machine-learning classification algorithm that classifies a record by passing it through a sequence of yes/no tests on single features. Each test sends the record down one branch until it reaches a leaf, and the leaf gives the predicted class. It suits structured numerical data such as VANET Basic Safety Message (BSM) data because it handles non-linear thresholds, needs no feature scaling, and produces human-readable rules.</w:t>
      </w:r>
    </w:p>
    <w:p>
      <w:pPr/>
      <w:r>
        <w:rPr>
          <w:b/>
        </w:rPr>
        <w:t xml:space="preserve">Working Principle:</w:t>
      </w:r>
      <w:r>
        <w:t xml:space="preserve"> The tree is built with the CART algorithm. At every node it greedily chooses the feature and threshold that most reduce impurity (Gini or entropy) in the two child nodes, and it keeps splitting until a node is pure or a stopping rule (maximum depth, minimum samples per split or leaf) applies. The final binary prediction states whether a BSM record is Genuine (0) or Sybil (1). Unlike XGBoost, a single tree is one model, not an ensemble, so it is simple to interpret but more sensitive to small changes in the data.</w:t>
      </w:r>
    </w:p>
    <w:p>
      <w:pPr/>
      <w:r>
        <w:rPr>
          <w:b/>
        </w:rPr>
        <w:t xml:space="preserve">Dataset and Experimental Setup:</w:t>
      </w:r>
      <w:r>
        <w:t xml:space="preserve"> The task was restricted to Genuine versus Sybil traffic. From the 9,049 records in two_bsm_clean.csv, 1,442 were retained: 147 Genuine records (8 senders) and 1,295 Sybil records (763 senders, from DoSRandomSybil, GridSybil, DoSDisruptiveSybil and DataReplaySybil). The other 7,607 records from non-Sybil attack families were excluded and not relabelled. After removing the target and metadata columns (label, attack_type, source_label, row_id, reported_id, fold) and the absolute timestamps, 56 input features were used, including two missing-indicator features (bsm1_delay_was_missing and bsm2_delay_was_missing). The data were split 80/20 by whole sender (reported_id), so no sender appears in both partitions: 1,155 training records (119 Genuine, 1,036 Sybil) and 287 test records (28 Genuine, 259 Sybil). All metrics below are computed on this held-out test set. The test set was not used for fitting, tuning or model selection.</w:t>
      </w:r>
    </w:p>
    <w:p>
      <w:pPr/>
      <w:r>
        <w:rPr>
          <w:b/>
        </w:rPr>
        <w:t xml:space="preserve">Model Configuration:</w:t>
      </w:r>
      <w:r>
        <w:t xml:space="preserve"> DecisionTreeClassifier with maximum depth 10, min_samples_split 10, min_samples_leaf 10, entropy criterion, class_weight set to balanced, and random_state 42. This configuration was chosen from 62 candidate configurations using five-fold grouped cross-validation on the training data only, with each validation fold holding out one genuine sender and no sender shared between training and validation parts. The selection metric was macro F1-score on the pooled out-of-fold predictions. The fitted tree has depth 6 and 11 leaves. The metadata columns were not used as model inputs.</w:t>
      </w:r>
    </w:p>
    <w:p>
      <w:pPr>
        <w:pStyle w:val="Heading1"/>
      </w:pPr>
      <w:r>
        <w:t xml:space="preserve">Decision Tree Evaluation Results</w:t>
      </w:r>
    </w:p>
    <w:p>
      <w:pPr>
        <w:pStyle w:val="ListParagraph"/>
        <w:numPr>
          <w:ilvl w:val="0"/>
          <w:numId w:val="2"/>
        </w:numPr>
      </w:pPr>
      <w:r>
        <w:rPr>
          <w:b/>
        </w:rPr>
        <w:t xml:space="preserve">Accuracy:</w:t>
      </w:r>
      <w:r>
        <w:t xml:space="preserve"> 98.95%</w:t>
      </w:r>
    </w:p>
    <w:p>
      <w:pPr>
        <w:pStyle w:val="ListParagraph"/>
        <w:numPr>
          <w:ilvl w:val="0"/>
          <w:numId w:val="2"/>
        </w:numPr>
      </w:pPr>
      <w:r>
        <w:rPr>
          <w:b/>
        </w:rPr>
        <w:t xml:space="preserve">Sybil-class precision:</w:t>
      </w:r>
      <w:r>
        <w:t xml:space="preserve"> 99.23%</w:t>
      </w:r>
    </w:p>
    <w:p>
      <w:pPr>
        <w:pStyle w:val="ListParagraph"/>
        <w:numPr>
          <w:ilvl w:val="0"/>
          <w:numId w:val="2"/>
        </w:numPr>
      </w:pPr>
      <w:r>
        <w:rPr>
          <w:b/>
        </w:rPr>
        <w:t xml:space="preserve">Sybil-class recall:</w:t>
      </w:r>
      <w:r>
        <w:t xml:space="preserve"> 99.61%</w:t>
      </w:r>
    </w:p>
    <w:p>
      <w:pPr>
        <w:pStyle w:val="ListParagraph"/>
        <w:numPr>
          <w:ilvl w:val="0"/>
          <w:numId w:val="2"/>
        </w:numPr>
      </w:pPr>
      <w:r>
        <w:rPr>
          <w:b/>
        </w:rPr>
        <w:t xml:space="preserve">Sybil-class F1-score:</w:t>
      </w:r>
      <w:r>
        <w:t xml:space="preserve"> 99.42%</w:t>
      </w:r>
    </w:p>
    <w:p>
      <w:pPr>
        <w:pStyle w:val="ListParagraph"/>
        <w:numPr>
          <w:ilvl w:val="0"/>
          <w:numId w:val="2"/>
        </w:numPr>
      </w:pPr>
      <w:r>
        <w:rPr>
          <w:b/>
        </w:rPr>
        <w:t xml:space="preserve">PR-AUC (Average Precision):</w:t>
      </w:r>
      <w:r>
        <w:t xml:space="preserve"> 99.23%</w:t>
      </w:r>
    </w:p>
    <w:p>
      <w:pPr>
        <w:pStyle w:val="ListParagraph"/>
        <w:numPr>
          <w:ilvl w:val="0"/>
          <w:numId w:val="2"/>
        </w:numPr>
      </w:pPr>
      <w:r>
        <w:rPr>
          <w:b/>
        </w:rPr>
        <w:t xml:space="preserve">ROC-AUC:</w:t>
      </w:r>
      <w:r>
        <w:t xml:space="preserve"> 96.41%</w:t>
      </w:r>
    </w:p>
    <w:p>
      <w:pPr>
        <w:pStyle w:val="ListParagraph"/>
        <w:numPr>
          <w:ilvl w:val="0"/>
          <w:numId w:val="2"/>
        </w:numPr>
      </w:pPr>
      <w:r>
        <w:rPr>
          <w:b/>
        </w:rPr>
        <w:t xml:space="preserve">Balanced Accuracy:</w:t>
      </w:r>
      <w:r>
        <w:t xml:space="preserve"> 96.24%</w:t>
      </w:r>
    </w:p>
    <w:p>
      <w:pPr>
        <w:pStyle w:val="ListParagraph"/>
        <w:numPr>
          <w:ilvl w:val="0"/>
          <w:numId w:val="2"/>
        </w:numPr>
      </w:pPr>
      <w:r>
        <w:rPr>
          <w:b/>
        </w:rPr>
        <w:t xml:space="preserve">Matthews Correlation Coefficient:</w:t>
      </w:r>
      <w:r>
        <w:t xml:space="preserve"> 0.9399</w:t>
      </w:r>
    </w:p>
    <w:p>
      <w:pPr>
        <w:pStyle w:val="ListParagraph"/>
        <w:numPr>
          <w:ilvl w:val="0"/>
          <w:numId w:val="2"/>
        </w:numPr>
      </w:pPr>
      <w:r>
        <w:rPr>
          <w:b/>
        </w:rPr>
        <w:t xml:space="preserve">Specificity / Genuine-class recall:</w:t>
      </w:r>
      <w:r>
        <w:t xml:space="preserve"> 92.86%</w:t>
      </w:r>
    </w:p>
    <w:p>
      <w:pPr>
        <w:pStyle w:val="ListParagraph"/>
        <w:numPr>
          <w:ilvl w:val="0"/>
          <w:numId w:val="2"/>
        </w:numPr>
      </w:pPr>
      <w:r>
        <w:rPr>
          <w:b/>
        </w:rPr>
        <w:t xml:space="preserve">False Positive Rate (FPR):</w:t>
      </w:r>
      <w:r>
        <w:t xml:space="preserve"> 7.14%</w:t>
      </w:r>
    </w:p>
    <w:p>
      <w:pPr>
        <w:pStyle w:val="ListParagraph"/>
        <w:numPr>
          <w:ilvl w:val="0"/>
          <w:numId w:val="2"/>
        </w:numPr>
      </w:pPr>
      <w:r>
        <w:rPr>
          <w:b/>
        </w:rPr>
        <w:t xml:space="preserve">False Negative Rate (FNR):</w:t>
      </w:r>
      <w:r>
        <w:t xml:space="preserve"> 0.39%</w:t>
      </w:r>
    </w:p>
    <w:p>
      <w:pPr>
        <w:pStyle w:val="ListParagraph"/>
        <w:numPr>
          <w:ilvl w:val="0"/>
          <w:numId w:val="2"/>
        </w:numPr>
      </w:pPr>
      <w:r>
        <w:rPr>
          <w:b/>
        </w:rPr>
        <w:t xml:space="preserve">Correctly detected Sybil records:</w:t>
      </w:r>
      <w:r>
        <w:t xml:space="preserve"> 258 out of 259 (99.61%)</w:t>
      </w:r>
    </w:p>
    <w:p>
      <w:pPr>
        <w:pStyle w:val="ListParagraph"/>
        <w:numPr>
          <w:ilvl w:val="0"/>
          <w:numId w:val="2"/>
        </w:numPr>
      </w:pPr>
      <w:r>
        <w:rPr>
          <w:b/>
        </w:rPr>
        <w:t xml:space="preserve">Genuine samples correctly classified:</w:t>
      </w:r>
      <w:r>
        <w:t xml:space="preserve"> 26 out of 28</w:t>
      </w:r>
    </w:p>
    <w:p>
      <w:pPr>
        <w:pStyle w:val="ListParagraph"/>
        <w:numPr>
          <w:ilvl w:val="0"/>
          <w:numId w:val="2"/>
        </w:numPr>
      </w:pPr>
      <w:r>
        <w:rPr>
          <w:b/>
        </w:rPr>
        <w:t xml:space="preserve">Genuine samples incorrectly classified as Sybil:</w:t>
      </w:r>
      <w:r>
        <w:t xml:space="preserve"> 2 out of 28</w:t>
      </w:r>
    </w:p>
    <w:p>
      <w:pPr>
        <w:pStyle w:val="Heading1"/>
      </w:pPr>
      <w:r>
        <w:t xml:space="preserve">Confusion Matrix</w:t>
      </w:r>
    </w:p>
    <w:p>
      <w:pPr/>
      <w:r>
        <w:t xml:space="preserve">Rows represent actual classes and columns represent predicted classes. Class order is Genuine (0), Sybil (1).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Actual \ Predicted</w:t>
            </w:r>
          </w:p>
        </w:tc>
        <w:tc>
          <w:tcPr>
            <w:tcW w:w="3120" w:type="dxa"/>
            <w:shd w:val="clear" w:color="auto" w:fill="F2F2F2"/>
          </w:tcPr>
          <w:p>
            <w:pPr/>
            <w:r>
              <w:t xml:space="preserve">Genuine (0)</w:t>
            </w:r>
          </w:p>
        </w:tc>
        <w:tc>
          <w:tcPr>
            <w:tcW w:w="3120" w:type="dxa"/>
            <w:shd w:val="clear" w:color="auto" w:fill="F2F2F2"/>
          </w:tcPr>
          <w:p>
            <w:pPr/>
            <w:r>
              <w:t xml:space="preserve">Sybil (1)</w:t>
            </w:r>
          </w:p>
        </w:tc>
      </w:tr>
      <w:tr>
        <w:tc>
          <w:tcPr>
            <w:tcW w:w="3120" w:type="dxa"/>
          </w:tcPr>
          <w:p>
            <w:pPr/>
            <w:r>
              <w:rPr>
                <w:b/>
              </w:rPr>
              <w:t xml:space="preserve">Genuine (0)</w:t>
            </w:r>
          </w:p>
        </w:tc>
        <w:tc>
          <w:tcPr>
            <w:tcW w:w="3120" w:type="dxa"/>
          </w:tcPr>
          <w:p>
            <w:pPr/>
            <w:r>
              <w:t xml:space="preserve">26</w:t>
            </w:r>
          </w:p>
        </w:tc>
        <w:tc>
          <w:tcPr>
            <w:tcW w:w="3120" w:type="dxa"/>
          </w:tcPr>
          <w:p>
            <w:pPr/>
            <w:r>
              <w:t xml:space="preserve">2</w:t>
            </w:r>
          </w:p>
        </w:tc>
      </w:tr>
      <w:tr>
        <w:tc>
          <w:tcPr>
            <w:tcW w:w="3120" w:type="dxa"/>
          </w:tcPr>
          <w:p>
            <w:pPr/>
            <w:r>
              <w:rPr>
                <w:b/>
              </w:rPr>
              <w:t xml:space="preserve">Sybil (1)</w:t>
            </w:r>
          </w:p>
        </w:tc>
        <w:tc>
          <w:tcPr>
            <w:tcW w:w="3120" w:type="dxa"/>
          </w:tcPr>
          <w:p>
            <w:pPr/>
            <w:r>
              <w:t xml:space="preserve">1</w:t>
            </w:r>
          </w:p>
        </w:tc>
        <w:tc>
          <w:tcPr>
            <w:tcW w:w="3120" w:type="dxa"/>
          </w:tcPr>
          <w:p>
            <w:pPr/>
            <w:r>
              <w:t xml:space="preserve">258</w:t>
            </w:r>
          </w:p>
        </w:tc>
      </w:tr>
    </w:tbl>
    <w:p>
      <w:pPr>
        <w:pStyle w:val="Heading1"/>
      </w:pPr>
      <w:r>
        <w:t xml:space="preserve">Per-Class Performance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Class</w:t>
            </w:r>
          </w:p>
        </w:tc>
        <w:tc>
          <w:tcPr>
            <w:tcW w:w="1872" w:type="dxa"/>
            <w:shd w:val="clear" w:color="auto" w:fill="F2F2F2"/>
          </w:tcPr>
          <w:p>
            <w:pPr/>
            <w:r>
              <w:t xml:space="preserve">Precision</w:t>
            </w:r>
          </w:p>
        </w:tc>
        <w:tc>
          <w:tcPr>
            <w:tcW w:w="1872" w:type="dxa"/>
            <w:shd w:val="clear" w:color="auto" w:fill="F2F2F2"/>
          </w:tcPr>
          <w:p>
            <w:pPr/>
            <w:r>
              <w:t xml:space="preserve">Recall</w:t>
            </w:r>
          </w:p>
        </w:tc>
        <w:tc>
          <w:tcPr>
            <w:tcW w:w="1872" w:type="dxa"/>
            <w:shd w:val="clear" w:color="auto" w:fill="F2F2F2"/>
          </w:tcPr>
          <w:p>
            <w:pPr/>
            <w:r>
              <w:t xml:space="preserve">F1-score</w:t>
            </w:r>
          </w:p>
        </w:tc>
        <w:tc>
          <w:tcPr>
            <w:tcW w:w="1872" w:type="dxa"/>
            <w:shd w:val="clear" w:color="auto" w:fill="F2F2F2"/>
          </w:tcPr>
          <w:p>
            <w:pPr/>
            <w:r>
              <w:t xml:space="preserve">Support</w:t>
            </w:r>
          </w:p>
        </w:tc>
      </w:tr>
      <w:tr>
        <w:tc>
          <w:tcPr>
            <w:tcW w:w="1872" w:type="dxa"/>
          </w:tcPr>
          <w:p>
            <w:pPr/>
            <w:r>
              <w:t xml:space="preserve">Genuine (0)</w:t>
            </w:r>
          </w:p>
        </w:tc>
        <w:tc>
          <w:tcPr>
            <w:tcW w:w="1872" w:type="dxa"/>
          </w:tcPr>
          <w:p>
            <w:pPr/>
            <w:r>
              <w:t xml:space="preserve">96.30%</w:t>
            </w:r>
          </w:p>
        </w:tc>
        <w:tc>
          <w:tcPr>
            <w:tcW w:w="1872" w:type="dxa"/>
          </w:tcPr>
          <w:p>
            <w:pPr/>
            <w:r>
              <w:t xml:space="preserve">92.86%</w:t>
            </w:r>
          </w:p>
        </w:tc>
        <w:tc>
          <w:tcPr>
            <w:tcW w:w="1872" w:type="dxa"/>
          </w:tcPr>
          <w:p>
            <w:pPr/>
            <w:r>
              <w:t xml:space="preserve">94.55%</w:t>
            </w:r>
          </w:p>
        </w:tc>
        <w:tc>
          <w:tcPr>
            <w:tcW w:w="1872" w:type="dxa"/>
          </w:tcPr>
          <w:p>
            <w:pPr/>
            <w:r>
              <w:t xml:space="preserve">28</w:t>
            </w:r>
          </w:p>
        </w:tc>
      </w:tr>
      <w:tr>
        <w:tc>
          <w:tcPr>
            <w:tcW w:w="1872" w:type="dxa"/>
          </w:tcPr>
          <w:p>
            <w:pPr/>
            <w:r>
              <w:t xml:space="preserve">Sybil (1)</w:t>
            </w:r>
          </w:p>
        </w:tc>
        <w:tc>
          <w:tcPr>
            <w:tcW w:w="1872" w:type="dxa"/>
          </w:tcPr>
          <w:p>
            <w:pPr/>
            <w:r>
              <w:t xml:space="preserve">99.23%</w:t>
            </w:r>
          </w:p>
        </w:tc>
        <w:tc>
          <w:tcPr>
            <w:tcW w:w="1872" w:type="dxa"/>
          </w:tcPr>
          <w:p>
            <w:pPr/>
            <w:r>
              <w:t xml:space="preserve">99.61%</w:t>
            </w:r>
          </w:p>
        </w:tc>
        <w:tc>
          <w:tcPr>
            <w:tcW w:w="1872" w:type="dxa"/>
          </w:tcPr>
          <w:p>
            <w:pPr/>
            <w:r>
              <w:t xml:space="preserve">99.42%</w:t>
            </w:r>
          </w:p>
        </w:tc>
        <w:tc>
          <w:tcPr>
            <w:tcW w:w="1872" w:type="dxa"/>
          </w:tcPr>
          <w:p>
            <w:pPr/>
            <w:r>
              <w:t xml:space="preserve">259</w:t>
            </w:r>
          </w:p>
        </w:tc>
      </w:tr>
    </w:tbl>
    <w:p>
      <w:pPr/>
      <w:r>
        <w:rPr>
          <w:b/>
        </w:rPr>
        <w:t xml:space="preserve">Additional aggregate metrics:</w:t>
      </w:r>
      <w:r>
        <w:t xml:space="preserve"> Macro F1-score = 96.98%; weighted F1-score = 98.95%.</w:t>
      </w:r>
    </w:p>
    <w:p>
      <w:pPr>
        <w:pStyle w:val="Heading1"/>
      </w:pPr>
      <w:r>
        <w:t xml:space="preserve">Comparison of the Three Decision Tree Configurations</w:t>
      </w:r>
    </w:p>
    <w:p>
      <w:pPr/>
      <w:r>
        <w:t xml:space="preserve">All three trees were evaluated on the same unchanged test set. Sybil is the positive class.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Baseline (class_weight=None, unrestricted)</w:t>
            </w:r>
          </w:p>
        </w:tc>
        <w:tc>
          <w:tcPr>
            <w:tcW w:w="2340" w:type="dxa"/>
            <w:shd w:val="clear" w:color="auto" w:fill="F2F2F2"/>
          </w:tcPr>
          <w:p>
            <w:pPr/>
            <w:r>
              <w:t xml:space="preserve">Balanced (class_weight=balanced, unrestricted)</w:t>
            </w:r>
          </w:p>
        </w:tc>
        <w:tc>
          <w:tcPr>
            <w:tcW w:w="2340" w:type="dxa"/>
            <w:shd w:val="clear" w:color="auto" w:fill="F2F2F2"/>
          </w:tcPr>
          <w:p>
            <w:pPr/>
            <w:r>
              <w:t xml:space="preserve">Selected (tuned, balanced)</w:t>
            </w:r>
          </w:p>
        </w:tc>
      </w:tr>
      <w:tr>
        <w:tc>
          <w:tcPr>
            <w:tcW w:w="2340" w:type="dxa"/>
          </w:tcPr>
          <w:p>
            <w:pPr/>
            <w:r>
              <w:t xml:space="preserve">Accuracy</w:t>
            </w:r>
          </w:p>
        </w:tc>
        <w:tc>
          <w:tcPr>
            <w:tcW w:w="2340" w:type="dxa"/>
          </w:tcPr>
          <w:p>
            <w:pPr/>
            <w:r>
              <w:t xml:space="preserve">97.91%</w:t>
            </w:r>
          </w:p>
        </w:tc>
        <w:tc>
          <w:tcPr>
            <w:tcW w:w="2340" w:type="dxa"/>
          </w:tcPr>
          <w:p>
            <w:pPr/>
            <w:r>
              <w:t xml:space="preserve">98.95%</w:t>
            </w:r>
          </w:p>
        </w:tc>
        <w:tc>
          <w:tcPr>
            <w:tcW w:w="2340" w:type="dxa"/>
          </w:tcPr>
          <w:p>
            <w:pPr/>
            <w:r>
              <w:t xml:space="preserve">98.95%</w:t>
            </w:r>
          </w:p>
        </w:tc>
      </w:tr>
      <w:tr>
        <w:tc>
          <w:tcPr>
            <w:tcW w:w="2340" w:type="dxa"/>
          </w:tcPr>
          <w:p>
            <w:pPr/>
            <w:r>
              <w:t xml:space="preserve">Balanced accuracy</w:t>
            </w:r>
          </w:p>
        </w:tc>
        <w:tc>
          <w:tcPr>
            <w:tcW w:w="2340" w:type="dxa"/>
          </w:tcPr>
          <w:p>
            <w:pPr/>
            <w:r>
              <w:t xml:space="preserve">90.88%</w:t>
            </w:r>
          </w:p>
        </w:tc>
        <w:tc>
          <w:tcPr>
            <w:tcW w:w="2340" w:type="dxa"/>
          </w:tcPr>
          <w:p>
            <w:pPr/>
            <w:r>
              <w:t xml:space="preserve">94.64%</w:t>
            </w:r>
          </w:p>
        </w:tc>
        <w:tc>
          <w:tcPr>
            <w:tcW w:w="2340" w:type="dxa"/>
          </w:tcPr>
          <w:p>
            <w:pPr/>
            <w:r>
              <w:t xml:space="preserve">96.24%</w:t>
            </w:r>
          </w:p>
        </w:tc>
      </w:tr>
      <w:tr>
        <w:tc>
          <w:tcPr>
            <w:tcW w:w="2340" w:type="dxa"/>
          </w:tcPr>
          <w:p>
            <w:pPr/>
            <w:r>
              <w:t xml:space="preserve">Genuine recall</w:t>
            </w:r>
          </w:p>
        </w:tc>
        <w:tc>
          <w:tcPr>
            <w:tcW w:w="2340" w:type="dxa"/>
          </w:tcPr>
          <w:p>
            <w:pPr/>
            <w:r>
              <w:t xml:space="preserve">82.14%</w:t>
            </w:r>
          </w:p>
        </w:tc>
        <w:tc>
          <w:tcPr>
            <w:tcW w:w="2340" w:type="dxa"/>
          </w:tcPr>
          <w:p>
            <w:pPr/>
            <w:r>
              <w:t xml:space="preserve">89.29%</w:t>
            </w:r>
          </w:p>
        </w:tc>
        <w:tc>
          <w:tcPr>
            <w:tcW w:w="2340" w:type="dxa"/>
          </w:tcPr>
          <w:p>
            <w:pPr/>
            <w:r>
              <w:t xml:space="preserve">92.86%</w:t>
            </w:r>
          </w:p>
        </w:tc>
      </w:tr>
      <w:tr>
        <w:tc>
          <w:tcPr>
            <w:tcW w:w="2340" w:type="dxa"/>
          </w:tcPr>
          <w:p>
            <w:pPr/>
            <w:r>
              <w:t xml:space="preserve">Sybil recall</w:t>
            </w:r>
          </w:p>
        </w:tc>
        <w:tc>
          <w:tcPr>
            <w:tcW w:w="2340" w:type="dxa"/>
          </w:tcPr>
          <w:p>
            <w:pPr/>
            <w:r>
              <w:t xml:space="preserve">99.61%</w:t>
            </w:r>
          </w:p>
        </w:tc>
        <w:tc>
          <w:tcPr>
            <w:tcW w:w="2340" w:type="dxa"/>
          </w:tcPr>
          <w:p>
            <w:pPr/>
            <w:r>
              <w:t xml:space="preserve">100.00%</w:t>
            </w:r>
          </w:p>
        </w:tc>
        <w:tc>
          <w:tcPr>
            <w:tcW w:w="2340" w:type="dxa"/>
          </w:tcPr>
          <w:p>
            <w:pPr/>
            <w:r>
              <w:t xml:space="preserve">99.61%</w:t>
            </w:r>
          </w:p>
        </w:tc>
      </w:tr>
      <w:tr>
        <w:tc>
          <w:tcPr>
            <w:tcW w:w="2340" w:type="dxa"/>
          </w:tcPr>
          <w:p>
            <w:pPr/>
            <w:r>
              <w:t xml:space="preserve">Sybil precision</w:t>
            </w:r>
          </w:p>
        </w:tc>
        <w:tc>
          <w:tcPr>
            <w:tcW w:w="2340" w:type="dxa"/>
          </w:tcPr>
          <w:p>
            <w:pPr/>
            <w:r>
              <w:t xml:space="preserve">98.10%</w:t>
            </w:r>
          </w:p>
        </w:tc>
        <w:tc>
          <w:tcPr>
            <w:tcW w:w="2340" w:type="dxa"/>
          </w:tcPr>
          <w:p>
            <w:pPr/>
            <w:r>
              <w:t xml:space="preserve">98.85%</w:t>
            </w:r>
          </w:p>
        </w:tc>
        <w:tc>
          <w:tcPr>
            <w:tcW w:w="2340" w:type="dxa"/>
          </w:tcPr>
          <w:p>
            <w:pPr/>
            <w:r>
              <w:t xml:space="preserve">99.23%</w:t>
            </w:r>
          </w:p>
        </w:tc>
      </w:tr>
      <w:tr>
        <w:tc>
          <w:tcPr>
            <w:tcW w:w="2340" w:type="dxa"/>
          </w:tcPr>
          <w:p>
            <w:pPr/>
            <w:r>
              <w:t xml:space="preserve">Macro F1-score</w:t>
            </w:r>
          </w:p>
        </w:tc>
        <w:tc>
          <w:tcPr>
            <w:tcW w:w="2340" w:type="dxa"/>
          </w:tcPr>
          <w:p>
            <w:pPr/>
            <w:r>
              <w:t xml:space="preserve">93.66%</w:t>
            </w:r>
          </w:p>
        </w:tc>
        <w:tc>
          <w:tcPr>
            <w:tcW w:w="2340" w:type="dxa"/>
          </w:tcPr>
          <w:p>
            <w:pPr/>
            <w:r>
              <w:t xml:space="preserve">96.88%</w:t>
            </w:r>
          </w:p>
        </w:tc>
        <w:tc>
          <w:tcPr>
            <w:tcW w:w="2340" w:type="dxa"/>
          </w:tcPr>
          <w:p>
            <w:pPr/>
            <w:r>
              <w:t xml:space="preserve">96.98%</w:t>
            </w:r>
          </w:p>
        </w:tc>
      </w:tr>
      <w:tr>
        <w:tc>
          <w:tcPr>
            <w:tcW w:w="2340" w:type="dxa"/>
          </w:tcPr>
          <w:p>
            <w:pPr/>
            <w:r>
              <w:t xml:space="preserve">MCC</w:t>
            </w:r>
          </w:p>
        </w:tc>
        <w:tc>
          <w:tcPr>
            <w:tcW w:w="2340" w:type="dxa"/>
          </w:tcPr>
          <w:p>
            <w:pPr/>
            <w:r>
              <w:t xml:space="preserve">0.8763</w:t>
            </w:r>
          </w:p>
        </w:tc>
        <w:tc>
          <w:tcPr>
            <w:tcW w:w="2340" w:type="dxa"/>
          </w:tcPr>
          <w:p>
            <w:pPr/>
            <w:r>
              <w:t xml:space="preserve">0.9395</w:t>
            </w:r>
          </w:p>
        </w:tc>
        <w:tc>
          <w:tcPr>
            <w:tcW w:w="2340" w:type="dxa"/>
          </w:tcPr>
          <w:p>
            <w:pPr/>
            <w:r>
              <w:t xml:space="preserve">0.9399</w:t>
            </w:r>
          </w:p>
        </w:tc>
      </w:tr>
      <w:tr>
        <w:tc>
          <w:tcPr>
            <w:tcW w:w="2340" w:type="dxa"/>
          </w:tcPr>
          <w:p>
            <w:pPr/>
            <w:r>
              <w:t xml:space="preserve">Genuine flagged as Sybil</w:t>
            </w:r>
          </w:p>
        </w:tc>
        <w:tc>
          <w:tcPr>
            <w:tcW w:w="2340" w:type="dxa"/>
          </w:tcPr>
          <w:p>
            <w:pPr/>
            <w:r>
              <w:t xml:space="preserve">5 of 28</w:t>
            </w:r>
          </w:p>
        </w:tc>
        <w:tc>
          <w:tcPr>
            <w:tcW w:w="2340" w:type="dxa"/>
          </w:tcPr>
          <w:p>
            <w:pPr/>
            <w:r>
              <w:t xml:space="preserve">3 of 28</w:t>
            </w:r>
          </w:p>
        </w:tc>
        <w:tc>
          <w:tcPr>
            <w:tcW w:w="2340" w:type="dxa"/>
          </w:tcPr>
          <w:p>
            <w:pPr/>
            <w:r>
              <w:t xml:space="preserve">2 of 28</w:t>
            </w:r>
          </w:p>
        </w:tc>
      </w:tr>
      <w:tr>
        <w:tc>
          <w:tcPr>
            <w:tcW w:w="2340" w:type="dxa"/>
          </w:tcPr>
          <w:p>
            <w:pPr/>
            <w:r>
              <w:t xml:space="preserve">Sybil records missed</w:t>
            </w:r>
          </w:p>
        </w:tc>
        <w:tc>
          <w:tcPr>
            <w:tcW w:w="2340" w:type="dxa"/>
          </w:tcPr>
          <w:p>
            <w:pPr/>
            <w:r>
              <w:t xml:space="preserve">1 of 259</w:t>
            </w:r>
          </w:p>
        </w:tc>
        <w:tc>
          <w:tcPr>
            <w:tcW w:w="2340" w:type="dxa"/>
          </w:tcPr>
          <w:p>
            <w:pPr/>
            <w:r>
              <w:t xml:space="preserve">0 of 259</w:t>
            </w:r>
          </w:p>
        </w:tc>
        <w:tc>
          <w:tcPr>
            <w:tcW w:w="2340" w:type="dxa"/>
          </w:tcPr>
          <w:p>
            <w:pPr/>
            <w:r>
              <w:t xml:space="preserve">1 of 259</w:t>
            </w:r>
          </w:p>
        </w:tc>
      </w:tr>
    </w:tbl>
    <w:p>
      <w:pPr/>
      <w:r>
        <w:t xml:space="preserve">Class weighting reduced false alarms on genuine traffic without lowering Sybil recall. The differences between the balanced and selected trees amount to one record each way, which is within the noise expected from 28 genuine test records.</w:t>
      </w:r>
    </w:p>
    <w:p>
      <w:pPr>
        <w:pStyle w:val="Heading1"/>
      </w:pPr>
      <w:r>
        <w:t xml:space="preserve">Result Interpretation</w:t>
      </w:r>
    </w:p>
    <w:p>
      <w:pPr/>
      <w:r>
        <w:t xml:space="preserve">The selected Decision Tree achieved 98.95% overall accuracy and detected 258 of the 259 Sybil records in the test set. Sybil precision was 99.23%, Sybil recall was 99.61%, and PR-AUC was 99.23%. It also classified 26 of 28 genuine records correctly, giving a genuine-class recall of 92.86% and a false-positive rate of 7.14%.</w:t>
      </w:r>
    </w:p>
    <w:p>
      <w:pPr/>
      <w:r>
        <w:t xml:space="preserve">The dataset is imbalanced: Sybil records account for about 90% of the retained data, so a model that always predicted Sybil would score about 90% accuracy. Balanced accuracy (96.24%) and macro F1-score (96.98%) are therefore more informative than accuracy. A fully grown tree has almost pure leaves, so its predicted probabilities are nearly all 0 or 1, and ROC-AUC (96.41%) is close to balanced accuracy.</w:t>
      </w:r>
    </w:p>
    <w:p>
      <w:pPr/>
      <w:r>
        <w:rPr>
          <w:b/>
        </w:rPr>
        <w:t xml:space="preserve">Most influential features:</w:t>
      </w:r>
      <w:r>
        <w:t xml:space="preserve"> bsm1_kPCS (52.3% of total importance) and bsm1_psC (35.3%) together carry 87.6% of the importance, followed by bsm1_heading_x (5.0%), bsm2_pos_x (3.4%) and bsm1_kSCC (1.8%). Only 8 of 56 features are used. In the training data, Sybil records often sit at the saturated value 1.0 for the first two features, whereas genuine records are spread below it. This may reflect how the simulator treats fabricated identities rather than a property that transfers to other attackers. Position and heading features may encode where genuine vehicles drive in this simulation, since only 8 genuine senders exist. Tree importance is not evidence of causation, and a different tree ranks features differently (the baseline tree ranks bsm1_kPACS first).</w:t>
      </w:r>
    </w:p>
    <w:p>
      <w:pPr/>
      <w:r>
        <w:rPr>
          <w:b/>
        </w:rPr>
        <w:t xml:space="preserve">Missing-indicator ablation:</w:t>
      </w:r>
      <w:r>
        <w:t xml:space="preserve"> Removing bsm1_delay_was_missing and bsm2_delay_was_missing left every test metric of the selected tree unchanged. None of the three trees used either indicator in any split. Keeping the columns but setting them to a constant 0 produced predictions identical to the full-feature model. The small differences seen for the other two trees come from random tie-breaking between equally good splits, not from reliance on missingness. This is a diagnostic on one dataset and does not show generalization to other datasets.</w:t>
      </w:r>
    </w:p>
    <w:p>
      <w:pPr/>
      <w:r>
        <w:rPr>
          <w:b/>
        </w:rPr>
        <w:t xml:space="preserve">Evaluation stability:</w:t>
      </w:r>
      <w:r>
        <w:t xml:space="preserve"> The test set contains only 3 genuine senders (28 records), and one of them, with 2 records, was misclassified by every tree. Grouped cross-validation on the training data was considerably harsher: for the selected configuration, pooled out-of-fold genuine recall was 83.19% and macro F1-score was 90.24%, and in every configuration at least one held-out genuine sender was classified entirely as Sybil. The test results should therefore be treated as optimistic. Test balanced accuracy also varied with the random seed (about 66% to 91% for the baseline tree and 96% to 100% for the selected tree over seeds 0 to 19), and the top five tuned configurations were within 1 percentage point of each other in cross-validation, so the selected configuration is not demonstrably better than its neighbours.</w:t>
      </w:r>
    </w:p>
    <w:p>
      <w:pPr>
        <w:pStyle w:val="Heading1"/>
      </w:pPr>
      <w:r>
        <w:t xml:space="preserve">Important Dataset Note</w:t>
      </w:r>
    </w:p>
    <w:p>
      <w:pPr/>
      <w:r>
        <w:t xml:space="preserve">This experiment is not a head-to-head comparison with the XGBoost report. The XGBoost report used all 9,049 records (147 Genuine, 8,902 attack) with the predefined five-fold structure and aggregated out-of-fold predictions. This Decision Tree experiment used only the 1,442 Genuine and Sybil records, a sender-grouped 80/20 split, and a single held-out test set of 287 records. The feature set (56 versus 60 features) and the evaluation protocol also differ. Models should be compared only when they are evaluated on the same exact file, feature handling and partitions.</w:t>
      </w:r>
    </w:p>
    <w:p>
      <w:pPr>
        <w:pStyle w:val="Heading1"/>
      </w:pPr>
      <w:r>
        <w:t xml:space="preserve">Conclusion</w:t>
      </w:r>
    </w:p>
    <w:p>
      <w:pPr/>
      <w:r>
        <w:t xml:space="preserve">A single Decision Tree separates Genuine from Sybil BSM records well on the held-out test set of this dataset. The class-weighted and tuned configurations reduce false alarms on genuine traffic compared with the plain baseline tree, and the model does not rely on the missing-indicator features. However, only 8 genuine senders exist, so genuine-class results are statistically unstable, the grouped cross-validation shows that genuine senders unseen in training are often misclassified, and the strongest features may reflect simulation artefacts. These results do not establish performance on other VANET environments, other simulators or real deployments, and the model should not be considered deployment-ready. Future work should evaluate on additional genuine senders or an independently collected dataset, use repeated grouped splits, and compare all models under identical leakage-safe protocols.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Decision Tree Evaluation Report – VANET Sybil Attack Detection</dc:title>
  <dc:description>Claude Docs node/e6d90511-2ca6@1 docx-w6</dc:description>
  <cp:revision>1</cp:revision>
</cp:coreProperties>
</file>