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8" w:space="4"/>
        </w:pBdr>
        <w:spacing w:after="160"/>
        <w:jc w:val="center"/>
      </w:pPr>
      <w:r>
        <w:rPr>
          <w:rFonts w:ascii="Arial" w:cs="Arial" w:eastAsia="Arial" w:hAnsi="Arial"/>
          <w:b/>
          <w:bCs/>
          <w:color w:val="1F4E79"/>
          <w:sz w:val="40"/>
          <w:szCs w:val="40"/>
        </w:rPr>
        <w:t xml:space="preserve">Support Vector Machine (SVM) Model</w:t>
      </w:r>
    </w:p>
    <w:p>
      <w:pPr>
        <w:spacing w:after="110"/>
      </w:pPr>
      <w:r>
        <w:rPr>
          <w:rFonts w:ascii="Arial" w:cs="Arial" w:eastAsia="Arial" w:hAnsi="Arial"/>
          <w:b/>
          <w:bCs/>
          <w:sz w:val="20"/>
          <w:szCs w:val="20"/>
        </w:rPr>
        <w:t xml:space="preserve">Support Vector Machine (SVM) </w:t>
      </w:r>
      <w:r>
        <w:rPr>
          <w:rFonts w:ascii="Arial" w:cs="Arial" w:eastAsia="Arial" w:hAnsi="Arial"/>
          <w:sz w:val="20"/>
          <w:szCs w:val="20"/>
        </w:rPr>
        <w:t xml:space="preserve">is a classical supervised machine-learning classifier. It finds the decision boundary (hyperplane) that separates the classes with the largest possible margin, and the soft-margin formulation (Cortes and Vapnik, 1995) allows some misclassification through the penalty parameter C. With the RBF kernel, it can learn non-linear boundaries in structured numerical data such as VANET Basic Safety Message (BSM) data. It is a standard mathematical baseline for comparison against newer methods such as XGBoost.</w:t>
      </w:r>
    </w:p>
    <w:p>
      <w:pPr>
        <w:spacing w:after="110"/>
      </w:pPr>
      <w:r>
        <w:rPr>
          <w:rFonts w:ascii="Arial" w:cs="Arial" w:eastAsia="Arial" w:hAnsi="Arial"/>
          <w:b/>
          <w:bCs/>
          <w:sz w:val="20"/>
          <w:szCs w:val="20"/>
        </w:rPr>
        <w:t xml:space="preserve">Working Principle: </w:t>
      </w:r>
      <w:r>
        <w:rPr>
          <w:rFonts w:ascii="Arial" w:cs="Arial" w:eastAsia="Arial" w:hAnsi="Arial"/>
          <w:sz w:val="20"/>
          <w:szCs w:val="20"/>
        </w:rPr>
        <w:t xml:space="preserve">SVM maps scaled input features into a space where a maximum-margin boundary can be drawn, using only the training records closest to the boundary (the support vectors). Because the decision depends on distances, features must be standardized. The final binary prediction estimates whether a BSM record is Genuine (0) or Attack (1).</w:t>
      </w:r>
    </w:p>
    <w:p>
      <w:pPr>
        <w:spacing w:after="110"/>
      </w:pPr>
      <w:r>
        <w:rPr>
          <w:rFonts w:ascii="Arial" w:cs="Arial" w:eastAsia="Arial" w:hAnsi="Arial"/>
          <w:b/>
          <w:bCs/>
          <w:sz w:val="20"/>
          <w:szCs w:val="20"/>
        </w:rPr>
        <w:t xml:space="preserve">Dataset and Experimental Setup: </w:t>
      </w:r>
      <w:r>
        <w:rPr>
          <w:rFonts w:ascii="Arial" w:cs="Arial" w:eastAsia="Arial" w:hAnsi="Arial"/>
          <w:sz w:val="20"/>
          <w:szCs w:val="20"/>
        </w:rPr>
        <w:t xml:space="preserve">The provided two_bsm_clean.csv dataset contained 9,049 records and 64 columns. After excluding the target label and metadata columns (attack_type, reported_id, and fold), 60 input features were used; all were numeric, there were no missing values, and no records were removed. The label column was the binary target (0 = Genuine; 1 = Attack). The dataset contained 8,902 attack samples and 147 genuine samples. The same predefined five-fold structure as the XGBoost report was used: each fold served as the test set once, with the remaining folds used for training. Every reported_id falls inside exactly one fold, so records from the same vehicle never appear in both training and test data. A StandardScaler was fitted inside a scikit-learn Pipeline on the training partition only. Class imbalance was addressed with class_weight='balanced', which computes weights from the training partition only. The reported metrics below aggregate out-of-fold predictions across all five folds.</w:t>
      </w:r>
    </w:p>
    <w:p>
      <w:pPr>
        <w:spacing w:after="110"/>
      </w:pPr>
      <w:r>
        <w:rPr>
          <w:rFonts w:ascii="Arial" w:cs="Arial" w:eastAsia="Arial" w:hAnsi="Arial"/>
          <w:b/>
          <w:bCs/>
          <w:sz w:val="20"/>
          <w:szCs w:val="20"/>
        </w:rPr>
        <w:t xml:space="preserve">Model Configuration: </w:t>
      </w:r>
      <w:r>
        <w:rPr>
          <w:rFonts w:ascii="Arial" w:cs="Arial" w:eastAsia="Arial" w:hAnsi="Arial"/>
          <w:sz w:val="20"/>
          <w:szCs w:val="20"/>
        </w:rPr>
        <w:t xml:space="preserve">sklearn.svm.SVC inside a Pipeline (StandardScaler, then SVC) with kernel='rbf', C=1.0, gamma='scale', class_weight='balanced', and random_state 42. No hyperparameter tuning was performed in this run, so these are the baseline settings. The metadata columns were not used as model inputs.</w:t>
      </w:r>
    </w:p>
    <w:p>
      <w:pPr>
        <w:pStyle w:val="Heading1"/>
        <w:keepNext/>
        <w:spacing w:after="100" w:before="240"/>
      </w:pPr>
      <w:r>
        <w:rPr>
          <w:rFonts w:ascii="Arial" w:cs="Arial" w:eastAsia="Arial" w:hAnsi="Arial"/>
          <w:b/>
          <w:bCs/>
          <w:color w:val="1F4E79"/>
          <w:sz w:val="26"/>
          <w:szCs w:val="26"/>
        </w:rPr>
        <w:t xml:space="preserve">SVM Evaluation Results</w:t>
      </w:r>
    </w:p>
    <w:p>
      <w:pPr>
        <w:pStyle w:val="ListParagraph"/>
        <w:numPr>
          <w:ilvl w:val="0"/>
          <w:numId w:val="2"/>
        </w:numPr>
        <w:spacing w:after="30"/>
      </w:pPr>
      <w:r>
        <w:rPr>
          <w:rFonts w:ascii="Arial" w:cs="Arial" w:eastAsia="Arial" w:hAnsi="Arial"/>
          <w:b/>
          <w:bCs/>
          <w:sz w:val="20"/>
          <w:szCs w:val="20"/>
        </w:rPr>
        <w:t xml:space="preserve">Accuracy: </w:t>
      </w:r>
      <w:r>
        <w:rPr>
          <w:rFonts w:ascii="Arial" w:cs="Arial" w:eastAsia="Arial" w:hAnsi="Arial"/>
          <w:sz w:val="20"/>
          <w:szCs w:val="20"/>
        </w:rPr>
        <w:t xml:space="preserve">94.68%</w:t>
      </w:r>
    </w:p>
    <w:p>
      <w:pPr>
        <w:pStyle w:val="ListParagraph"/>
        <w:numPr>
          <w:ilvl w:val="0"/>
          <w:numId w:val="2"/>
        </w:numPr>
        <w:spacing w:after="30"/>
      </w:pPr>
      <w:r>
        <w:rPr>
          <w:rFonts w:ascii="Arial" w:cs="Arial" w:eastAsia="Arial" w:hAnsi="Arial"/>
          <w:b/>
          <w:bCs/>
          <w:sz w:val="20"/>
          <w:szCs w:val="20"/>
        </w:rPr>
        <w:t xml:space="preserve">Attack-class precision: </w:t>
      </w:r>
      <w:r>
        <w:rPr>
          <w:rFonts w:ascii="Arial" w:cs="Arial" w:eastAsia="Arial" w:hAnsi="Arial"/>
          <w:sz w:val="20"/>
          <w:szCs w:val="20"/>
        </w:rPr>
        <w:t xml:space="preserve">99.23%</w:t>
      </w:r>
    </w:p>
    <w:p>
      <w:pPr>
        <w:pStyle w:val="ListParagraph"/>
        <w:numPr>
          <w:ilvl w:val="0"/>
          <w:numId w:val="2"/>
        </w:numPr>
        <w:spacing w:after="30"/>
      </w:pPr>
      <w:r>
        <w:rPr>
          <w:rFonts w:ascii="Arial" w:cs="Arial" w:eastAsia="Arial" w:hAnsi="Arial"/>
          <w:b/>
          <w:bCs/>
          <w:sz w:val="20"/>
          <w:szCs w:val="20"/>
        </w:rPr>
        <w:t xml:space="preserve">Attack-class recall: </w:t>
      </w:r>
      <w:r>
        <w:rPr>
          <w:rFonts w:ascii="Arial" w:cs="Arial" w:eastAsia="Arial" w:hAnsi="Arial"/>
          <w:sz w:val="20"/>
          <w:szCs w:val="20"/>
        </w:rPr>
        <w:t xml:space="preserve">95.34%</w:t>
      </w:r>
    </w:p>
    <w:p>
      <w:pPr>
        <w:pStyle w:val="ListParagraph"/>
        <w:numPr>
          <w:ilvl w:val="0"/>
          <w:numId w:val="2"/>
        </w:numPr>
        <w:spacing w:after="30"/>
      </w:pPr>
      <w:r>
        <w:rPr>
          <w:rFonts w:ascii="Arial" w:cs="Arial" w:eastAsia="Arial" w:hAnsi="Arial"/>
          <w:b/>
          <w:bCs/>
          <w:sz w:val="20"/>
          <w:szCs w:val="20"/>
        </w:rPr>
        <w:t xml:space="preserve">Attack-class F1-score: </w:t>
      </w:r>
      <w:r>
        <w:rPr>
          <w:rFonts w:ascii="Arial" w:cs="Arial" w:eastAsia="Arial" w:hAnsi="Arial"/>
          <w:sz w:val="20"/>
          <w:szCs w:val="20"/>
        </w:rPr>
        <w:t xml:space="preserve">97.24%</w:t>
      </w:r>
    </w:p>
    <w:p>
      <w:pPr>
        <w:pStyle w:val="ListParagraph"/>
        <w:numPr>
          <w:ilvl w:val="0"/>
          <w:numId w:val="2"/>
        </w:numPr>
        <w:spacing w:after="30"/>
      </w:pPr>
      <w:r>
        <w:rPr>
          <w:rFonts w:ascii="Arial" w:cs="Arial" w:eastAsia="Arial" w:hAnsi="Arial"/>
          <w:b/>
          <w:bCs/>
          <w:sz w:val="20"/>
          <w:szCs w:val="20"/>
        </w:rPr>
        <w:t xml:space="preserve">PR-AUC (Average Precision): </w:t>
      </w:r>
      <w:r>
        <w:rPr>
          <w:rFonts w:ascii="Arial" w:cs="Arial" w:eastAsia="Arial" w:hAnsi="Arial"/>
          <w:sz w:val="20"/>
          <w:szCs w:val="20"/>
        </w:rPr>
        <w:t xml:space="preserve">99.86%</w:t>
      </w:r>
    </w:p>
    <w:p>
      <w:pPr>
        <w:pStyle w:val="ListParagraph"/>
        <w:numPr>
          <w:ilvl w:val="0"/>
          <w:numId w:val="2"/>
        </w:numPr>
        <w:spacing w:after="30"/>
      </w:pPr>
      <w:r>
        <w:rPr>
          <w:rFonts w:ascii="Arial" w:cs="Arial" w:eastAsia="Arial" w:hAnsi="Arial"/>
          <w:b/>
          <w:bCs/>
          <w:sz w:val="20"/>
          <w:szCs w:val="20"/>
        </w:rPr>
        <w:t xml:space="preserve">ROC-AUC: </w:t>
      </w:r>
      <w:r>
        <w:rPr>
          <w:rFonts w:ascii="Arial" w:cs="Arial" w:eastAsia="Arial" w:hAnsi="Arial"/>
          <w:sz w:val="20"/>
          <w:szCs w:val="20"/>
        </w:rPr>
        <w:t xml:space="preserve">92.49%</w:t>
      </w:r>
    </w:p>
    <w:p>
      <w:pPr>
        <w:pStyle w:val="ListParagraph"/>
        <w:numPr>
          <w:ilvl w:val="0"/>
          <w:numId w:val="2"/>
        </w:numPr>
        <w:spacing w:after="30"/>
      </w:pPr>
      <w:r>
        <w:rPr>
          <w:rFonts w:ascii="Arial" w:cs="Arial" w:eastAsia="Arial" w:hAnsi="Arial"/>
          <w:b/>
          <w:bCs/>
          <w:sz w:val="20"/>
          <w:szCs w:val="20"/>
        </w:rPr>
        <w:t xml:space="preserve">Balanced Accuracy: </w:t>
      </w:r>
      <w:r>
        <w:rPr>
          <w:rFonts w:ascii="Arial" w:cs="Arial" w:eastAsia="Arial" w:hAnsi="Arial"/>
          <w:sz w:val="20"/>
          <w:szCs w:val="20"/>
        </w:rPr>
        <w:t xml:space="preserve">75.22%</w:t>
      </w:r>
    </w:p>
    <w:p>
      <w:pPr>
        <w:pStyle w:val="ListParagraph"/>
        <w:numPr>
          <w:ilvl w:val="0"/>
          <w:numId w:val="2"/>
        </w:numPr>
        <w:spacing w:after="30"/>
      </w:pPr>
      <w:r>
        <w:rPr>
          <w:rFonts w:ascii="Arial" w:cs="Arial" w:eastAsia="Arial" w:hAnsi="Arial"/>
          <w:b/>
          <w:bCs/>
          <w:sz w:val="20"/>
          <w:szCs w:val="20"/>
        </w:rPr>
        <w:t xml:space="preserve">Specificity / Genuine-class recall: </w:t>
      </w:r>
      <w:r>
        <w:rPr>
          <w:rFonts w:ascii="Arial" w:cs="Arial" w:eastAsia="Arial" w:hAnsi="Arial"/>
          <w:sz w:val="20"/>
          <w:szCs w:val="20"/>
        </w:rPr>
        <w:t xml:space="preserve">55.10%</w:t>
      </w:r>
    </w:p>
    <w:p>
      <w:pPr>
        <w:pStyle w:val="ListParagraph"/>
        <w:numPr>
          <w:ilvl w:val="0"/>
          <w:numId w:val="2"/>
        </w:numPr>
        <w:spacing w:after="30"/>
      </w:pPr>
      <w:r>
        <w:rPr>
          <w:rFonts w:ascii="Arial" w:cs="Arial" w:eastAsia="Arial" w:hAnsi="Arial"/>
          <w:b/>
          <w:bCs/>
          <w:sz w:val="20"/>
          <w:szCs w:val="20"/>
        </w:rPr>
        <w:t xml:space="preserve">False Positive Rate (FPR): </w:t>
      </w:r>
      <w:r>
        <w:rPr>
          <w:rFonts w:ascii="Arial" w:cs="Arial" w:eastAsia="Arial" w:hAnsi="Arial"/>
          <w:sz w:val="20"/>
          <w:szCs w:val="20"/>
        </w:rPr>
        <w:t xml:space="preserve">44.90%</w:t>
      </w:r>
    </w:p>
    <w:p>
      <w:pPr>
        <w:pStyle w:val="ListParagraph"/>
        <w:numPr>
          <w:ilvl w:val="0"/>
          <w:numId w:val="2"/>
        </w:numPr>
        <w:spacing w:after="30"/>
      </w:pPr>
      <w:r>
        <w:rPr>
          <w:rFonts w:ascii="Arial" w:cs="Arial" w:eastAsia="Arial" w:hAnsi="Arial"/>
          <w:b/>
          <w:bCs/>
          <w:sz w:val="20"/>
          <w:szCs w:val="20"/>
        </w:rPr>
        <w:t xml:space="preserve">False Negative Rate (FNR): </w:t>
      </w:r>
      <w:r>
        <w:rPr>
          <w:rFonts w:ascii="Arial" w:cs="Arial" w:eastAsia="Arial" w:hAnsi="Arial"/>
          <w:sz w:val="20"/>
          <w:szCs w:val="20"/>
        </w:rPr>
        <w:t xml:space="preserve">4.66%</w:t>
      </w:r>
    </w:p>
    <w:p>
      <w:pPr>
        <w:pStyle w:val="ListParagraph"/>
        <w:numPr>
          <w:ilvl w:val="0"/>
          <w:numId w:val="2"/>
        </w:numPr>
        <w:spacing w:after="30"/>
      </w:pPr>
      <w:r>
        <w:rPr>
          <w:rFonts w:ascii="Arial" w:cs="Arial" w:eastAsia="Arial" w:hAnsi="Arial"/>
          <w:b/>
          <w:bCs/>
          <w:sz w:val="20"/>
          <w:szCs w:val="20"/>
        </w:rPr>
        <w:t xml:space="preserve">Correctly detected attacks: </w:t>
      </w:r>
      <w:r>
        <w:rPr>
          <w:rFonts w:ascii="Arial" w:cs="Arial" w:eastAsia="Arial" w:hAnsi="Arial"/>
          <w:sz w:val="20"/>
          <w:szCs w:val="20"/>
        </w:rPr>
        <w:t xml:space="preserve">8,487 out of 8,902 (95.34%)</w:t>
      </w:r>
    </w:p>
    <w:p>
      <w:pPr>
        <w:pStyle w:val="ListParagraph"/>
        <w:numPr>
          <w:ilvl w:val="0"/>
          <w:numId w:val="2"/>
        </w:numPr>
        <w:spacing w:after="30"/>
      </w:pPr>
      <w:r>
        <w:rPr>
          <w:rFonts w:ascii="Arial" w:cs="Arial" w:eastAsia="Arial" w:hAnsi="Arial"/>
          <w:b/>
          <w:bCs/>
          <w:sz w:val="20"/>
          <w:szCs w:val="20"/>
        </w:rPr>
        <w:t xml:space="preserve">Genuine samples correctly classified: </w:t>
      </w:r>
      <w:r>
        <w:rPr>
          <w:rFonts w:ascii="Arial" w:cs="Arial" w:eastAsia="Arial" w:hAnsi="Arial"/>
          <w:sz w:val="20"/>
          <w:szCs w:val="20"/>
        </w:rPr>
        <w:t xml:space="preserve">81 out of 147</w:t>
      </w:r>
    </w:p>
    <w:p>
      <w:pPr>
        <w:pStyle w:val="ListParagraph"/>
        <w:numPr>
          <w:ilvl w:val="0"/>
          <w:numId w:val="2"/>
        </w:numPr>
        <w:spacing w:after="30"/>
      </w:pPr>
      <w:r>
        <w:rPr>
          <w:rFonts w:ascii="Arial" w:cs="Arial" w:eastAsia="Arial" w:hAnsi="Arial"/>
          <w:b/>
          <w:bCs/>
          <w:sz w:val="20"/>
          <w:szCs w:val="20"/>
        </w:rPr>
        <w:t xml:space="preserve">Genuine samples incorrectly classified as attacks: </w:t>
      </w:r>
      <w:r>
        <w:rPr>
          <w:rFonts w:ascii="Arial" w:cs="Arial" w:eastAsia="Arial" w:hAnsi="Arial"/>
          <w:sz w:val="20"/>
          <w:szCs w:val="20"/>
        </w:rPr>
        <w:t xml:space="preserve">66 out of 147</w:t>
      </w:r>
    </w:p>
    <w:p>
      <w:pPr>
        <w:pStyle w:val="Heading1"/>
        <w:keepNext/>
        <w:spacing w:after="100" w:before="240"/>
      </w:pPr>
      <w:r>
        <w:rPr>
          <w:rFonts w:ascii="Arial" w:cs="Arial" w:eastAsia="Arial" w:hAnsi="Arial"/>
          <w:b/>
          <w:bCs/>
          <w:color w:val="1F4E79"/>
          <w:sz w:val="26"/>
          <w:szCs w:val="26"/>
        </w:rPr>
        <w:t xml:space="preserve">Confusion Matrix</w:t>
      </w:r>
    </w:p>
    <w:p>
      <w:pPr>
        <w:spacing w:after="110"/>
      </w:pPr>
      <w:r>
        <w:rPr>
          <w:rFonts w:ascii="Arial" w:cs="Arial" w:eastAsia="Arial" w:hAnsi="Arial"/>
          <w:sz w:val="20"/>
          <w:szCs w:val="20"/>
        </w:rPr>
        <w:t xml:space="preserve">Rows represent actual classes and columns represent predicted classes. Class order is Genuine (0), Attack (1).</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12"/>
        <w:gridCol w:w="3312"/>
        <w:gridCol w:w="3312"/>
      </w:tblGrid>
      <w:tr>
        <w:trPr>
          <w:tblHeader/>
        </w:trPr>
        <w:tc>
          <w:tcPr>
            <w:tcW w:type="dxa" w:w="3312"/>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Actual \ Predicted</w:t>
            </w:r>
          </w:p>
        </w:tc>
        <w:tc>
          <w:tcPr>
            <w:tcW w:type="dxa" w:w="3312"/>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Genuine (0)</w:t>
            </w:r>
          </w:p>
        </w:tc>
        <w:tc>
          <w:tcPr>
            <w:tcW w:type="dxa" w:w="3312"/>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Attack (1)</w:t>
            </w:r>
          </w:p>
        </w:tc>
      </w:tr>
      <w:tr>
        <w:trPr>
          <w:tblHeader w:val="false"/>
        </w:trPr>
        <w:tc>
          <w:tcPr>
            <w:tcW w:type="dxa" w:w="3312"/>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bCs/>
                <w:sz w:val="20"/>
                <w:szCs w:val="20"/>
              </w:rPr>
              <w:t xml:space="preserve">Genuine (0)</w:t>
            </w:r>
          </w:p>
        </w:tc>
        <w:tc>
          <w:tcPr>
            <w:tcW w:type="dxa" w:w="3312"/>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81</w:t>
            </w:r>
          </w:p>
        </w:tc>
        <w:tc>
          <w:tcPr>
            <w:tcW w:type="dxa" w:w="3312"/>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66</w:t>
            </w:r>
          </w:p>
        </w:tc>
      </w:tr>
      <w:tr>
        <w:trPr>
          <w:tblHeader w:val="false"/>
        </w:trPr>
        <w:tc>
          <w:tcPr>
            <w:tcW w:type="dxa" w:w="3312"/>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bCs/>
                <w:sz w:val="20"/>
                <w:szCs w:val="20"/>
              </w:rPr>
              <w:t xml:space="preserve">Attack (1)</w:t>
            </w:r>
          </w:p>
        </w:tc>
        <w:tc>
          <w:tcPr>
            <w:tcW w:type="dxa" w:w="3312"/>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val="false"/>
                <w:bCs w:val="false"/>
                <w:sz w:val="20"/>
                <w:szCs w:val="20"/>
              </w:rPr>
              <w:t xml:space="preserve">415</w:t>
            </w:r>
          </w:p>
        </w:tc>
        <w:tc>
          <w:tcPr>
            <w:tcW w:type="dxa" w:w="3312"/>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val="false"/>
                <w:bCs w:val="false"/>
                <w:sz w:val="20"/>
                <w:szCs w:val="20"/>
              </w:rPr>
              <w:t xml:space="preserve">8,487</w:t>
            </w:r>
          </w:p>
        </w:tc>
      </w:tr>
    </w:tbl>
    <w:p>
      <w:pPr>
        <w:pStyle w:val="Heading1"/>
        <w:keepNext/>
        <w:spacing w:after="100" w:before="240"/>
      </w:pPr>
      <w:r>
        <w:rPr>
          <w:rFonts w:ascii="Arial" w:cs="Arial" w:eastAsia="Arial" w:hAnsi="Arial"/>
          <w:b/>
          <w:bCs/>
          <w:color w:val="1F4E79"/>
          <w:sz w:val="26"/>
          <w:szCs w:val="26"/>
        </w:rPr>
        <w:t xml:space="preserve">Per-Class Performance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36"/>
        <w:gridCol w:w="1900"/>
        <w:gridCol w:w="1900"/>
        <w:gridCol w:w="1900"/>
        <w:gridCol w:w="1900"/>
      </w:tblGrid>
      <w:tr>
        <w:trPr>
          <w:tblHeader/>
        </w:trPr>
        <w:tc>
          <w:tcPr>
            <w:tcW w:type="dxa" w:w="2336"/>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Class</w:t>
            </w:r>
          </w:p>
        </w:tc>
        <w:tc>
          <w:tcPr>
            <w:tcW w:type="dxa" w:w="1900"/>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Precision</w:t>
            </w:r>
          </w:p>
        </w:tc>
        <w:tc>
          <w:tcPr>
            <w:tcW w:type="dxa" w:w="1900"/>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Recall</w:t>
            </w:r>
          </w:p>
        </w:tc>
        <w:tc>
          <w:tcPr>
            <w:tcW w:type="dxa" w:w="1900"/>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F1-score</w:t>
            </w:r>
          </w:p>
        </w:tc>
        <w:tc>
          <w:tcPr>
            <w:tcW w:type="dxa" w:w="1900"/>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Support</w:t>
            </w:r>
          </w:p>
        </w:tc>
      </w:tr>
      <w:tr>
        <w:trPr>
          <w:tblHeader w:val="false"/>
        </w:trPr>
        <w:tc>
          <w:tcPr>
            <w:tcW w:type="dxa" w:w="23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Genuine (0)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16.33%</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55.10%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25.19%</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147</w:t>
            </w:r>
          </w:p>
        </w:tc>
      </w:tr>
      <w:tr>
        <w:trPr>
          <w:tblHeader w:val="false"/>
        </w:trPr>
        <w:tc>
          <w:tcPr>
            <w:tcW w:type="dxa" w:w="23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val="false"/>
                <w:bCs w:val="false"/>
                <w:sz w:val="20"/>
                <w:szCs w:val="20"/>
              </w:rPr>
              <w:t xml:space="preserve">Attack (1)</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val="false"/>
                <w:bCs w:val="false"/>
                <w:sz w:val="20"/>
                <w:szCs w:val="20"/>
              </w:rPr>
              <w:t xml:space="preserve">99.23%</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val="false"/>
                <w:bCs w:val="false"/>
                <w:sz w:val="20"/>
                <w:szCs w:val="20"/>
              </w:rPr>
              <w:t xml:space="preserve">95.34%</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val="false"/>
                <w:bCs w:val="false"/>
                <w:sz w:val="20"/>
                <w:szCs w:val="20"/>
              </w:rPr>
              <w:t xml:space="preserve">97.24%</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val="false"/>
                <w:bCs w:val="false"/>
                <w:sz w:val="20"/>
                <w:szCs w:val="20"/>
              </w:rPr>
              <w:t xml:space="preserve">8,902</w:t>
            </w:r>
          </w:p>
        </w:tc>
      </w:tr>
    </w:tbl>
    <w:p>
      <w:pPr>
        <w:spacing w:after="60"/>
      </w:pPr>
    </w:p>
    <w:p>
      <w:pPr>
        <w:spacing w:after="110"/>
      </w:pPr>
      <w:r>
        <w:rPr>
          <w:rFonts w:ascii="Arial" w:cs="Arial" w:eastAsia="Arial" w:hAnsi="Arial"/>
          <w:b/>
          <w:bCs/>
          <w:sz w:val="20"/>
          <w:szCs w:val="20"/>
        </w:rPr>
        <w:t xml:space="preserve">Additional aggregate metrics: </w:t>
      </w:r>
      <w:r>
        <w:rPr>
          <w:rFonts w:ascii="Arial" w:cs="Arial" w:eastAsia="Arial" w:hAnsi="Arial"/>
          <w:sz w:val="20"/>
          <w:szCs w:val="20"/>
        </w:rPr>
        <w:t xml:space="preserve">Macro F1-score = 61.22%; weighted F1-score = 96.07%.</w:t>
      </w:r>
    </w:p>
    <w:p>
      <w:pPr>
        <w:pStyle w:val="Heading1"/>
        <w:keepNext/>
        <w:spacing w:after="100" w:before="240"/>
      </w:pPr>
      <w:r>
        <w:rPr>
          <w:rFonts w:ascii="Arial" w:cs="Arial" w:eastAsia="Arial" w:hAnsi="Arial"/>
          <w:b/>
          <w:bCs/>
          <w:color w:val="1F4E79"/>
          <w:sz w:val="26"/>
          <w:szCs w:val="26"/>
        </w:rPr>
        <w:t xml:space="preserve">Fold-Level Results</w:t>
      </w:r>
    </w:p>
    <w:p>
      <w:pPr>
        <w:spacing w:after="110"/>
      </w:pPr>
      <w:r>
        <w:rPr>
          <w:rFonts w:ascii="Arial" w:cs="Arial" w:eastAsia="Arial" w:hAnsi="Arial"/>
          <w:sz w:val="20"/>
          <w:szCs w:val="20"/>
        </w:rPr>
        <w:t xml:space="preserve">The table shows how the balanced SVM performed on each predefined test fold. Fold 2 has no genuine records, so genuine-class recall cannot be computed there.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200"/>
        <w:gridCol w:w="2400"/>
        <w:gridCol w:w="1836"/>
      </w:tblGrid>
      <w:tr>
        <w:trPr>
          <w:tblHeader/>
        </w:trPr>
        <w:tc>
          <w:tcPr>
            <w:tcW w:type="dxa" w:w="1600"/>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Test fold</w:t>
            </w:r>
          </w:p>
        </w:tc>
        <w:tc>
          <w:tcPr>
            <w:tcW w:type="dxa" w:w="1900"/>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Records</w:t>
            </w:r>
          </w:p>
        </w:tc>
        <w:tc>
          <w:tcPr>
            <w:tcW w:type="dxa" w:w="2200"/>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Genuine records</w:t>
            </w:r>
          </w:p>
        </w:tc>
        <w:tc>
          <w:tcPr>
            <w:tcW w:type="dxa" w:w="2400"/>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Genuine correctly classified</w:t>
            </w:r>
          </w:p>
        </w:tc>
        <w:tc>
          <w:tcPr>
            <w:tcW w:type="dxa" w:w="1836"/>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Accuracy</w:t>
            </w:r>
          </w:p>
        </w:tc>
      </w:tr>
      <w:tr>
        <w:trPr>
          <w:tblHeader w:val="false"/>
        </w:trPr>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1,656</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61</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20 of 61</w:t>
            </w:r>
          </w:p>
        </w:tc>
        <w:tc>
          <w:tcPr>
            <w:tcW w:type="dxa" w:w="18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95.29%</w:t>
            </w:r>
          </w:p>
        </w:tc>
      </w:tr>
      <w:tr>
        <w:trPr>
          <w:tblHeader w:val="false"/>
        </w:trPr>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1</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2,038</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37</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16 of 37</w:t>
            </w:r>
          </w:p>
        </w:tc>
        <w:tc>
          <w:tcPr>
            <w:tcW w:type="dxa" w:w="18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95.29%</w:t>
            </w:r>
          </w:p>
        </w:tc>
      </w:tr>
      <w:tr>
        <w:trPr>
          <w:tblHeader w:val="false"/>
        </w:trPr>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2</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1,406</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0</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n/a (none)</w:t>
            </w:r>
          </w:p>
        </w:tc>
        <w:tc>
          <w:tcPr>
            <w:tcW w:type="dxa" w:w="18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92.25%</w:t>
            </w:r>
          </w:p>
        </w:tc>
      </w:tr>
      <w:tr>
        <w:trPr>
          <w:tblHeader w:val="false"/>
        </w:trPr>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3</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1,797</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44</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40 of 44</w:t>
            </w:r>
          </w:p>
        </w:tc>
        <w:tc>
          <w:tcPr>
            <w:tcW w:type="dxa" w:w="18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95.05%</w:t>
            </w:r>
          </w:p>
        </w:tc>
      </w:tr>
      <w:tr>
        <w:trPr>
          <w:tblHeader w:val="false"/>
        </w:trPr>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val="false"/>
                <w:bCs w:val="false"/>
                <w:sz w:val="20"/>
                <w:szCs w:val="20"/>
              </w:rPr>
              <w:t xml:space="preserve">4</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val="false"/>
                <w:bCs w:val="false"/>
                <w:sz w:val="20"/>
                <w:szCs w:val="20"/>
              </w:rPr>
              <w:t xml:space="preserve">2,152</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val="false"/>
                <w:bCs w:val="false"/>
                <w:sz w:val="20"/>
                <w:szCs w:val="20"/>
              </w:rPr>
              <w:t xml:space="preserve">5</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val="false"/>
                <w:bCs w:val="false"/>
                <w:sz w:val="20"/>
                <w:szCs w:val="20"/>
              </w:rPr>
              <w:t xml:space="preserve">5 of 5</w:t>
            </w:r>
          </w:p>
        </w:tc>
        <w:tc>
          <w:tcPr>
            <w:tcW w:type="dxa" w:w="18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val="false"/>
                <w:bCs w:val="false"/>
                <w:sz w:val="20"/>
                <w:szCs w:val="20"/>
              </w:rPr>
              <w:t xml:space="preserve">94.93%</w:t>
            </w:r>
          </w:p>
        </w:tc>
      </w:tr>
    </w:tbl>
    <w:p>
      <w:pPr>
        <w:pStyle w:val="Heading1"/>
        <w:keepNext/>
        <w:spacing w:after="100" w:before="240"/>
      </w:pPr>
      <w:r>
        <w:rPr>
          <w:rFonts w:ascii="Arial" w:cs="Arial" w:eastAsia="Arial" w:hAnsi="Arial"/>
          <w:b/>
          <w:bCs/>
          <w:color w:val="1F4E79"/>
          <w:sz w:val="26"/>
          <w:szCs w:val="26"/>
        </w:rPr>
        <w:t xml:space="preserve">Effect of Class Weighting (Unweighted Baseline)</w:t>
      </w:r>
    </w:p>
    <w:p>
      <w:pPr>
        <w:spacing w:after="110"/>
      </w:pPr>
      <w:r>
        <w:rPr>
          <w:rFonts w:ascii="Arial" w:cs="Arial" w:eastAsia="Arial" w:hAnsi="Arial"/>
          <w:sz w:val="20"/>
          <w:szCs w:val="20"/>
        </w:rPr>
        <w:t xml:space="preserve">For context, the same SVM was also run without class weighting (class_weight=None), using identical folds and features. It reached 98.38% accuracy, but it predicted every record as an attack: it classified 0 of 147 genuine records correctly, with balanced accuracy of 50.00% and macro F1 of 49.59%. That accuracy equals the proportion of attack records in the data, so it reflects the class ratio and not real detection ability. Balanced class weights reduced accuracy to 94.68% but allowed the model to recognize 81 genuine records, so the weighted configuration is the one reported above.</w:t>
      </w:r>
    </w:p>
    <w:p>
      <w:pPr>
        <w:pStyle w:val="Heading1"/>
        <w:keepNext/>
        <w:spacing w:after="100" w:before="240"/>
      </w:pPr>
      <w:r>
        <w:rPr>
          <w:rFonts w:ascii="Arial" w:cs="Arial" w:eastAsia="Arial" w:hAnsi="Arial"/>
          <w:b/>
          <w:bCs/>
          <w:color w:val="1F4E79"/>
          <w:sz w:val="26"/>
          <w:szCs w:val="26"/>
        </w:rPr>
        <w:t xml:space="preserve">Comparison with the XGBoost Report</w:t>
      </w:r>
    </w:p>
    <w:p>
      <w:pPr>
        <w:spacing w:after="110"/>
      </w:pPr>
      <w:r>
        <w:rPr>
          <w:rFonts w:ascii="Arial" w:cs="Arial" w:eastAsia="Arial" w:hAnsi="Arial"/>
          <w:sz w:val="20"/>
          <w:szCs w:val="20"/>
        </w:rPr>
        <w:t xml:space="preserve">Both models used the same two_bsm_clean.csv file (9,049 records), the same 60 features, and the predefined five-fold out-of-fold protocol. XGBoost figures are taken from the XGBoost report.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936"/>
        <w:gridCol w:w="3000"/>
        <w:gridCol w:w="3000"/>
      </w:tblGrid>
      <w:tr>
        <w:trPr>
          <w:tblHeader/>
        </w:trPr>
        <w:tc>
          <w:tcPr>
            <w:tcW w:type="dxa" w:w="3936"/>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Metric</w:t>
            </w:r>
          </w:p>
        </w:tc>
        <w:tc>
          <w:tcPr>
            <w:tcW w:type="dxa" w:w="3000"/>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SVM (RBF, balanced)</w:t>
            </w:r>
          </w:p>
        </w:tc>
        <w:tc>
          <w:tcPr>
            <w:tcW w:type="dxa" w:w="3000"/>
            <w:tcBorders>
              <w:top w:val="single" w:color="000000" w:sz="4"/>
              <w:left w:val="single" w:color="000000" w:sz="4"/>
              <w:bottom w:val="single" w:color="000000" w:sz="4"/>
              <w:right w:val="single" w:color="000000" w:sz="4"/>
            </w:tcBorders>
            <w:shd w:fill="E8EEF5" w:color="auto" w:val="clear"/>
            <w:tcMar>
              <w:top w:type="dxa" w:w="50"/>
              <w:left w:type="dxa" w:w="100"/>
              <w:bottom w:type="dxa" w:w="50"/>
              <w:right w:type="dxa" w:w="100"/>
            </w:tcMar>
          </w:tcPr>
          <w:p>
            <w:pPr>
              <w:keepNext/>
            </w:pPr>
            <w:r>
              <w:rPr>
                <w:rFonts w:ascii="Arial" w:cs="Arial" w:eastAsia="Arial" w:hAnsi="Arial"/>
                <w:b/>
                <w:bCs/>
                <w:sz w:val="20"/>
                <w:szCs w:val="20"/>
              </w:rPr>
              <w:t xml:space="preserve">XGBoost</w:t>
            </w:r>
          </w:p>
        </w:tc>
      </w:tr>
      <w:tr>
        <w:trPr>
          <w:tblHeader w:val="false"/>
        </w:trPr>
        <w:tc>
          <w:tcPr>
            <w:tcW w:type="dxa" w:w="39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bCs/>
                <w:sz w:val="20"/>
                <w:szCs w:val="20"/>
              </w:rPr>
              <w:t xml:space="preserve">Accuracy</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94.68%</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97.01%</w:t>
            </w:r>
          </w:p>
        </w:tc>
      </w:tr>
      <w:tr>
        <w:trPr>
          <w:tblHeader w:val="false"/>
        </w:trPr>
        <w:tc>
          <w:tcPr>
            <w:tcW w:type="dxa" w:w="39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bCs/>
                <w:sz w:val="20"/>
                <w:szCs w:val="20"/>
              </w:rPr>
              <w:t xml:space="preserve">Attack precision</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99.23%</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99.06%</w:t>
            </w:r>
          </w:p>
        </w:tc>
      </w:tr>
      <w:tr>
        <w:trPr>
          <w:tblHeader w:val="false"/>
        </w:trPr>
        <w:tc>
          <w:tcPr>
            <w:tcW w:type="dxa" w:w="39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bCs/>
                <w:sz w:val="20"/>
                <w:szCs w:val="20"/>
              </w:rPr>
              <w:t xml:space="preserve">Attack recall</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95.34%</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97.89%</w:t>
            </w:r>
          </w:p>
        </w:tc>
      </w:tr>
      <w:tr>
        <w:trPr>
          <w:tblHeader w:val="false"/>
        </w:trPr>
        <w:tc>
          <w:tcPr>
            <w:tcW w:type="dxa" w:w="39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bCs/>
                <w:sz w:val="20"/>
                <w:szCs w:val="20"/>
              </w:rPr>
              <w:t xml:space="preserve">Attack F1-score</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97.24%</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98.47%</w:t>
            </w:r>
          </w:p>
        </w:tc>
      </w:tr>
      <w:tr>
        <w:trPr>
          <w:tblHeader w:val="false"/>
        </w:trPr>
        <w:tc>
          <w:tcPr>
            <w:tcW w:type="dxa" w:w="39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bCs/>
                <w:sz w:val="20"/>
                <w:szCs w:val="20"/>
              </w:rPr>
              <w:t xml:space="preserve">PR-AUC</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99.86%</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99.94%</w:t>
            </w:r>
          </w:p>
        </w:tc>
      </w:tr>
      <w:tr>
        <w:trPr>
          <w:tblHeader w:val="false"/>
        </w:trPr>
        <w:tc>
          <w:tcPr>
            <w:tcW w:type="dxa" w:w="39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bCs/>
                <w:sz w:val="20"/>
                <w:szCs w:val="20"/>
              </w:rPr>
              <w:t xml:space="preserve">ROC-AUC</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92.49%</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96.37%</w:t>
            </w:r>
          </w:p>
        </w:tc>
      </w:tr>
      <w:tr>
        <w:trPr>
          <w:tblHeader w:val="false"/>
        </w:trPr>
        <w:tc>
          <w:tcPr>
            <w:tcW w:type="dxa" w:w="39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bCs/>
                <w:sz w:val="20"/>
                <w:szCs w:val="20"/>
              </w:rPr>
              <w:t xml:space="preserve">Balanced accuracy</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75.22%</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70.71%</w:t>
            </w:r>
          </w:p>
        </w:tc>
      </w:tr>
      <w:tr>
        <w:trPr>
          <w:tblHeader w:val="false"/>
        </w:trPr>
        <w:tc>
          <w:tcPr>
            <w:tcW w:type="dxa" w:w="39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bCs/>
                <w:sz w:val="20"/>
                <w:szCs w:val="20"/>
              </w:rPr>
              <w:t xml:space="preserve">Genuine recall (specificity)</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55.10%</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43.54%</w:t>
            </w:r>
          </w:p>
        </w:tc>
      </w:tr>
      <w:tr>
        <w:trPr>
          <w:tblHeader w:val="false"/>
        </w:trPr>
        <w:tc>
          <w:tcPr>
            <w:tcW w:type="dxa" w:w="39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bCs/>
                <w:sz w:val="20"/>
                <w:szCs w:val="20"/>
              </w:rPr>
              <w:t xml:space="preserve">False positive rate</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44.90%</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56.46%</w:t>
            </w:r>
          </w:p>
        </w:tc>
      </w:tr>
      <w:tr>
        <w:trPr>
          <w:tblHeader w:val="false"/>
        </w:trPr>
        <w:tc>
          <w:tcPr>
            <w:tcW w:type="dxa" w:w="39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bCs/>
                <w:sz w:val="20"/>
                <w:szCs w:val="20"/>
              </w:rPr>
              <w:t xml:space="preserve">False negative rate</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4.66%</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2.11%</w:t>
            </w:r>
          </w:p>
        </w:tc>
      </w:tr>
      <w:tr>
        <w:trPr>
          <w:tblHeader w:val="false"/>
        </w:trPr>
        <w:tc>
          <w:tcPr>
            <w:tcW w:type="dxa" w:w="39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bCs/>
                <w:sz w:val="20"/>
                <w:szCs w:val="20"/>
              </w:rPr>
              <w:t xml:space="preserve">Genuine correctly classified</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81 of 147</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pPr>
            <w:r>
              <w:rPr>
                <w:rFonts w:ascii="Arial" w:cs="Arial" w:eastAsia="Arial" w:hAnsi="Arial"/>
                <w:b w:val="false"/>
                <w:bCs w:val="false"/>
                <w:sz w:val="20"/>
                <w:szCs w:val="20"/>
              </w:rPr>
              <w:t xml:space="preserve">64 of 147</w:t>
            </w:r>
          </w:p>
        </w:tc>
      </w:tr>
      <w:tr>
        <w:trPr>
          <w:tblHeader w:val="false"/>
        </w:trPr>
        <w:tc>
          <w:tcPr>
            <w:tcW w:type="dxa" w:w="3936"/>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bCs/>
                <w:sz w:val="20"/>
                <w:szCs w:val="20"/>
              </w:rPr>
              <w:t xml:space="preserve">Macro F1-score</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val="false"/>
                <w:bCs w:val="false"/>
                <w:sz w:val="20"/>
                <w:szCs w:val="20"/>
              </w:rPr>
              <w:t xml:space="preserve">61.22%</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keepNext w:val="false"/>
            </w:pPr>
            <w:r>
              <w:rPr>
                <w:rFonts w:ascii="Arial" w:cs="Arial" w:eastAsia="Arial" w:hAnsi="Arial"/>
                <w:b w:val="false"/>
                <w:bCs w:val="false"/>
                <w:sz w:val="20"/>
                <w:szCs w:val="20"/>
              </w:rPr>
              <w:t xml:space="preserve">65.27%</w:t>
            </w:r>
          </w:p>
        </w:tc>
      </w:tr>
    </w:tbl>
    <w:p>
      <w:pPr>
        <w:pStyle w:val="Heading1"/>
        <w:keepNext/>
        <w:spacing w:after="100" w:before="240"/>
      </w:pPr>
      <w:r>
        <w:rPr>
          <w:rFonts w:ascii="Arial" w:cs="Arial" w:eastAsia="Arial" w:hAnsi="Arial"/>
          <w:b/>
          <w:bCs/>
          <w:color w:val="1F4E79"/>
          <w:sz w:val="26"/>
          <w:szCs w:val="26"/>
        </w:rPr>
        <w:t xml:space="preserve">Result Interpretation</w:t>
      </w:r>
    </w:p>
    <w:p>
      <w:pPr>
        <w:spacing w:after="110"/>
      </w:pPr>
      <w:r>
        <w:rPr>
          <w:rFonts w:ascii="Arial" w:cs="Arial" w:eastAsia="Arial" w:hAnsi="Arial"/>
          <w:sz w:val="20"/>
          <w:szCs w:val="20"/>
        </w:rPr>
        <w:t xml:space="preserve">The balanced SVM achieved 94.68% overall accuracy and detected 8,487 of the 8,902 attack records in the out-of-fold evaluation. Attack-class precision was 99.23%, attack recall was 95.34%, and PR-AUC was 99.86%. These results indicate strong performance on the majority attack class, although the SVM missed 415 attacks (FNR 4.66%), more than XGBoost's 188.</w:t>
      </w:r>
    </w:p>
    <w:p>
      <w:pPr>
        <w:spacing w:after="110"/>
      </w:pPr>
      <w:r>
        <w:rPr>
          <w:rFonts w:ascii="Arial" w:cs="Arial" w:eastAsia="Arial" w:hAnsi="Arial"/>
          <w:sz w:val="20"/>
          <w:szCs w:val="20"/>
        </w:rPr>
        <w:t xml:space="preserve">However, the dataset is highly imbalanced: attack samples account for approximately 98.38% of all records. The model correctly classified 81 of 147 genuine records and incorrectly flagged 66 genuine records as attacks. Genuine-class recall (specificity when attack is the positive class) was 55.10%, and the false-positive rate was 44.90%. Genuine-class precision was only 16.33%, because the 415 missed attacks that were labelled genuine far outnumber the true genuine records. Overall accuracy and attack metrics alone therefore do not demonstrate balanced performance across both classes.</w:t>
      </w:r>
    </w:p>
    <w:p>
      <w:pPr>
        <w:spacing w:after="110"/>
      </w:pPr>
      <w:r>
        <w:rPr>
          <w:rFonts w:ascii="Arial" w:cs="Arial" w:eastAsia="Arial" w:hAnsi="Arial"/>
          <w:sz w:val="20"/>
          <w:szCs w:val="20"/>
        </w:rPr>
        <w:t xml:space="preserve">Compared with XGBoost, the SVM was less accurate overall (94.68% vs 97.01%) and missed more attacks, but it recognized more genuine records (81 vs 64 of 147), giving a higher balanced accuracy (75.22% vs 70.71%) and a lower false-positive rate (44.90% vs 56.46%). Its ROC-AUC (92.49%) was lower than XGBoost's (96.37%), and its attack-class F1 was also lower. Neither model is strong on the genuine class; the SVM trades some attack recall for better genuine recall. Because genuine records number only 147, differences of a few records move these percentages noticeably.</w:t>
      </w:r>
    </w:p>
    <w:p>
      <w:pPr>
        <w:spacing w:after="110"/>
      </w:pPr>
      <w:r>
        <w:rPr>
          <w:rFonts w:ascii="Arial" w:cs="Arial" w:eastAsia="Arial" w:hAnsi="Arial"/>
          <w:sz w:val="20"/>
          <w:szCs w:val="20"/>
        </w:rPr>
        <w:t xml:space="preserve">The predefined folds also have an uneven distribution of genuine samples: fold 2 contains no genuine test samples, and fold 4 contains only five. The SVM classified 20 of 61 genuine records correctly in fold 0 and 16 of 37 in fold 1, compared with 40 of 44 in fold 3 and 5 of 5 in fold 4, so genuine-class performance varies considerably between folds. ROC-AUC and PR-AUC were calculated from decision-function scores pooled across the five fold-specific models, which are not guaranteed to share a common scale, so they should be read as approximate. Threshold tuning on validation data, careful cross-validation, hyperparameter tuning of C and gamma using training data only, and additional evaluation on an independently collected dataset are recommended.</w:t>
      </w:r>
    </w:p>
    <w:p>
      <w:pPr>
        <w:pStyle w:val="Heading1"/>
        <w:keepNext/>
        <w:spacing w:after="100" w:before="240"/>
      </w:pPr>
      <w:r>
        <w:rPr>
          <w:rFonts w:ascii="Arial" w:cs="Arial" w:eastAsia="Arial" w:hAnsi="Arial"/>
          <w:b/>
          <w:bCs/>
          <w:color w:val="1F4E79"/>
          <w:sz w:val="26"/>
          <w:szCs w:val="26"/>
        </w:rPr>
        <w:t xml:space="preserve">Important Dataset Note</w:t>
      </w:r>
    </w:p>
    <w:p>
      <w:pPr>
        <w:spacing w:after="110"/>
      </w:pPr>
      <w:r>
        <w:rPr>
          <w:rFonts w:ascii="Arial" w:cs="Arial" w:eastAsia="Arial" w:hAnsi="Arial"/>
          <w:sz w:val="20"/>
          <w:szCs w:val="20"/>
        </w:rPr>
        <w:t xml:space="preserve">The two_bsm_clean.csv file used for this report contains 9,049 records, the same file used for the XGBoost report. The supplied Random Forest reference report states 8,931 records, which is a different total, so results should not be treated as a strict head-to-head comparison with that model unless all models are evaluated on the same exact file, feature handling, and partitions.</w:t>
      </w:r>
    </w:p>
    <w:p>
      <w:pPr>
        <w:pStyle w:val="Heading1"/>
        <w:keepNext/>
        <w:spacing w:after="100" w:before="240"/>
      </w:pPr>
      <w:r>
        <w:rPr>
          <w:rFonts w:ascii="Arial" w:cs="Arial" w:eastAsia="Arial" w:hAnsi="Arial"/>
          <w:b/>
          <w:bCs/>
          <w:color w:val="1F4E79"/>
          <w:sz w:val="26"/>
          <w:szCs w:val="26"/>
        </w:rPr>
        <w:t xml:space="preserve">Conclusion</w:t>
      </w:r>
    </w:p>
    <w:p>
      <w:pPr>
        <w:spacing w:after="110"/>
      </w:pPr>
      <w:r>
        <w:rPr>
          <w:rFonts w:ascii="Arial" w:cs="Arial" w:eastAsia="Arial" w:hAnsi="Arial"/>
          <w:sz w:val="20"/>
          <w:szCs w:val="20"/>
        </w:rPr>
        <w:t xml:space="preserve">The SVM provides a reasonable classical baseline for identifying attack traffic in this VANET BSM dataset, particularly for the majority attack class, but only when class weighting is used; without it the model simply predicts attack for every record. Its genuine-class recall of 55.10% and false-positive rate of 44.90% show that further work is needed before it can be considered reliable for deployment. Future experiments should tune C and gamma, prioritize balanced metrics, reduce false alarms, verify fold definitions, and compare models using identical leakage-safe evaluation protocols.</w:t>
      </w:r>
    </w:p>
    <w:sectPr>
      <w:footerReference w:type="default" r:id="rId7"/>
      <w:pgSz w:w="12240" w:h="15840" w:orient="portrait"/>
      <w:pgMar w:top="1008" w:right="1152" w:bottom="1008" w:left="1152"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SVM VANET Evaluation Report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2026-10-13T19:15:34.005Z</dcterms:created>
  <dcterms:modified xsi:type="dcterms:W3CDTF">2026-10-13T19:15:34.005Z</dcterms:modified>
</cp:coreProperties>
</file>

<file path=docProps/custom.xml><?xml version="1.0" encoding="utf-8"?>
<Properties xmlns="http://schemas.openxmlformats.org/officeDocument/2006/custom-properties" xmlns:vt="http://schemas.openxmlformats.org/officeDocument/2006/docPropsVTypes"/>
</file>