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before="90"/>
      </w:pPr>
      <w:r>
        <w:rPr>
          <w:rFonts w:ascii="Times New Roman" w:cs="Times New Roman" w:eastAsia="Times New Roman" w:hAnsi="Times New Roman"/>
          <w:b/>
          <w:bCs/>
          <w:sz w:val="22"/>
          <w:szCs w:val="22"/>
        </w:rPr>
        <w:t xml:space="preserve">1. K-Nearest Neighbors Model</w:t>
      </w:r>
    </w:p>
    <w:p>
      <w:pPr>
        <w:spacing w:after="60" w:line="235"/>
        <w:jc w:val="both"/>
      </w:pPr>
      <w:r>
        <w:rPr>
          <w:rFonts w:ascii="Times New Roman" w:cs="Times New Roman" w:eastAsia="Times New Roman" w:hAnsi="Times New Roman"/>
          <w:sz w:val="19"/>
          <w:szCs w:val="19"/>
        </w:rPr>
        <w:t xml:space="preserve">K-Nearest Neighbors (KNN) is a non-parametric, instance-based classifier used as the second model for detecting Sybil attacks in VANET basic safety message (BSM) data. It was implemented with scikit-learn’s </w:t>
      </w:r>
      <w:r>
        <w:rPr>
          <w:rFonts w:ascii="Times New Roman" w:cs="Times New Roman" w:eastAsia="Times New Roman" w:hAnsi="Times New Roman"/>
          <w:i/>
          <w:iCs/>
          <w:sz w:val="19"/>
          <w:szCs w:val="19"/>
        </w:rPr>
        <w:t xml:space="preserve">KNeighborsClassifier</w:t>
      </w:r>
      <w:r>
        <w:rPr>
          <w:rFonts w:ascii="Times New Roman" w:cs="Times New Roman" w:eastAsia="Times New Roman" w:hAnsi="Times New Roman"/>
          <w:sz w:val="19"/>
          <w:szCs w:val="19"/>
        </w:rPr>
        <w:t xml:space="preserve"> inside a pipeline of feature standardisation, optional training-only resampling and the classifier.</w:t>
      </w:r>
    </w:p>
    <w:p>
      <w:pPr>
        <w:keepNext/>
        <w:spacing w:after="40" w:before="90"/>
      </w:pPr>
      <w:r>
        <w:rPr>
          <w:rFonts w:ascii="Times New Roman" w:cs="Times New Roman" w:eastAsia="Times New Roman" w:hAnsi="Times New Roman"/>
          <w:b/>
          <w:bCs/>
          <w:sz w:val="22"/>
          <w:szCs w:val="22"/>
        </w:rPr>
        <w:t xml:space="preserve">2. Working Principle</w:t>
      </w:r>
    </w:p>
    <w:p>
      <w:pPr>
        <w:spacing w:after="60" w:line="235"/>
        <w:jc w:val="both"/>
      </w:pPr>
      <w:r>
        <w:rPr>
          <w:rFonts w:ascii="Times New Roman" w:cs="Times New Roman" w:eastAsia="Times New Roman" w:hAnsi="Times New Roman"/>
          <w:sz w:val="19"/>
          <w:szCs w:val="19"/>
        </w:rPr>
        <w:t xml:space="preserve">KNN stores the training records and assigns a new record the majority label of its k nearest training records under a chosen distance (Euclidean, Manhattan or Chebyshev); votes are either uniform or weighted by inverse distance. Since predictions depend directly on distances, all 60 features were standardised using statistics from the training data only. KNN has no class-weight option, so class imbalance has to be addressed by resampling the training data or through the voting rule.</w:t>
      </w:r>
    </w:p>
    <w:p>
      <w:pPr>
        <w:keepNext/>
        <w:spacing w:after="40" w:before="90"/>
      </w:pPr>
      <w:r>
        <w:rPr>
          <w:rFonts w:ascii="Times New Roman" w:cs="Times New Roman" w:eastAsia="Times New Roman" w:hAnsi="Times New Roman"/>
          <w:b/>
          <w:bCs/>
          <w:sz w:val="22"/>
          <w:szCs w:val="22"/>
        </w:rPr>
        <w:t xml:space="preserve">3. Dataset and Experimental Setup</w:t>
      </w:r>
    </w:p>
    <w:p>
      <w:pPr>
        <w:spacing w:after="60" w:line="235"/>
        <w:jc w:val="both"/>
      </w:pPr>
      <w:r>
        <w:rPr>
          <w:rFonts w:ascii="Times New Roman" w:cs="Times New Roman" w:eastAsia="Times New Roman" w:hAnsi="Times New Roman"/>
          <w:sz w:val="19"/>
          <w:szCs w:val="19"/>
        </w:rPr>
        <w:t xml:space="preserve">The dataset contains 8,931 unique records (8,784 Attack, 147 Genuine; imbalance 59.8:1) after removing 118 exact feature duplicates, with 60 input features; </w:t>
      </w:r>
      <w:r>
        <w:rPr>
          <w:rFonts w:ascii="Times New Roman" w:cs="Times New Roman" w:eastAsia="Times New Roman" w:hAnsi="Times New Roman"/>
          <w:i/>
          <w:iCs/>
          <w:sz w:val="19"/>
          <w:szCs w:val="19"/>
        </w:rPr>
        <w:t xml:space="preserve">label</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attack_type</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reported_id</w:t>
      </w:r>
      <w:r>
        <w:rPr>
          <w:rFonts w:ascii="Times New Roman" w:cs="Times New Roman" w:eastAsia="Times New Roman" w:hAnsi="Times New Roman"/>
          <w:sz w:val="19"/>
          <w:szCs w:val="19"/>
        </w:rPr>
        <w:t xml:space="preserve"> and the fold indicator were excluded from the inputs. The Genuine records come from only 8 vehicles. The five predefined, vehicle-disjoint folds served as outer test sets; fold 2 contains no Genuine record and fold 4 only five. The baseline used k = 5, uniform voting and Euclidean distance. Tuning selected k ∈ {1,…,31}, the voting scheme and the distance metric separately for each outer fold by nested leave-one-fold-out cross-validation on the four training folds (criterion: macro-F1). Random undersampling and SMOTE (class ratios 1:1 and 1:5) were applied to training data only; test folds were never modified. Attack is the positive class.</w:t>
      </w:r>
    </w:p>
    <w:p>
      <w:pPr>
        <w:keepNext/>
        <w:spacing w:after="40" w:before="90"/>
      </w:pPr>
      <w:r>
        <w:rPr>
          <w:rFonts w:ascii="Times New Roman" w:cs="Times New Roman" w:eastAsia="Times New Roman" w:hAnsi="Times New Roman"/>
          <w:b/>
          <w:bCs/>
          <w:sz w:val="22"/>
          <w:szCs w:val="22"/>
        </w:rPr>
        <w:t xml:space="preserve">4. KNN Evaluation Results</w:t>
      </w:r>
    </w:p>
    <w:p>
      <w:pPr>
        <w:spacing w:after="40" w:line="235"/>
        <w:jc w:val="both"/>
      </w:pPr>
      <w:r>
        <w:rPr>
          <w:rFonts w:ascii="Times New Roman" w:cs="Times New Roman" w:eastAsia="Times New Roman" w:hAnsi="Times New Roman"/>
          <w:sz w:val="19"/>
          <w:szCs w:val="19"/>
        </w:rPr>
        <w:t xml:space="preserve">Table 1 gives pooled out-of-fold results for the baseline and three tuned variants (all configurations are in the supplied files). Genuine-class metrics are undefined for fold 2 and are computed from the remaining folds.</w:t>
      </w:r>
    </w:p>
    <w:p>
      <w:pPr>
        <w:keepNext/>
        <w:spacing w:after="30"/>
      </w:pPr>
      <w:r>
        <w:rPr>
          <w:rFonts w:ascii="Times New Roman" w:cs="Times New Roman" w:eastAsia="Times New Roman" w:hAnsi="Times New Roman"/>
          <w:i/>
          <w:iCs/>
          <w:sz w:val="16"/>
          <w:szCs w:val="16"/>
        </w:rPr>
        <w:t xml:space="preserve">Table 1. Pooled out-of-fold results (n = 8,931, Attack = positive class). P = precision, R = recall; FPR = Genuine flagged as Attack, FNR = Attack missed.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900"/>
        <w:gridCol w:w="620"/>
        <w:gridCol w:w="620"/>
        <w:gridCol w:w="620"/>
        <w:gridCol w:w="620"/>
        <w:gridCol w:w="620"/>
        <w:gridCol w:w="620"/>
        <w:gridCol w:w="620"/>
        <w:gridCol w:w="620"/>
        <w:gridCol w:w="620"/>
        <w:gridCol w:w="620"/>
        <w:gridCol w:w="620"/>
        <w:gridCol w:w="1380"/>
      </w:tblGrid>
      <w:tr>
        <w:trPr>
          <w:tblHeader/>
        </w:trPr>
        <w:tc>
          <w:tcPr>
            <w:tcW w:type="dxa" w:w="190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left"/>
            </w:pPr>
            <w:r>
              <w:rPr>
                <w:rFonts w:ascii="Times New Roman" w:cs="Times New Roman" w:eastAsia="Times New Roman" w:hAnsi="Times New Roman"/>
                <w:b/>
                <w:bCs/>
                <w:sz w:val="15"/>
                <w:szCs w:val="15"/>
              </w:rPr>
              <w:t xml:space="preserve">Configuration</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Acc.</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Bal. Acc.</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Att. P</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Att. R</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Att. F1</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Gen. P</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Gen. R</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Gen. F1</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PR-AUC (Att.)</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FPR</w:t>
            </w:r>
          </w:p>
        </w:tc>
        <w:tc>
          <w:tcPr>
            <w:tcW w:type="dxa" w:w="62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FNR</w:t>
            </w:r>
          </w:p>
        </w:tc>
        <w:tc>
          <w:tcPr>
            <w:tcW w:type="dxa" w:w="1380"/>
            <w:tcBorders>
              <w:top w:val="single" w:color="808080" w:sz="4"/>
              <w:left w:val="single" w:color="808080" w:sz="4"/>
              <w:bottom w:val="single" w:color="808080" w:sz="4"/>
              <w:right w:val="single" w:color="808080" w:sz="4"/>
            </w:tcBorders>
            <w:shd w:fill="E7E6E6" w:color="auto" w:val="clear"/>
            <w:tcMar>
              <w:top w:type="dxa" w:w="25"/>
              <w:left w:type="dxa" w:w="40"/>
              <w:bottom w:type="dxa" w:w="25"/>
              <w:right w:type="dxa" w:w="40"/>
            </w:tcMar>
            <w:vAlign w:val="center"/>
          </w:tcPr>
          <w:p>
            <w:pPr>
              <w:jc w:val="center"/>
            </w:pPr>
            <w:r>
              <w:rPr>
                <w:rFonts w:ascii="Times New Roman" w:cs="Times New Roman" w:eastAsia="Times New Roman" w:hAnsi="Times New Roman"/>
                <w:b/>
                <w:bCs/>
                <w:sz w:val="15"/>
                <w:szCs w:val="15"/>
              </w:rPr>
              <w:t xml:space="preserve">TN / FP / FN / TP</w:t>
            </w:r>
          </w:p>
        </w:tc>
      </w:tr>
      <w:tr>
        <w:tc>
          <w:tcPr>
            <w:tcW w:type="dxa" w:w="190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left"/>
            </w:pPr>
            <w:r>
              <w:rPr>
                <w:rFonts w:ascii="Times New Roman" w:cs="Times New Roman" w:eastAsia="Times New Roman" w:hAnsi="Times New Roman"/>
                <w:b w:val="false"/>
                <w:bCs w:val="false"/>
                <w:sz w:val="15"/>
                <w:szCs w:val="15"/>
              </w:rPr>
              <w:t xml:space="preserve">Baseline (k=5, uniform, Euclid.)</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0.971</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0.584</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0.986</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0.984</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0.985</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0.164</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0.184</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0.173</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0.987</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0.816</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0.016</w:t>
            </w:r>
          </w:p>
        </w:tc>
        <w:tc>
          <w:tcPr>
            <w:tcW w:type="dxa" w:w="138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27 / 120 / 138 / 8646</w:t>
            </w:r>
          </w:p>
        </w:tc>
      </w:tr>
      <w:tr>
        <w:tc>
          <w:tcPr>
            <w:tcW w:type="dxa" w:w="190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left"/>
            </w:pPr>
            <w:r>
              <w:rPr>
                <w:rFonts w:ascii="Times New Roman" w:cs="Times New Roman" w:eastAsia="Times New Roman" w:hAnsi="Times New Roman"/>
                <w:b w:val="false"/>
                <w:bCs w:val="false"/>
                <w:sz w:val="15"/>
                <w:szCs w:val="15"/>
              </w:rPr>
              <w:t xml:space="preserve">Tuned, no resampling</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0.977</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0.577</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0.986</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0.990</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0.988</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0.222</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0.163</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0.188</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0.988</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0.837</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0.010</w:t>
            </w:r>
          </w:p>
        </w:tc>
        <w:tc>
          <w:tcPr>
            <w:tcW w:type="dxa" w:w="138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24 / 123 / 84 / 8700</w:t>
            </w:r>
          </w:p>
        </w:tc>
      </w:tr>
      <w:tr>
        <w:tc>
          <w:tcPr>
            <w:tcW w:type="dxa" w:w="190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left"/>
            </w:pPr>
            <w:r>
              <w:rPr>
                <w:rFonts w:ascii="Times New Roman" w:cs="Times New Roman" w:eastAsia="Times New Roman" w:hAnsi="Times New Roman"/>
                <w:b w:val="false"/>
                <w:bCs w:val="false"/>
                <w:sz w:val="15"/>
                <w:szCs w:val="15"/>
              </w:rPr>
              <w:t xml:space="preserve">Tuned + undersampling 1:1</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0.836</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0.833</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0.997</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0.836</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0.909</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0.078</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0.830</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0.143</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0.994</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0.170</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0.164</w:t>
            </w:r>
          </w:p>
        </w:tc>
        <w:tc>
          <w:tcPr>
            <w:tcW w:type="dxa" w:w="138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122 / 25 / 1441 / 7343</w:t>
            </w:r>
          </w:p>
        </w:tc>
      </w:tr>
      <w:tr>
        <w:tc>
          <w:tcPr>
            <w:tcW w:type="dxa" w:w="190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left"/>
            </w:pPr>
            <w:r>
              <w:rPr>
                <w:rFonts w:ascii="Times New Roman" w:cs="Times New Roman" w:eastAsia="Times New Roman" w:hAnsi="Times New Roman"/>
                <w:b w:val="false"/>
                <w:bCs w:val="false"/>
                <w:sz w:val="15"/>
                <w:szCs w:val="15"/>
              </w:rPr>
              <w:t xml:space="preserve">Tuned + SMOTE 1:5</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0.960</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0.632</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0.988</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0.971</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0.980</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0.146</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0.293</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0.195</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0.994</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0.707</w:t>
            </w:r>
          </w:p>
        </w:tc>
        <w:tc>
          <w:tcPr>
            <w:tcW w:type="dxa" w:w="62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0.029</w:t>
            </w:r>
          </w:p>
        </w:tc>
        <w:tc>
          <w:tcPr>
            <w:tcW w:type="dxa" w:w="1380"/>
            <w:tcBorders>
              <w:top w:val="single" w:color="808080" w:sz="4"/>
              <w:left w:val="single" w:color="808080" w:sz="4"/>
              <w:bottom w:val="single" w:color="808080" w:sz="4"/>
              <w:right w:val="single" w:color="808080" w:sz="4"/>
            </w:tcBorders>
            <w:tcMar>
              <w:top w:type="dxa" w:w="25"/>
              <w:left w:type="dxa" w:w="40"/>
              <w:bottom w:type="dxa" w:w="25"/>
              <w:right w:type="dxa" w:w="40"/>
            </w:tcMar>
            <w:vAlign w:val="center"/>
          </w:tcPr>
          <w:p>
            <w:pPr>
              <w:jc w:val="center"/>
            </w:pPr>
            <w:r>
              <w:rPr>
                <w:rFonts w:ascii="Times New Roman" w:cs="Times New Roman" w:eastAsia="Times New Roman" w:hAnsi="Times New Roman"/>
                <w:b w:val="false"/>
                <w:bCs w:val="false"/>
                <w:sz w:val="15"/>
                <w:szCs w:val="15"/>
              </w:rPr>
              <w:t xml:space="preserve">43 / 104 / 251 / 8533</w:t>
            </w:r>
          </w:p>
        </w:tc>
      </w:tr>
    </w:tbl>
    <w:p>
      <w:pPr>
        <w:spacing w:after="60" w:before="60" w:line="235"/>
        <w:jc w:val="both"/>
      </w:pPr>
      <w:r>
        <w:rPr>
          <w:rFonts w:ascii="Times New Roman" w:cs="Times New Roman" w:eastAsia="Times New Roman" w:hAnsi="Times New Roman"/>
          <w:sz w:val="19"/>
          <w:szCs w:val="19"/>
        </w:rPr>
        <w:t xml:space="preserve">The baseline recognised only 27 of 147 Genuine records (per-fold Genuine recall 0.246, 0.135, 0.159 and 0.000 for folds 0, 1, 3 and 4; fold 2 undefined). Fitting the baseline took 0.09 s and prediction 0.41 s over the five folds; nested tuning took 19.7 s (no resampling), 2.4 s (undersampling 1:1) and 23.0 s (SMOTE 1:5) on one CPU.</w:t>
      </w:r>
    </w:p>
    <w:p>
      <w:pPr>
        <w:keepNext/>
        <w:spacing w:after="40" w:before="90"/>
      </w:pPr>
      <w:r>
        <w:rPr>
          <w:rFonts w:ascii="Times New Roman" w:cs="Times New Roman" w:eastAsia="Times New Roman" w:hAnsi="Times New Roman"/>
          <w:b/>
          <w:bCs/>
          <w:sz w:val="22"/>
          <w:szCs w:val="22"/>
        </w:rPr>
        <w:t xml:space="preserve">5. Result Interpretation</w:t>
      </w:r>
    </w:p>
    <w:p>
      <w:pPr>
        <w:spacing w:after="60" w:line="235"/>
        <w:jc w:val="both"/>
      </w:pPr>
      <w:r>
        <w:rPr>
          <w:rFonts w:ascii="Times New Roman" w:cs="Times New Roman" w:eastAsia="Times New Roman" w:hAnsi="Times New Roman"/>
          <w:sz w:val="19"/>
          <w:szCs w:val="19"/>
        </w:rPr>
        <w:t xml:space="preserve">KNN detects Attack records reliably (recall 0.984–0.990 without resampling) but separates Genuine records poorly. Accuracy is misleading here: always predicting Attack would give 0.984, above the baseline (0.971) and the tuned model (0.977), and PR-AUC for Attack (0.987–0.994) stays close to its no-skill level of 0.984. Tuning without resampling gave a small gain in Attack F1 (0.985 to 0.988) but did not improve Genuine recall (0.163 versus 0.184 for the baseline), and the selected k varied between 3 and 31 across folds, so the gain is modest and unstable. Resampling mainly moves the operating point along a trade-off: undersampling 1:1 raised Genuine recall to 0.830 (95% Wilson interval 0.76–0.88) and balanced accuracy to 0.833, but missed 16.4% of attacks and reduced Genuine precision to 0.078; SMOTE 1:5 gave only a modest change (Genuine recall 0.293; Genuine PR-AUC 0.139 against a prevalence of 0.016). The weak Genuine detection may reflect that these records originate from only 8 vehicles while folds are vehicle-disjoint; this was not tested. Limitations: Genuine results rest on 147 records and are very noisy in fold 4; the −20 sentinel values were left unchanged; strategies were compared on the outer folds; and no comparison with Random Forest is made because no common, verified evaluation was available.</w:t>
      </w:r>
    </w:p>
    <w:sectPr>
      <w:pgSz w:w="11906" w:h="16838" w:orient="portrait"/>
      <w:pgMar w:top="760" w:right="903" w:bottom="700" w:left="9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2026-10-13T07:53:59.816Z</dcterms:created>
  <dcterms:modified xsi:type="dcterms:W3CDTF">2026-10-13T07:53:59.825Z</dcterms:modified>
</cp:coreProperties>
</file>

<file path=docProps/custom.xml><?xml version="1.0" encoding="utf-8"?>
<Properties xmlns="http://schemas.openxmlformats.org/officeDocument/2006/custom-properties" xmlns:vt="http://schemas.openxmlformats.org/officeDocument/2006/docPropsVTypes"/>
</file>