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54079" w14:textId="4B0F31EB" w:rsidR="00EE0996" w:rsidRPr="0046476B" w:rsidRDefault="0046476B" w:rsidP="0046476B">
      <w:pPr>
        <w:jc w:val="center"/>
        <w:rPr>
          <w:rFonts w:ascii="Aptos" w:hAnsi="Aptos" w:cstheme="minorHAnsi"/>
          <w:b/>
          <w:bCs/>
          <w:sz w:val="32"/>
          <w:szCs w:val="32"/>
        </w:rPr>
      </w:pPr>
      <w:r w:rsidRPr="0046476B">
        <w:rPr>
          <w:rFonts w:ascii="Aptos" w:hAnsi="Aptos" w:cstheme="minorHAnsi"/>
          <w:b/>
          <w:bCs/>
          <w:sz w:val="32"/>
          <w:szCs w:val="32"/>
        </w:rPr>
        <w:t xml:space="preserve">Case </w:t>
      </w:r>
      <w:proofErr w:type="gramStart"/>
      <w:r w:rsidRPr="0046476B">
        <w:rPr>
          <w:rFonts w:ascii="Aptos" w:hAnsi="Aptos" w:cstheme="minorHAnsi"/>
          <w:b/>
          <w:bCs/>
          <w:sz w:val="32"/>
          <w:szCs w:val="32"/>
        </w:rPr>
        <w:t>Study :</w:t>
      </w:r>
      <w:proofErr w:type="gramEnd"/>
      <w:r w:rsidRPr="0046476B">
        <w:rPr>
          <w:rFonts w:ascii="Aptos" w:hAnsi="Aptos" w:cstheme="minorHAnsi"/>
          <w:b/>
          <w:bCs/>
          <w:sz w:val="32"/>
          <w:szCs w:val="32"/>
        </w:rPr>
        <w:t xml:space="preserve"> Tuberculosis Trends – Global and Regional Insights</w:t>
      </w:r>
    </w:p>
    <w:p w14:paraId="0FFFF654" w14:textId="26970508" w:rsidR="0046476B" w:rsidRPr="0046476B" w:rsidRDefault="0046476B" w:rsidP="0046476B">
      <w:pPr>
        <w:rPr>
          <w:rFonts w:ascii="Aptos" w:hAnsi="Aptos" w:cstheme="minorHAnsi"/>
          <w:b/>
          <w:bCs/>
          <w:sz w:val="28"/>
          <w:szCs w:val="28"/>
        </w:rPr>
      </w:pPr>
      <w:r w:rsidRPr="0046476B">
        <w:rPr>
          <w:rFonts w:ascii="Aptos" w:hAnsi="Aptos" w:cstheme="minorHAnsi"/>
          <w:b/>
          <w:bCs/>
          <w:sz w:val="28"/>
          <w:szCs w:val="28"/>
        </w:rPr>
        <w:t>Introduction</w:t>
      </w:r>
    </w:p>
    <w:p w14:paraId="0A55A550" w14:textId="4CC4D6EF" w:rsidR="0046476B" w:rsidRDefault="0046476B" w:rsidP="0046476B">
      <w:pPr>
        <w:rPr>
          <w:rFonts w:ascii="Aptos" w:hAnsi="Aptos" w:cstheme="minorHAnsi"/>
          <w:sz w:val="24"/>
          <w:szCs w:val="24"/>
        </w:rPr>
      </w:pPr>
      <w:r>
        <w:rPr>
          <w:rFonts w:ascii="Aptos" w:hAnsi="Aptos" w:cstheme="minorHAnsi"/>
          <w:sz w:val="24"/>
          <w:szCs w:val="24"/>
        </w:rPr>
        <w:t>Welcome to the Tuberculosis Trends – Global and Regional Insights case study. We will be dealing with finding the trends of the Tuberculosis disease and what are the social and economic factors what affect the growth, spread and treatment of this disease.</w:t>
      </w:r>
    </w:p>
    <w:p w14:paraId="78240D38" w14:textId="2F07E3E1" w:rsidR="0046476B" w:rsidRDefault="0046476B" w:rsidP="0046476B">
      <w:pPr>
        <w:rPr>
          <w:rFonts w:ascii="Aptos" w:hAnsi="Aptos" w:cstheme="minorHAnsi"/>
          <w:b/>
          <w:bCs/>
          <w:sz w:val="24"/>
          <w:szCs w:val="24"/>
        </w:rPr>
      </w:pPr>
      <w:r w:rsidRPr="0046476B">
        <w:rPr>
          <w:rFonts w:ascii="Aptos" w:hAnsi="Aptos" w:cstheme="minorHAnsi"/>
          <w:b/>
          <w:bCs/>
          <w:sz w:val="24"/>
          <w:szCs w:val="24"/>
        </w:rPr>
        <w:t xml:space="preserve">About Tuberculosis </w:t>
      </w:r>
    </w:p>
    <w:p w14:paraId="6E1EDA45"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Tuberculosis (TB) is an infectious disease caused by bacteria that most often affects the lungs. It spreads through the air when people with TB cough, sneeze or spit.</w:t>
      </w:r>
    </w:p>
    <w:p w14:paraId="30A86933"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Tuberculosis is preventable and curable.</w:t>
      </w:r>
    </w:p>
    <w:p w14:paraId="47D8A52A"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About a quarter of the global population is estimated to have been infected with TB bacteria. About 5–10% of people infected with TB will eventually get symptoms and develop TB disease.</w:t>
      </w:r>
    </w:p>
    <w:p w14:paraId="5D451BB7"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Those who are infected but free of disease cannot transmit it. TB disease is usually treated with antibiotics and can be fatal without treatment.</w:t>
      </w:r>
    </w:p>
    <w:p w14:paraId="3F45250E"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In certain countries, the Bacille Calmette-Guérin (BCG) vaccine is given to babies or small children to prevent TB. The vaccine prevents deaths from TB and protects children from serious forms of TB.</w:t>
      </w:r>
    </w:p>
    <w:p w14:paraId="5AAB614D"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Certain conditions can increase a person’s risk for TB disease:</w:t>
      </w:r>
    </w:p>
    <w:p w14:paraId="7BC0B14B"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diabetes (high blood sugar)</w:t>
      </w:r>
    </w:p>
    <w:p w14:paraId="2A5E80C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weakened immune system (for example, from HIV or AIDS)</w:t>
      </w:r>
    </w:p>
    <w:p w14:paraId="067F604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being malnourished</w:t>
      </w:r>
    </w:p>
    <w:p w14:paraId="5F9D8C03"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tobacco use</w:t>
      </w:r>
    </w:p>
    <w:p w14:paraId="3A11317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harmful use of alcohol.</w:t>
      </w:r>
    </w:p>
    <w:p w14:paraId="40A3B564" w14:textId="77777777" w:rsidR="0046476B" w:rsidRPr="0046476B" w:rsidRDefault="0046476B" w:rsidP="0046476B">
      <w:pPr>
        <w:rPr>
          <w:rFonts w:ascii="Aptos" w:hAnsi="Aptos" w:cstheme="minorHAnsi"/>
          <w:b/>
          <w:bCs/>
          <w:sz w:val="24"/>
          <w:szCs w:val="24"/>
        </w:rPr>
      </w:pPr>
      <w:r w:rsidRPr="0046476B">
        <w:rPr>
          <w:rFonts w:ascii="Aptos" w:hAnsi="Aptos" w:cstheme="minorHAnsi"/>
          <w:b/>
          <w:bCs/>
          <w:sz w:val="24"/>
          <w:szCs w:val="24"/>
        </w:rPr>
        <w:t>Symptoms</w:t>
      </w:r>
    </w:p>
    <w:p w14:paraId="63728D46"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People with TB infection don’t feel sick and aren’t contagious. Only a small proportion of people who get infected with TB will get TB disease and symptoms. Babies and children are at higher risk.</w:t>
      </w:r>
    </w:p>
    <w:p w14:paraId="3CA2AF5D"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TB disease occurs when bacteria multiply in the body and affect different organs. TB symptoms may be mild for many months, so it is easy to spread TB to others without knowing it. Some people with TB disease do not have any symptoms.</w:t>
      </w:r>
    </w:p>
    <w:p w14:paraId="482E6311"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Common symptoms of TB are:</w:t>
      </w:r>
    </w:p>
    <w:p w14:paraId="369B6CAD"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prolonged cough (sometimes with blood)</w:t>
      </w:r>
    </w:p>
    <w:p w14:paraId="03A4F91A"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chest pain</w:t>
      </w:r>
    </w:p>
    <w:p w14:paraId="6AF4FC29"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lastRenderedPageBreak/>
        <w:t>weakness</w:t>
      </w:r>
    </w:p>
    <w:p w14:paraId="537AA70E"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fatigue</w:t>
      </w:r>
    </w:p>
    <w:p w14:paraId="2367AF29"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weight loss</w:t>
      </w:r>
    </w:p>
    <w:p w14:paraId="5BB78106"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fever</w:t>
      </w:r>
    </w:p>
    <w:p w14:paraId="29DDA7CF"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night sweats</w:t>
      </w:r>
    </w:p>
    <w:p w14:paraId="3EF6CCDC" w14:textId="5B20C922" w:rsidR="0046476B" w:rsidRPr="0046476B" w:rsidRDefault="0046476B" w:rsidP="0046476B">
      <w:pPr>
        <w:rPr>
          <w:rFonts w:ascii="Aptos" w:hAnsi="Aptos" w:cstheme="minorHAnsi"/>
          <w:b/>
          <w:bCs/>
          <w:sz w:val="24"/>
          <w:szCs w:val="24"/>
        </w:rPr>
      </w:pPr>
      <w:r w:rsidRPr="0046476B">
        <w:rPr>
          <w:rFonts w:ascii="Aptos" w:hAnsi="Aptos" w:cstheme="minorHAnsi"/>
          <w:sz w:val="24"/>
          <w:szCs w:val="24"/>
        </w:rPr>
        <w:t>The symptoms people get depend on which part of the body is affected by TB. While TB usually affects</w:t>
      </w:r>
      <w:r w:rsidRPr="0046476B">
        <w:rPr>
          <w:rFonts w:ascii="Aptos" w:hAnsi="Aptos" w:cstheme="minorHAnsi"/>
          <w:b/>
          <w:bCs/>
          <w:sz w:val="24"/>
          <w:szCs w:val="24"/>
        </w:rPr>
        <w:t xml:space="preserve"> </w:t>
      </w:r>
      <w:r w:rsidRPr="0046476B">
        <w:rPr>
          <w:rFonts w:ascii="Aptos" w:hAnsi="Aptos" w:cstheme="minorHAnsi"/>
          <w:sz w:val="24"/>
          <w:szCs w:val="24"/>
        </w:rPr>
        <w:t>the lungs, it can also involve the kidneys, brain, spine and skin.</w:t>
      </w:r>
    </w:p>
    <w:p w14:paraId="7FACBAD5" w14:textId="0F288EE3" w:rsidR="0046476B" w:rsidRPr="0046476B" w:rsidRDefault="0046476B" w:rsidP="0046476B">
      <w:pPr>
        <w:rPr>
          <w:rFonts w:ascii="Aptos" w:hAnsi="Aptos" w:cstheme="minorHAnsi"/>
          <w:sz w:val="24"/>
          <w:szCs w:val="24"/>
        </w:rPr>
      </w:pPr>
      <w:r>
        <w:rPr>
          <w:rFonts w:ascii="Aptos" w:hAnsi="Aptos" w:cstheme="minorHAnsi"/>
          <w:b/>
          <w:bCs/>
          <w:sz w:val="24"/>
          <w:szCs w:val="24"/>
        </w:rPr>
        <w:t>Source:</w:t>
      </w:r>
      <w:r w:rsidRPr="0046476B">
        <w:t xml:space="preserve"> </w:t>
      </w:r>
      <w:hyperlink r:id="rId7" w:anchor=":~:text=Tuberculosis%20(TB)%20is%20an%20infectious,been%20infected%20with%20TB%20bacteria." w:history="1">
        <w:r w:rsidRPr="0046476B">
          <w:rPr>
            <w:rStyle w:val="Hyperlink"/>
            <w:rFonts w:ascii="Aptos" w:hAnsi="Aptos" w:cstheme="minorHAnsi"/>
            <w:sz w:val="24"/>
            <w:szCs w:val="24"/>
          </w:rPr>
          <w:t>World Health Organization</w:t>
        </w:r>
      </w:hyperlink>
    </w:p>
    <w:p w14:paraId="40DD6B95" w14:textId="2B0213E4" w:rsidR="0046476B" w:rsidRDefault="00DA1859" w:rsidP="0046476B">
      <w:pPr>
        <w:rPr>
          <w:rFonts w:ascii="Aptos" w:hAnsi="Aptos" w:cstheme="minorHAnsi"/>
          <w:b/>
          <w:bCs/>
          <w:sz w:val="24"/>
          <w:szCs w:val="24"/>
        </w:rPr>
      </w:pPr>
      <w:r>
        <w:rPr>
          <w:rFonts w:ascii="Aptos" w:hAnsi="Aptos" w:cstheme="minorHAnsi"/>
          <w:b/>
          <w:bCs/>
          <w:sz w:val="24"/>
          <w:szCs w:val="24"/>
        </w:rPr>
        <w:t xml:space="preserve">Problem Statement </w:t>
      </w:r>
    </w:p>
    <w:p w14:paraId="539C26CD" w14:textId="77777777" w:rsidR="00DA1859" w:rsidRPr="00DA1859" w:rsidRDefault="00DA1859" w:rsidP="00DA1859">
      <w:pPr>
        <w:rPr>
          <w:rFonts w:ascii="Aptos" w:hAnsi="Aptos" w:cstheme="minorHAnsi"/>
          <w:sz w:val="24"/>
          <w:szCs w:val="24"/>
        </w:rPr>
      </w:pPr>
      <w:r w:rsidRPr="00DA1859">
        <w:rPr>
          <w:rFonts w:ascii="Aptos" w:hAnsi="Aptos" w:cstheme="minorHAnsi"/>
          <w:b/>
          <w:bCs/>
          <w:sz w:val="24"/>
          <w:szCs w:val="24"/>
        </w:rPr>
        <w:t>Key Objectives:</w:t>
      </w:r>
    </w:p>
    <w:p w14:paraId="2889669B" w14:textId="3DE89359"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Analyse the impact of income level, GDP per capita, and health expenditure on TB cases and deaths.</w:t>
      </w:r>
    </w:p>
    <w:p w14:paraId="3A3223DF"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Study the role of healthcare access indicators (doctors per 100K, hospitals per million, access to health services) on TB outcomes.</w:t>
      </w:r>
    </w:p>
    <w:p w14:paraId="3096FA81"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Explore the effects of lifestyle factors (smoking prevalence, malnutrition) on TB incidence and mortality.</w:t>
      </w:r>
    </w:p>
    <w:p w14:paraId="2B14EE32"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Examine the association between HIV co-infection rates and TB mortality.</w:t>
      </w:r>
    </w:p>
    <w:p w14:paraId="5D02CB01"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Provide actionable insights for policymakers to target interventions more effectively.</w:t>
      </w:r>
    </w:p>
    <w:p w14:paraId="415001D9" w14:textId="321A4DF4" w:rsidR="0046476B" w:rsidRDefault="0079220B" w:rsidP="0046476B">
      <w:pPr>
        <w:rPr>
          <w:rFonts w:ascii="Aptos" w:hAnsi="Aptos" w:cstheme="minorHAnsi"/>
          <w:b/>
          <w:bCs/>
          <w:sz w:val="24"/>
          <w:szCs w:val="24"/>
        </w:rPr>
      </w:pPr>
      <w:r w:rsidRPr="0079220B">
        <w:rPr>
          <w:rFonts w:ascii="Aptos" w:hAnsi="Aptos" w:cstheme="minorHAnsi"/>
          <w:b/>
          <w:bCs/>
          <w:sz w:val="24"/>
          <w:szCs w:val="24"/>
        </w:rPr>
        <w:t>Dataset</w:t>
      </w:r>
    </w:p>
    <w:p w14:paraId="0F6FFB0B" w14:textId="23AEDA23" w:rsidR="00F32D56" w:rsidRPr="00F32D56" w:rsidRDefault="0079220B" w:rsidP="00F32D56">
      <w:pPr>
        <w:rPr>
          <w:rFonts w:ascii="Aptos" w:hAnsi="Aptos" w:cstheme="minorHAnsi"/>
          <w:sz w:val="24"/>
          <w:szCs w:val="24"/>
        </w:rPr>
      </w:pPr>
      <w:r>
        <w:rPr>
          <w:rFonts w:ascii="Aptos" w:hAnsi="Aptos" w:cstheme="minorHAnsi"/>
          <w:sz w:val="24"/>
          <w:szCs w:val="24"/>
        </w:rPr>
        <w:t xml:space="preserve"> </w:t>
      </w:r>
      <w:r w:rsidR="00F32D56" w:rsidRPr="00F32D56">
        <w:rPr>
          <w:rFonts w:ascii="Aptos" w:hAnsi="Aptos" w:cstheme="minorHAnsi"/>
          <w:sz w:val="24"/>
          <w:szCs w:val="24"/>
        </w:rPr>
        <w:t>The dataset used for this analysis was downloaded from ourdatainworld.com, with the data sourced from the World Health Organization (WHO). All data—except for age-specific and risk factor attribution—is from the years 2000 to 2021; the age and risk factor data pertain to the year 2022 only. I do not own this data; all rights and attributions remain with the original data providers.</w:t>
      </w:r>
    </w:p>
    <w:p w14:paraId="4B488F10" w14:textId="39A5245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 The relevant licenses are included in the GitHub repository shared by the data publishers. However, for the purpose of this analysis, I have also derived new variables and created extended datasets based on the original data to support deeper insights and customized analysis.</w:t>
      </w:r>
    </w:p>
    <w:p w14:paraId="337D7BF3" w14:textId="17D94E31" w:rsidR="0079220B" w:rsidRPr="0079220B" w:rsidRDefault="0079220B" w:rsidP="00F32D56">
      <w:pPr>
        <w:rPr>
          <w:rFonts w:ascii="Aptos" w:hAnsi="Aptos" w:cstheme="minorHAnsi"/>
          <w:sz w:val="24"/>
          <w:szCs w:val="24"/>
        </w:rPr>
      </w:pPr>
      <w:r w:rsidRPr="0079220B">
        <w:rPr>
          <w:rFonts w:ascii="Aptos" w:hAnsi="Aptos" w:cstheme="minorHAnsi"/>
          <w:sz w:val="24"/>
          <w:szCs w:val="24"/>
        </w:rPr>
        <w:br/>
        <w:t>Here is the link to the dataset:</w:t>
      </w:r>
      <w:r>
        <w:rPr>
          <w:rFonts w:ascii="Aptos" w:hAnsi="Aptos" w:cstheme="minorHAnsi"/>
          <w:sz w:val="24"/>
          <w:szCs w:val="24"/>
        </w:rPr>
        <w:t xml:space="preserve"> </w:t>
      </w:r>
      <w:hyperlink r:id="rId8" w:history="1">
        <w:r w:rsidRPr="005F59EA">
          <w:rPr>
            <w:rStyle w:val="Hyperlink"/>
            <w:rFonts w:ascii="Aptos" w:hAnsi="Aptos" w:cstheme="minorHAnsi"/>
            <w:sz w:val="24"/>
            <w:szCs w:val="24"/>
          </w:rPr>
          <w:t>Dataset</w:t>
        </w:r>
      </w:hyperlink>
    </w:p>
    <w:p w14:paraId="64862A56" w14:textId="77777777" w:rsidR="0079220B" w:rsidRPr="0079220B" w:rsidRDefault="0079220B" w:rsidP="0079220B">
      <w:pPr>
        <w:rPr>
          <w:rFonts w:ascii="Aptos" w:hAnsi="Aptos" w:cstheme="minorHAnsi"/>
          <w:sz w:val="24"/>
          <w:szCs w:val="24"/>
        </w:rPr>
      </w:pPr>
      <w:r w:rsidRPr="0079220B">
        <w:rPr>
          <w:rFonts w:ascii="Aptos" w:hAnsi="Aptos" w:cstheme="minorHAnsi"/>
          <w:b/>
          <w:bCs/>
          <w:sz w:val="24"/>
          <w:szCs w:val="24"/>
        </w:rPr>
        <w:t>Column Definitions:</w:t>
      </w:r>
      <w:r w:rsidRPr="0079220B">
        <w:rPr>
          <w:rFonts w:ascii="Aptos" w:hAnsi="Aptos" w:cstheme="minorHAnsi"/>
          <w:sz w:val="24"/>
          <w:szCs w:val="24"/>
        </w:rPr>
        <w:br/>
        <w:t>The dataset contains multiple variables critical for understanding Tuberculosis (TB) dynamics globally.</w:t>
      </w:r>
    </w:p>
    <w:p w14:paraId="04F6063D" w14:textId="77777777" w:rsidR="00304E93" w:rsidRPr="00304E93" w:rsidRDefault="00304E93" w:rsidP="00304E93">
      <w:pPr>
        <w:rPr>
          <w:rFonts w:ascii="Aptos" w:hAnsi="Aptos" w:cstheme="minorHAnsi"/>
          <w:b/>
          <w:bCs/>
          <w:sz w:val="24"/>
          <w:szCs w:val="24"/>
        </w:rPr>
      </w:pPr>
      <w:r w:rsidRPr="00304E93">
        <w:rPr>
          <w:rFonts w:ascii="Aptos" w:hAnsi="Aptos" w:cstheme="minorHAnsi"/>
          <w:b/>
          <w:bCs/>
          <w:sz w:val="24"/>
          <w:szCs w:val="24"/>
        </w:rPr>
        <w:lastRenderedPageBreak/>
        <w:t>Column Definitions</w:t>
      </w:r>
    </w:p>
    <w:p w14:paraId="6D5A0017" w14:textId="2763AE48" w:rsidR="00304E93" w:rsidRPr="006759FD" w:rsidRDefault="006759FD" w:rsidP="00304E93">
      <w:pPr>
        <w:numPr>
          <w:ilvl w:val="0"/>
          <w:numId w:val="7"/>
        </w:numPr>
        <w:rPr>
          <w:rFonts w:ascii="Aptos" w:hAnsi="Aptos" w:cstheme="minorHAnsi"/>
          <w:sz w:val="24"/>
          <w:szCs w:val="24"/>
        </w:rPr>
      </w:pPr>
      <w:r>
        <w:rPr>
          <w:rFonts w:ascii="Aptos" w:hAnsi="Aptos" w:cstheme="minorHAnsi"/>
          <w:b/>
          <w:bCs/>
          <w:sz w:val="24"/>
          <w:szCs w:val="24"/>
        </w:rPr>
        <w:t>c</w:t>
      </w:r>
      <w:r w:rsidR="00304E93" w:rsidRPr="00304E93">
        <w:rPr>
          <w:rFonts w:ascii="Aptos" w:hAnsi="Aptos" w:cstheme="minorHAnsi"/>
          <w:b/>
          <w:bCs/>
          <w:sz w:val="24"/>
          <w:szCs w:val="24"/>
        </w:rPr>
        <w:t xml:space="preserve">ountry: </w:t>
      </w:r>
      <w:r w:rsidR="00304E93" w:rsidRPr="006759FD">
        <w:rPr>
          <w:rFonts w:ascii="Aptos" w:hAnsi="Aptos" w:cstheme="minorHAnsi"/>
          <w:sz w:val="24"/>
          <w:szCs w:val="24"/>
        </w:rPr>
        <w:t>Name of the country where the data is recorded.</w:t>
      </w:r>
    </w:p>
    <w:p w14:paraId="30C25975"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 xml:space="preserve">year: </w:t>
      </w:r>
      <w:r w:rsidRPr="006759FD">
        <w:rPr>
          <w:rFonts w:ascii="Aptos" w:hAnsi="Aptos" w:cstheme="minorHAnsi"/>
          <w:sz w:val="24"/>
          <w:szCs w:val="24"/>
        </w:rPr>
        <w:t>The year for which the data is reported.</w:t>
      </w:r>
    </w:p>
    <w:p w14:paraId="2AEEB4F2"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 xml:space="preserve">country_code: </w:t>
      </w:r>
      <w:r w:rsidRPr="006759FD">
        <w:rPr>
          <w:rFonts w:ascii="Aptos" w:hAnsi="Aptos" w:cstheme="minorHAnsi"/>
          <w:sz w:val="24"/>
          <w:szCs w:val="24"/>
        </w:rPr>
        <w:t>ISO 3-letter country code (e.g., IND for India).</w:t>
      </w:r>
    </w:p>
    <w:p w14:paraId="22A080C8"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gdp_per_capita: </w:t>
      </w:r>
      <w:r w:rsidRPr="006759FD">
        <w:rPr>
          <w:rFonts w:ascii="Aptos" w:hAnsi="Aptos" w:cstheme="minorHAnsi"/>
          <w:sz w:val="24"/>
          <w:szCs w:val="24"/>
        </w:rPr>
        <w:t>Gross Domestic Product per capita, representing the average economic output per person (in USD).</w:t>
      </w:r>
    </w:p>
    <w:p w14:paraId="02793C78"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tb_new_cases: </w:t>
      </w:r>
      <w:r w:rsidRPr="006759FD">
        <w:rPr>
          <w:rFonts w:ascii="Aptos" w:hAnsi="Aptos" w:cstheme="minorHAnsi"/>
          <w:sz w:val="24"/>
          <w:szCs w:val="24"/>
        </w:rPr>
        <w:t>Estimated number of new tuberculosis (TB) cases in a given year.</w:t>
      </w:r>
    </w:p>
    <w:p w14:paraId="001189D6"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tb_deaths: </w:t>
      </w:r>
      <w:r w:rsidRPr="006759FD">
        <w:rPr>
          <w:rFonts w:ascii="Aptos" w:hAnsi="Aptos" w:cstheme="minorHAnsi"/>
          <w:sz w:val="24"/>
          <w:szCs w:val="24"/>
        </w:rPr>
        <w:t>Estimated number of deaths from all forms of tuberculosis.</w:t>
      </w:r>
    </w:p>
    <w:p w14:paraId="3BE179BD" w14:textId="0FB9849A"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health_exp_gdp</w:t>
      </w:r>
      <w:r w:rsidRPr="006759FD">
        <w:rPr>
          <w:rFonts w:ascii="Aptos" w:hAnsi="Aptos" w:cstheme="minorHAnsi"/>
          <w:sz w:val="24"/>
          <w:szCs w:val="24"/>
        </w:rPr>
        <w:t xml:space="preserve">: Public health expenditure of the </w:t>
      </w:r>
      <w:proofErr w:type="gramStart"/>
      <w:r w:rsidRPr="006759FD">
        <w:rPr>
          <w:rFonts w:ascii="Aptos" w:hAnsi="Aptos" w:cstheme="minorHAnsi"/>
          <w:sz w:val="24"/>
          <w:szCs w:val="24"/>
        </w:rPr>
        <w:t>country's</w:t>
      </w:r>
      <w:proofErr w:type="gramEnd"/>
      <w:r w:rsidRPr="006759FD">
        <w:rPr>
          <w:rFonts w:ascii="Aptos" w:hAnsi="Aptos" w:cstheme="minorHAnsi"/>
          <w:sz w:val="24"/>
          <w:szCs w:val="24"/>
        </w:rPr>
        <w:t>.</w:t>
      </w:r>
    </w:p>
    <w:p w14:paraId="54080B77"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treatment_success_rate</w:t>
      </w:r>
      <w:r w:rsidRPr="006759FD">
        <w:rPr>
          <w:rFonts w:ascii="Aptos" w:hAnsi="Aptos" w:cstheme="minorHAnsi"/>
          <w:sz w:val="24"/>
          <w:szCs w:val="24"/>
        </w:rPr>
        <w:t>: Success rate of treatment for new and relapse TB cases.</w:t>
      </w:r>
    </w:p>
    <w:p w14:paraId="53ACABE5" w14:textId="3621BC8D" w:rsidR="00304E93" w:rsidRPr="00304E93" w:rsidRDefault="00304E93" w:rsidP="006759FD">
      <w:pPr>
        <w:ind w:left="360"/>
        <w:rPr>
          <w:rFonts w:ascii="Aptos" w:hAnsi="Aptos" w:cstheme="minorHAnsi"/>
          <w:b/>
          <w:bCs/>
          <w:sz w:val="24"/>
          <w:szCs w:val="24"/>
        </w:rPr>
      </w:pPr>
    </w:p>
    <w:p w14:paraId="224B5DF7" w14:textId="77777777" w:rsidR="00304E93" w:rsidRPr="00304E93" w:rsidRDefault="00304E93" w:rsidP="006759FD">
      <w:pPr>
        <w:ind w:left="360"/>
        <w:rPr>
          <w:rFonts w:ascii="Aptos" w:hAnsi="Aptos" w:cstheme="minorHAnsi"/>
          <w:b/>
          <w:bCs/>
          <w:sz w:val="24"/>
          <w:szCs w:val="24"/>
        </w:rPr>
      </w:pPr>
      <w:r w:rsidRPr="00304E93">
        <w:rPr>
          <w:rFonts w:ascii="Aptos" w:hAnsi="Aptos" w:cstheme="minorHAnsi"/>
          <w:b/>
          <w:bCs/>
          <w:sz w:val="24"/>
          <w:szCs w:val="24"/>
        </w:rPr>
        <w:t>Age-Specific TB Case Data</w:t>
      </w:r>
    </w:p>
    <w:p w14:paraId="4060842D"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age_0_4_cases: </w:t>
      </w:r>
      <w:r w:rsidRPr="006759FD">
        <w:rPr>
          <w:rFonts w:ascii="Aptos" w:hAnsi="Aptos" w:cstheme="minorHAnsi"/>
          <w:sz w:val="24"/>
          <w:szCs w:val="24"/>
        </w:rPr>
        <w:t>Estimated TB cases among children aged 0–4 years.</w:t>
      </w:r>
    </w:p>
    <w:p w14:paraId="51BB9C12"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age_5_14_cases: </w:t>
      </w:r>
      <w:r w:rsidRPr="006759FD">
        <w:rPr>
          <w:rFonts w:ascii="Aptos" w:hAnsi="Aptos" w:cstheme="minorHAnsi"/>
          <w:sz w:val="24"/>
          <w:szCs w:val="24"/>
        </w:rPr>
        <w:t>Estimated TB cases among individuals aged 5–14 years.</w:t>
      </w:r>
    </w:p>
    <w:p w14:paraId="255F43B2"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age_15_24_cases: </w:t>
      </w:r>
      <w:r w:rsidRPr="006759FD">
        <w:rPr>
          <w:rFonts w:ascii="Aptos" w:hAnsi="Aptos" w:cstheme="minorHAnsi"/>
          <w:sz w:val="24"/>
          <w:szCs w:val="24"/>
        </w:rPr>
        <w:t>Estimated TB cases among individuals aged 15–24 years.</w:t>
      </w:r>
    </w:p>
    <w:p w14:paraId="52B4BF62"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age_25_34_cases: </w:t>
      </w:r>
      <w:r w:rsidRPr="006759FD">
        <w:rPr>
          <w:rFonts w:ascii="Aptos" w:hAnsi="Aptos" w:cstheme="minorHAnsi"/>
          <w:sz w:val="24"/>
          <w:szCs w:val="24"/>
        </w:rPr>
        <w:t>Estimated TB cases among individuals aged 25–34 years.</w:t>
      </w:r>
    </w:p>
    <w:p w14:paraId="7B1EE385"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age_35_44_cases: </w:t>
      </w:r>
      <w:r w:rsidRPr="006759FD">
        <w:rPr>
          <w:rFonts w:ascii="Aptos" w:hAnsi="Aptos" w:cstheme="minorHAnsi"/>
          <w:sz w:val="24"/>
          <w:szCs w:val="24"/>
        </w:rPr>
        <w:t>Estimated TB cases among individuals aged 35–44 years.</w:t>
      </w:r>
    </w:p>
    <w:p w14:paraId="6B0B6C1C"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age_45_54_cases: </w:t>
      </w:r>
      <w:r w:rsidRPr="006759FD">
        <w:rPr>
          <w:rFonts w:ascii="Aptos" w:hAnsi="Aptos" w:cstheme="minorHAnsi"/>
          <w:sz w:val="24"/>
          <w:szCs w:val="24"/>
        </w:rPr>
        <w:t>Estimated TB cases among individuals aged 45–54 years.</w:t>
      </w:r>
    </w:p>
    <w:p w14:paraId="303F65AF"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age_55_64_cases: </w:t>
      </w:r>
      <w:r w:rsidRPr="006759FD">
        <w:rPr>
          <w:rFonts w:ascii="Aptos" w:hAnsi="Aptos" w:cstheme="minorHAnsi"/>
          <w:sz w:val="24"/>
          <w:szCs w:val="24"/>
        </w:rPr>
        <w:t>Estimated TB cases among individuals aged 55–64 years.</w:t>
      </w:r>
    </w:p>
    <w:p w14:paraId="0B2CB9A1"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age_65_plus_cases: </w:t>
      </w:r>
      <w:r w:rsidRPr="006759FD">
        <w:rPr>
          <w:rFonts w:ascii="Aptos" w:hAnsi="Aptos" w:cstheme="minorHAnsi"/>
          <w:sz w:val="24"/>
          <w:szCs w:val="24"/>
        </w:rPr>
        <w:t>Estimated TB cases among individuals aged 65 years and</w:t>
      </w:r>
      <w:r w:rsidRPr="00304E93">
        <w:rPr>
          <w:rFonts w:ascii="Aptos" w:hAnsi="Aptos" w:cstheme="minorHAnsi"/>
          <w:b/>
          <w:bCs/>
          <w:sz w:val="24"/>
          <w:szCs w:val="24"/>
        </w:rPr>
        <w:t xml:space="preserve"> older.</w:t>
      </w:r>
    </w:p>
    <w:p w14:paraId="4DD9FACD" w14:textId="474B3022" w:rsidR="00304E93" w:rsidRPr="00304E93" w:rsidRDefault="00304E93" w:rsidP="00304E93">
      <w:pPr>
        <w:rPr>
          <w:rFonts w:ascii="Aptos" w:hAnsi="Aptos" w:cstheme="minorHAnsi"/>
          <w:b/>
          <w:bCs/>
          <w:sz w:val="24"/>
          <w:szCs w:val="24"/>
        </w:rPr>
      </w:pPr>
    </w:p>
    <w:p w14:paraId="3E7775D8" w14:textId="77777777" w:rsidR="00304E93" w:rsidRPr="00304E93" w:rsidRDefault="00304E93" w:rsidP="006759FD">
      <w:pPr>
        <w:ind w:left="360"/>
        <w:rPr>
          <w:rFonts w:ascii="Aptos" w:hAnsi="Aptos" w:cstheme="minorHAnsi"/>
          <w:b/>
          <w:bCs/>
          <w:sz w:val="24"/>
          <w:szCs w:val="24"/>
        </w:rPr>
      </w:pPr>
      <w:r w:rsidRPr="00304E93">
        <w:rPr>
          <w:rFonts w:ascii="Aptos" w:hAnsi="Aptos" w:cstheme="minorHAnsi"/>
          <w:b/>
          <w:bCs/>
          <w:sz w:val="24"/>
          <w:szCs w:val="24"/>
        </w:rPr>
        <w:t>TB Incidence Attributed to Risk Factors</w:t>
      </w:r>
    </w:p>
    <w:p w14:paraId="07F0C47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tb_due_to_hiv: </w:t>
      </w:r>
      <w:r w:rsidRPr="006759FD">
        <w:rPr>
          <w:rFonts w:ascii="Aptos" w:hAnsi="Aptos" w:cstheme="minorHAnsi"/>
          <w:sz w:val="24"/>
          <w:szCs w:val="24"/>
        </w:rPr>
        <w:t>Estimated TB incidence attributed to HIV infection in males and females.</w:t>
      </w:r>
    </w:p>
    <w:p w14:paraId="3AAE2A1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tb_due_to_alcohol: </w:t>
      </w:r>
      <w:r w:rsidRPr="006759FD">
        <w:rPr>
          <w:rFonts w:ascii="Aptos" w:hAnsi="Aptos" w:cstheme="minorHAnsi"/>
          <w:sz w:val="24"/>
          <w:szCs w:val="24"/>
        </w:rPr>
        <w:t>Estimated TB incidence attributed to harmful alcohol use in individuals aged over 15 years.</w:t>
      </w:r>
    </w:p>
    <w:p w14:paraId="4692009C"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tb_due_to_smoking: </w:t>
      </w:r>
      <w:r w:rsidRPr="006759FD">
        <w:rPr>
          <w:rFonts w:ascii="Aptos" w:hAnsi="Aptos" w:cstheme="minorHAnsi"/>
          <w:sz w:val="24"/>
          <w:szCs w:val="24"/>
        </w:rPr>
        <w:t>Estimated TB incidence attributed to smoking in individuals aged over 15 years.</w:t>
      </w:r>
    </w:p>
    <w:p w14:paraId="6A2E405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tb_due_to_diabetes: </w:t>
      </w:r>
      <w:r w:rsidRPr="006759FD">
        <w:rPr>
          <w:rFonts w:ascii="Aptos" w:hAnsi="Aptos" w:cstheme="minorHAnsi"/>
          <w:sz w:val="24"/>
          <w:szCs w:val="24"/>
        </w:rPr>
        <w:t>Estimated TB incidence attributed to diabetes in individuals aged over 18 years.</w:t>
      </w:r>
    </w:p>
    <w:p w14:paraId="0B67BB2E" w14:textId="77777777" w:rsidR="00304E93" w:rsidRPr="00304E93" w:rsidRDefault="00304E93" w:rsidP="00304E93">
      <w:pPr>
        <w:numPr>
          <w:ilvl w:val="0"/>
          <w:numId w:val="9"/>
        </w:numPr>
        <w:rPr>
          <w:rFonts w:ascii="Aptos" w:hAnsi="Aptos" w:cstheme="minorHAnsi"/>
          <w:b/>
          <w:bCs/>
          <w:sz w:val="24"/>
          <w:szCs w:val="24"/>
        </w:rPr>
      </w:pPr>
      <w:r w:rsidRPr="00304E93">
        <w:rPr>
          <w:rFonts w:ascii="Aptos" w:hAnsi="Aptos" w:cstheme="minorHAnsi"/>
          <w:b/>
          <w:bCs/>
          <w:sz w:val="24"/>
          <w:szCs w:val="24"/>
        </w:rPr>
        <w:lastRenderedPageBreak/>
        <w:t xml:space="preserve">tb_due_to_undernourishment: </w:t>
      </w:r>
      <w:r w:rsidRPr="006759FD">
        <w:rPr>
          <w:rFonts w:ascii="Aptos" w:hAnsi="Aptos" w:cstheme="minorHAnsi"/>
          <w:sz w:val="24"/>
          <w:szCs w:val="24"/>
        </w:rPr>
        <w:t>Estimated TB incidence attributed to undernourishment in males and females.</w:t>
      </w:r>
    </w:p>
    <w:p w14:paraId="01E48A2F" w14:textId="77777777" w:rsidR="0079220B" w:rsidRPr="0046476B" w:rsidRDefault="0079220B" w:rsidP="0046476B">
      <w:pPr>
        <w:rPr>
          <w:rFonts w:ascii="Aptos" w:hAnsi="Aptos" w:cstheme="minorHAnsi"/>
          <w:sz w:val="24"/>
          <w:szCs w:val="24"/>
        </w:rPr>
      </w:pPr>
    </w:p>
    <w:p w14:paraId="3CD59497" w14:textId="215BDAFD" w:rsidR="00F44FDD" w:rsidRPr="00F32D56" w:rsidRDefault="004E1DE2">
      <w:pPr>
        <w:rPr>
          <w:rFonts w:ascii="Aptos" w:hAnsi="Aptos" w:cstheme="minorHAnsi"/>
          <w:b/>
          <w:bCs/>
          <w:sz w:val="24"/>
          <w:szCs w:val="24"/>
        </w:rPr>
      </w:pPr>
      <w:r w:rsidRPr="004E1DE2">
        <w:rPr>
          <w:rFonts w:ascii="Aptos" w:hAnsi="Aptos" w:cstheme="minorHAnsi"/>
          <w:b/>
          <w:bCs/>
          <w:sz w:val="24"/>
          <w:szCs w:val="24"/>
        </w:rPr>
        <w:t xml:space="preserve">Analysis </w:t>
      </w:r>
    </w:p>
    <w:p w14:paraId="5D1D33A9" w14:textId="77777777" w:rsidR="00F32D56" w:rsidRPr="00F32D56" w:rsidRDefault="00F32D56" w:rsidP="00F32D56">
      <w:pPr>
        <w:rPr>
          <w:rFonts w:ascii="Aptos" w:hAnsi="Aptos" w:cstheme="minorHAnsi"/>
          <w:b/>
          <w:bCs/>
          <w:sz w:val="24"/>
          <w:szCs w:val="24"/>
        </w:rPr>
      </w:pPr>
      <w:r w:rsidRPr="00F32D56">
        <w:rPr>
          <w:rFonts w:ascii="Aptos" w:hAnsi="Aptos" w:cstheme="minorHAnsi"/>
          <w:b/>
          <w:bCs/>
          <w:sz w:val="24"/>
          <w:szCs w:val="24"/>
        </w:rPr>
        <w:t>Overview</w:t>
      </w:r>
    </w:p>
    <w:p w14:paraId="4453D461"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This study explores the global distribution, mortality, treatment outcomes, and contributing factors of tuberculosis (TB), with a focus on country-level differences, regional disparities, and the influence of age and risk factors. The analysis spans data primarily from </w:t>
      </w:r>
      <w:r w:rsidRPr="00F32D56">
        <w:rPr>
          <w:rFonts w:ascii="Aptos" w:hAnsi="Aptos" w:cstheme="minorHAnsi"/>
          <w:b/>
          <w:bCs/>
          <w:sz w:val="24"/>
          <w:szCs w:val="24"/>
        </w:rPr>
        <w:t>2000 to 2021</w:t>
      </w:r>
      <w:r w:rsidRPr="00F32D56">
        <w:rPr>
          <w:rFonts w:ascii="Aptos" w:hAnsi="Aptos" w:cstheme="minorHAnsi"/>
          <w:sz w:val="24"/>
          <w:szCs w:val="24"/>
        </w:rPr>
        <w:t xml:space="preserve">, with </w:t>
      </w:r>
      <w:r w:rsidRPr="00F32D56">
        <w:rPr>
          <w:rFonts w:ascii="Aptos" w:hAnsi="Aptos" w:cstheme="minorHAnsi"/>
          <w:b/>
          <w:bCs/>
          <w:sz w:val="24"/>
          <w:szCs w:val="24"/>
        </w:rPr>
        <w:t>age and risk factor data</w:t>
      </w:r>
      <w:r w:rsidRPr="00F32D56">
        <w:rPr>
          <w:rFonts w:ascii="Aptos" w:hAnsi="Aptos" w:cstheme="minorHAnsi"/>
          <w:sz w:val="24"/>
          <w:szCs w:val="24"/>
        </w:rPr>
        <w:t xml:space="preserve"> from </w:t>
      </w:r>
      <w:r w:rsidRPr="00F32D56">
        <w:rPr>
          <w:rFonts w:ascii="Aptos" w:hAnsi="Aptos" w:cstheme="minorHAnsi"/>
          <w:b/>
          <w:bCs/>
          <w:sz w:val="24"/>
          <w:szCs w:val="24"/>
        </w:rPr>
        <w:t>2022</w:t>
      </w:r>
      <w:r w:rsidRPr="00F32D56">
        <w:rPr>
          <w:rFonts w:ascii="Aptos" w:hAnsi="Aptos" w:cstheme="minorHAnsi"/>
          <w:sz w:val="24"/>
          <w:szCs w:val="24"/>
        </w:rPr>
        <w:t>.</w:t>
      </w:r>
    </w:p>
    <w:p w14:paraId="5F075BFD" w14:textId="6A3FA03C" w:rsidR="00F32D56" w:rsidRPr="00F32D56" w:rsidRDefault="00F32D56" w:rsidP="00F32D56">
      <w:pPr>
        <w:rPr>
          <w:rFonts w:ascii="Aptos" w:hAnsi="Aptos" w:cstheme="minorHAnsi"/>
          <w:sz w:val="24"/>
          <w:szCs w:val="24"/>
        </w:rPr>
      </w:pPr>
    </w:p>
    <w:p w14:paraId="3860CF14" w14:textId="77777777" w:rsidR="00F32D56" w:rsidRDefault="00F32D56" w:rsidP="00F32D56">
      <w:pPr>
        <w:rPr>
          <w:rFonts w:ascii="Aptos" w:hAnsi="Aptos" w:cstheme="minorHAnsi"/>
          <w:b/>
          <w:bCs/>
          <w:sz w:val="24"/>
          <w:szCs w:val="24"/>
        </w:rPr>
      </w:pPr>
      <w:r w:rsidRPr="00F32D56">
        <w:rPr>
          <w:rFonts w:ascii="Aptos" w:hAnsi="Aptos" w:cstheme="minorHAnsi"/>
          <w:b/>
          <w:bCs/>
          <w:sz w:val="24"/>
          <w:szCs w:val="24"/>
        </w:rPr>
        <w:t>1. Global TB Burden by Country and Region</w:t>
      </w:r>
    </w:p>
    <w:p w14:paraId="269DD194" w14:textId="34406692" w:rsidR="00F32D56" w:rsidRPr="00F32D56" w:rsidRDefault="00F32D56" w:rsidP="00F32D56">
      <w:pPr>
        <w:rPr>
          <w:rFonts w:ascii="Aptos" w:hAnsi="Aptos" w:cstheme="minorHAnsi"/>
          <w:b/>
          <w:bCs/>
          <w:sz w:val="24"/>
          <w:szCs w:val="24"/>
        </w:rPr>
      </w:pPr>
      <w:r w:rsidRPr="002759B3">
        <w:rPr>
          <w:rFonts w:ascii="Aptos" w:hAnsi="Aptos" w:cstheme="minorHAnsi"/>
          <w:noProof/>
          <w:sz w:val="24"/>
          <w:szCs w:val="24"/>
        </w:rPr>
        <w:drawing>
          <wp:inline distT="0" distB="0" distL="0" distR="0" wp14:anchorId="25ABCC40" wp14:editId="7443D2DF">
            <wp:extent cx="5731510" cy="4498966"/>
            <wp:effectExtent l="0" t="0" r="2540" b="0"/>
            <wp:docPr id="132453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33133" name=""/>
                    <pic:cNvPicPr/>
                  </pic:nvPicPr>
                  <pic:blipFill rotWithShape="1">
                    <a:blip r:embed="rId9"/>
                    <a:srcRect r="28374"/>
                    <a:stretch/>
                  </pic:blipFill>
                  <pic:spPr bwMode="auto">
                    <a:xfrm>
                      <a:off x="0" y="0"/>
                      <a:ext cx="5731510" cy="4498966"/>
                    </a:xfrm>
                    <a:prstGeom prst="rect">
                      <a:avLst/>
                    </a:prstGeom>
                    <a:ln>
                      <a:noFill/>
                    </a:ln>
                    <a:extLst>
                      <a:ext uri="{53640926-AAD7-44D8-BBD7-CCE9431645EC}">
                        <a14:shadowObscured xmlns:a14="http://schemas.microsoft.com/office/drawing/2010/main"/>
                      </a:ext>
                    </a:extLst>
                  </pic:spPr>
                </pic:pic>
              </a:graphicData>
            </a:graphic>
          </wp:inline>
        </w:drawing>
      </w:r>
    </w:p>
    <w:p w14:paraId="74F507C2"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Among the </w:t>
      </w:r>
      <w:r w:rsidRPr="00F32D56">
        <w:rPr>
          <w:rFonts w:ascii="Aptos" w:hAnsi="Aptos" w:cstheme="minorHAnsi"/>
          <w:b/>
          <w:bCs/>
          <w:sz w:val="24"/>
          <w:szCs w:val="24"/>
        </w:rPr>
        <w:t>top 20 countries</w:t>
      </w:r>
      <w:r w:rsidRPr="00F32D56">
        <w:rPr>
          <w:rFonts w:ascii="Aptos" w:hAnsi="Aptos" w:cstheme="minorHAnsi"/>
          <w:sz w:val="24"/>
          <w:szCs w:val="24"/>
        </w:rPr>
        <w:t xml:space="preserve"> with the highest number of TB cases, </w:t>
      </w:r>
      <w:r w:rsidRPr="00F32D56">
        <w:rPr>
          <w:rFonts w:ascii="Aptos" w:hAnsi="Aptos" w:cstheme="minorHAnsi"/>
          <w:b/>
          <w:bCs/>
          <w:sz w:val="24"/>
          <w:szCs w:val="24"/>
        </w:rPr>
        <w:t>11 are from Asia</w:t>
      </w:r>
      <w:r w:rsidRPr="00F32D56">
        <w:rPr>
          <w:rFonts w:ascii="Aptos" w:hAnsi="Aptos" w:cstheme="minorHAnsi"/>
          <w:sz w:val="24"/>
          <w:szCs w:val="24"/>
        </w:rPr>
        <w:t xml:space="preserve">, and the </w:t>
      </w:r>
      <w:r w:rsidRPr="00F32D56">
        <w:rPr>
          <w:rFonts w:ascii="Aptos" w:hAnsi="Aptos" w:cstheme="minorHAnsi"/>
          <w:b/>
          <w:bCs/>
          <w:sz w:val="24"/>
          <w:szCs w:val="24"/>
        </w:rPr>
        <w:t>remaining are from Africa</w:t>
      </w:r>
      <w:r w:rsidRPr="00F32D56">
        <w:rPr>
          <w:rFonts w:ascii="Aptos" w:hAnsi="Aptos" w:cstheme="minorHAnsi"/>
          <w:sz w:val="24"/>
          <w:szCs w:val="24"/>
        </w:rPr>
        <w:t>.</w:t>
      </w:r>
    </w:p>
    <w:p w14:paraId="773780FA" w14:textId="77777777" w:rsidR="00F32D56" w:rsidRPr="00F32D56" w:rsidRDefault="00F32D56" w:rsidP="00F32D56">
      <w:pPr>
        <w:numPr>
          <w:ilvl w:val="0"/>
          <w:numId w:val="10"/>
        </w:numPr>
        <w:rPr>
          <w:rFonts w:ascii="Aptos" w:hAnsi="Aptos" w:cstheme="minorHAnsi"/>
          <w:sz w:val="24"/>
          <w:szCs w:val="24"/>
        </w:rPr>
      </w:pPr>
      <w:r w:rsidRPr="00F32D56">
        <w:rPr>
          <w:rFonts w:ascii="Aptos" w:hAnsi="Aptos" w:cstheme="minorHAnsi"/>
          <w:b/>
          <w:bCs/>
          <w:sz w:val="24"/>
          <w:szCs w:val="24"/>
        </w:rPr>
        <w:t>India</w:t>
      </w:r>
      <w:r w:rsidRPr="00F32D56">
        <w:rPr>
          <w:rFonts w:ascii="Aptos" w:hAnsi="Aptos" w:cstheme="minorHAnsi"/>
          <w:sz w:val="24"/>
          <w:szCs w:val="24"/>
        </w:rPr>
        <w:t xml:space="preserve"> leads with </w:t>
      </w:r>
      <w:r w:rsidRPr="00F32D56">
        <w:rPr>
          <w:rFonts w:ascii="Aptos" w:hAnsi="Aptos" w:cstheme="minorHAnsi"/>
          <w:b/>
          <w:bCs/>
          <w:sz w:val="24"/>
          <w:szCs w:val="24"/>
        </w:rPr>
        <w:t>7,197,000 cases</w:t>
      </w:r>
      <w:r w:rsidRPr="00F32D56">
        <w:rPr>
          <w:rFonts w:ascii="Aptos" w:hAnsi="Aptos" w:cstheme="minorHAnsi"/>
          <w:sz w:val="24"/>
          <w:szCs w:val="24"/>
        </w:rPr>
        <w:t xml:space="preserve">, followed by </w:t>
      </w:r>
      <w:r w:rsidRPr="00F32D56">
        <w:rPr>
          <w:rFonts w:ascii="Aptos" w:hAnsi="Aptos" w:cstheme="minorHAnsi"/>
          <w:b/>
          <w:bCs/>
          <w:sz w:val="24"/>
          <w:szCs w:val="24"/>
        </w:rPr>
        <w:t>China</w:t>
      </w:r>
      <w:r w:rsidRPr="00F32D56">
        <w:rPr>
          <w:rFonts w:ascii="Aptos" w:hAnsi="Aptos" w:cstheme="minorHAnsi"/>
          <w:sz w:val="24"/>
          <w:szCs w:val="24"/>
        </w:rPr>
        <w:t xml:space="preserve"> with </w:t>
      </w:r>
      <w:r w:rsidRPr="00F32D56">
        <w:rPr>
          <w:rFonts w:ascii="Aptos" w:hAnsi="Aptos" w:cstheme="minorHAnsi"/>
          <w:b/>
          <w:bCs/>
          <w:sz w:val="24"/>
          <w:szCs w:val="24"/>
        </w:rPr>
        <w:t>2,294,600</w:t>
      </w:r>
      <w:r w:rsidRPr="00F32D56">
        <w:rPr>
          <w:rFonts w:ascii="Aptos" w:hAnsi="Aptos" w:cstheme="minorHAnsi"/>
          <w:sz w:val="24"/>
          <w:szCs w:val="24"/>
        </w:rPr>
        <w:t xml:space="preserve">, and </w:t>
      </w:r>
      <w:r w:rsidRPr="00F32D56">
        <w:rPr>
          <w:rFonts w:ascii="Aptos" w:hAnsi="Aptos" w:cstheme="minorHAnsi"/>
          <w:b/>
          <w:bCs/>
          <w:sz w:val="24"/>
          <w:szCs w:val="24"/>
        </w:rPr>
        <w:t>Indonesia</w:t>
      </w:r>
      <w:r w:rsidRPr="00F32D56">
        <w:rPr>
          <w:rFonts w:ascii="Aptos" w:hAnsi="Aptos" w:cstheme="minorHAnsi"/>
          <w:sz w:val="24"/>
          <w:szCs w:val="24"/>
        </w:rPr>
        <w:t>.</w:t>
      </w:r>
    </w:p>
    <w:p w14:paraId="275BFF6B" w14:textId="77777777" w:rsidR="00F32D56" w:rsidRPr="00F32D56" w:rsidRDefault="00F32D56" w:rsidP="00F32D56">
      <w:pPr>
        <w:numPr>
          <w:ilvl w:val="0"/>
          <w:numId w:val="10"/>
        </w:numPr>
        <w:rPr>
          <w:rFonts w:ascii="Aptos" w:hAnsi="Aptos" w:cstheme="minorHAnsi"/>
          <w:sz w:val="24"/>
          <w:szCs w:val="24"/>
        </w:rPr>
      </w:pPr>
      <w:r w:rsidRPr="00F32D56">
        <w:rPr>
          <w:rFonts w:ascii="Aptos" w:hAnsi="Aptos" w:cstheme="minorHAnsi"/>
          <w:sz w:val="24"/>
          <w:szCs w:val="24"/>
        </w:rPr>
        <w:lastRenderedPageBreak/>
        <w:t xml:space="preserve">This trend highlights the link between </w:t>
      </w:r>
      <w:r w:rsidRPr="00F32D56">
        <w:rPr>
          <w:rFonts w:ascii="Aptos" w:hAnsi="Aptos" w:cstheme="minorHAnsi"/>
          <w:b/>
          <w:bCs/>
          <w:sz w:val="24"/>
          <w:szCs w:val="24"/>
        </w:rPr>
        <w:t>developing economies</w:t>
      </w:r>
      <w:r w:rsidRPr="00F32D56">
        <w:rPr>
          <w:rFonts w:ascii="Aptos" w:hAnsi="Aptos" w:cstheme="minorHAnsi"/>
          <w:sz w:val="24"/>
          <w:szCs w:val="24"/>
        </w:rPr>
        <w:t xml:space="preserve">, </w:t>
      </w:r>
      <w:r w:rsidRPr="00F32D56">
        <w:rPr>
          <w:rFonts w:ascii="Aptos" w:hAnsi="Aptos" w:cstheme="minorHAnsi"/>
          <w:b/>
          <w:bCs/>
          <w:sz w:val="24"/>
          <w:szCs w:val="24"/>
        </w:rPr>
        <w:t>high population density</w:t>
      </w:r>
      <w:r w:rsidRPr="00F32D56">
        <w:rPr>
          <w:rFonts w:ascii="Aptos" w:hAnsi="Aptos" w:cstheme="minorHAnsi"/>
          <w:sz w:val="24"/>
          <w:szCs w:val="24"/>
        </w:rPr>
        <w:t xml:space="preserve">, and </w:t>
      </w:r>
      <w:r w:rsidRPr="00F32D56">
        <w:rPr>
          <w:rFonts w:ascii="Aptos" w:hAnsi="Aptos" w:cstheme="minorHAnsi"/>
          <w:b/>
          <w:bCs/>
          <w:sz w:val="24"/>
          <w:szCs w:val="24"/>
        </w:rPr>
        <w:t>TB prevalence</w:t>
      </w:r>
      <w:r w:rsidRPr="00F32D56">
        <w:rPr>
          <w:rFonts w:ascii="Aptos" w:hAnsi="Aptos" w:cstheme="minorHAnsi"/>
          <w:sz w:val="24"/>
          <w:szCs w:val="24"/>
        </w:rPr>
        <w:t>.</w:t>
      </w:r>
    </w:p>
    <w:p w14:paraId="0F626472"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This distribution emphasizes how </w:t>
      </w:r>
      <w:r w:rsidRPr="00F32D56">
        <w:rPr>
          <w:rFonts w:ascii="Aptos" w:hAnsi="Aptos" w:cstheme="minorHAnsi"/>
          <w:b/>
          <w:bCs/>
          <w:sz w:val="24"/>
          <w:szCs w:val="24"/>
        </w:rPr>
        <w:t>socioeconomic development and healthcare infrastructure</w:t>
      </w:r>
      <w:r w:rsidRPr="00F32D56">
        <w:rPr>
          <w:rFonts w:ascii="Aptos" w:hAnsi="Aptos" w:cstheme="minorHAnsi"/>
          <w:sz w:val="24"/>
          <w:szCs w:val="24"/>
        </w:rPr>
        <w:t xml:space="preserve"> significantly influence TB case numbers.</w:t>
      </w:r>
    </w:p>
    <w:p w14:paraId="6E3D217C" w14:textId="4C22B21B" w:rsidR="002759B3" w:rsidRDefault="002759B3">
      <w:pPr>
        <w:rPr>
          <w:rFonts w:ascii="Aptos" w:hAnsi="Aptos" w:cstheme="minorHAnsi"/>
          <w:sz w:val="24"/>
          <w:szCs w:val="24"/>
        </w:rPr>
      </w:pPr>
    </w:p>
    <w:p w14:paraId="04F0C820" w14:textId="77777777" w:rsidR="00F32D56" w:rsidRDefault="00F32D56" w:rsidP="00F32D56">
      <w:pPr>
        <w:rPr>
          <w:rFonts w:ascii="Aptos" w:hAnsi="Aptos" w:cstheme="minorHAnsi"/>
          <w:b/>
          <w:bCs/>
          <w:sz w:val="24"/>
          <w:szCs w:val="24"/>
        </w:rPr>
      </w:pPr>
      <w:r w:rsidRPr="00F32D56">
        <w:rPr>
          <w:rFonts w:ascii="Aptos" w:hAnsi="Aptos" w:cstheme="minorHAnsi"/>
          <w:b/>
          <w:bCs/>
          <w:sz w:val="24"/>
          <w:szCs w:val="24"/>
        </w:rPr>
        <w:t>2. Mortality Rate Trends</w:t>
      </w:r>
    </w:p>
    <w:p w14:paraId="78C2E780" w14:textId="55E6CD86" w:rsidR="00F32D56" w:rsidRPr="00F32D56" w:rsidRDefault="00F32D56" w:rsidP="00F32D56">
      <w:pPr>
        <w:rPr>
          <w:rFonts w:ascii="Aptos" w:hAnsi="Aptos" w:cstheme="minorHAnsi"/>
          <w:b/>
          <w:bCs/>
          <w:sz w:val="24"/>
          <w:szCs w:val="24"/>
        </w:rPr>
      </w:pPr>
      <w:r w:rsidRPr="002759B3">
        <w:rPr>
          <w:rFonts w:ascii="Aptos" w:hAnsi="Aptos" w:cstheme="minorHAnsi"/>
          <w:noProof/>
          <w:sz w:val="24"/>
          <w:szCs w:val="24"/>
        </w:rPr>
        <w:drawing>
          <wp:inline distT="0" distB="0" distL="0" distR="0" wp14:anchorId="1267827F" wp14:editId="52E6F889">
            <wp:extent cx="5731510" cy="3201035"/>
            <wp:effectExtent l="0" t="0" r="2540" b="0"/>
            <wp:docPr id="7428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25687" name=""/>
                    <pic:cNvPicPr/>
                  </pic:nvPicPr>
                  <pic:blipFill>
                    <a:blip r:embed="rId10"/>
                    <a:stretch>
                      <a:fillRect/>
                    </a:stretch>
                  </pic:blipFill>
                  <pic:spPr>
                    <a:xfrm>
                      <a:off x="0" y="0"/>
                      <a:ext cx="5731510" cy="3201035"/>
                    </a:xfrm>
                    <a:prstGeom prst="rect">
                      <a:avLst/>
                    </a:prstGeom>
                  </pic:spPr>
                </pic:pic>
              </a:graphicData>
            </a:graphic>
          </wp:inline>
        </w:drawing>
      </w:r>
    </w:p>
    <w:p w14:paraId="243A1545"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A similar pattern is observed in </w:t>
      </w:r>
      <w:r w:rsidRPr="00F32D56">
        <w:rPr>
          <w:rFonts w:ascii="Aptos" w:hAnsi="Aptos" w:cstheme="minorHAnsi"/>
          <w:b/>
          <w:bCs/>
          <w:sz w:val="24"/>
          <w:szCs w:val="24"/>
        </w:rPr>
        <w:t>mortality rates</w:t>
      </w:r>
      <w:r w:rsidRPr="00F32D56">
        <w:rPr>
          <w:rFonts w:ascii="Aptos" w:hAnsi="Aptos" w:cstheme="minorHAnsi"/>
          <w:sz w:val="24"/>
          <w:szCs w:val="24"/>
        </w:rPr>
        <w:t>:</w:t>
      </w:r>
    </w:p>
    <w:p w14:paraId="634EC0E5"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b/>
          <w:bCs/>
          <w:sz w:val="24"/>
          <w:szCs w:val="24"/>
        </w:rPr>
        <w:t>Developing nations</w:t>
      </w:r>
      <w:r w:rsidRPr="00F32D56">
        <w:rPr>
          <w:rFonts w:ascii="Aptos" w:hAnsi="Aptos" w:cstheme="minorHAnsi"/>
          <w:sz w:val="24"/>
          <w:szCs w:val="24"/>
        </w:rPr>
        <w:t xml:space="preserve"> such as </w:t>
      </w:r>
      <w:r w:rsidRPr="00F32D56">
        <w:rPr>
          <w:rFonts w:ascii="Aptos" w:hAnsi="Aptos" w:cstheme="minorHAnsi"/>
          <w:b/>
          <w:bCs/>
          <w:sz w:val="24"/>
          <w:szCs w:val="24"/>
        </w:rPr>
        <w:t>India</w:t>
      </w:r>
      <w:r w:rsidRPr="00F32D56">
        <w:rPr>
          <w:rFonts w:ascii="Aptos" w:hAnsi="Aptos" w:cstheme="minorHAnsi"/>
          <w:sz w:val="24"/>
          <w:szCs w:val="24"/>
        </w:rPr>
        <w:t xml:space="preserve">, </w:t>
      </w:r>
      <w:r w:rsidRPr="00F32D56">
        <w:rPr>
          <w:rFonts w:ascii="Aptos" w:hAnsi="Aptos" w:cstheme="minorHAnsi"/>
          <w:b/>
          <w:bCs/>
          <w:sz w:val="24"/>
          <w:szCs w:val="24"/>
        </w:rPr>
        <w:t>Afghanistan</w:t>
      </w:r>
      <w:r w:rsidRPr="00F32D56">
        <w:rPr>
          <w:rFonts w:ascii="Aptos" w:hAnsi="Aptos" w:cstheme="minorHAnsi"/>
          <w:sz w:val="24"/>
          <w:szCs w:val="24"/>
        </w:rPr>
        <w:t xml:space="preserve">, </w:t>
      </w:r>
      <w:r w:rsidRPr="00F32D56">
        <w:rPr>
          <w:rFonts w:ascii="Aptos" w:hAnsi="Aptos" w:cstheme="minorHAnsi"/>
          <w:b/>
          <w:bCs/>
          <w:sz w:val="24"/>
          <w:szCs w:val="24"/>
        </w:rPr>
        <w:t>Myanmar</w:t>
      </w:r>
      <w:r w:rsidRPr="00F32D56">
        <w:rPr>
          <w:rFonts w:ascii="Aptos" w:hAnsi="Aptos" w:cstheme="minorHAnsi"/>
          <w:sz w:val="24"/>
          <w:szCs w:val="24"/>
        </w:rPr>
        <w:t xml:space="preserve">, and </w:t>
      </w:r>
      <w:r w:rsidRPr="00F32D56">
        <w:rPr>
          <w:rFonts w:ascii="Aptos" w:hAnsi="Aptos" w:cstheme="minorHAnsi"/>
          <w:b/>
          <w:bCs/>
          <w:sz w:val="24"/>
          <w:szCs w:val="24"/>
        </w:rPr>
        <w:t>Indonesia</w:t>
      </w:r>
      <w:r w:rsidRPr="00F32D56">
        <w:rPr>
          <w:rFonts w:ascii="Aptos" w:hAnsi="Aptos" w:cstheme="minorHAnsi"/>
          <w:sz w:val="24"/>
          <w:szCs w:val="24"/>
        </w:rPr>
        <w:t xml:space="preserve"> report higher TB mortality rates.</w:t>
      </w:r>
    </w:p>
    <w:p w14:paraId="5F4B004F"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sz w:val="24"/>
          <w:szCs w:val="24"/>
        </w:rPr>
        <w:t xml:space="preserve">Notably, </w:t>
      </w:r>
      <w:r w:rsidRPr="00F32D56">
        <w:rPr>
          <w:rFonts w:ascii="Aptos" w:hAnsi="Aptos" w:cstheme="minorHAnsi"/>
          <w:b/>
          <w:bCs/>
          <w:sz w:val="24"/>
          <w:szCs w:val="24"/>
        </w:rPr>
        <w:t>China</w:t>
      </w:r>
      <w:r w:rsidRPr="00F32D56">
        <w:rPr>
          <w:rFonts w:ascii="Aptos" w:hAnsi="Aptos" w:cstheme="minorHAnsi"/>
          <w:sz w:val="24"/>
          <w:szCs w:val="24"/>
        </w:rPr>
        <w:t xml:space="preserve"> demonstrates </w:t>
      </w:r>
      <w:r w:rsidRPr="00F32D56">
        <w:rPr>
          <w:rFonts w:ascii="Aptos" w:hAnsi="Aptos" w:cstheme="minorHAnsi"/>
          <w:b/>
          <w:bCs/>
          <w:sz w:val="24"/>
          <w:szCs w:val="24"/>
        </w:rPr>
        <w:t>very low mortality</w:t>
      </w:r>
      <w:r w:rsidRPr="00F32D56">
        <w:rPr>
          <w:rFonts w:ascii="Aptos" w:hAnsi="Aptos" w:cstheme="minorHAnsi"/>
          <w:sz w:val="24"/>
          <w:szCs w:val="24"/>
        </w:rPr>
        <w:t>, despite its high number of cases, indicating better healthcare access and treatment systems.</w:t>
      </w:r>
    </w:p>
    <w:p w14:paraId="5B57BED9"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b/>
          <w:bCs/>
          <w:sz w:val="24"/>
          <w:szCs w:val="24"/>
        </w:rPr>
        <w:t>Russia</w:t>
      </w:r>
      <w:r w:rsidRPr="00F32D56">
        <w:rPr>
          <w:rFonts w:ascii="Aptos" w:hAnsi="Aptos" w:cstheme="minorHAnsi"/>
          <w:sz w:val="24"/>
          <w:szCs w:val="24"/>
        </w:rPr>
        <w:t xml:space="preserve">, although considered developed, shows </w:t>
      </w:r>
      <w:r w:rsidRPr="00F32D56">
        <w:rPr>
          <w:rFonts w:ascii="Aptos" w:hAnsi="Aptos" w:cstheme="minorHAnsi"/>
          <w:b/>
          <w:bCs/>
          <w:sz w:val="24"/>
          <w:szCs w:val="24"/>
        </w:rPr>
        <w:t>elevated mortality rates</w:t>
      </w:r>
      <w:r w:rsidRPr="00F32D56">
        <w:rPr>
          <w:rFonts w:ascii="Aptos" w:hAnsi="Aptos" w:cstheme="minorHAnsi"/>
          <w:sz w:val="24"/>
          <w:szCs w:val="24"/>
        </w:rPr>
        <w:t xml:space="preserve"> compared to its European and American counterparts.</w:t>
      </w:r>
    </w:p>
    <w:p w14:paraId="5041771A" w14:textId="77777777" w:rsidR="00F32D56" w:rsidRPr="00F32D56" w:rsidRDefault="00F32D56" w:rsidP="00F32D56">
      <w:pPr>
        <w:rPr>
          <w:rFonts w:ascii="Aptos" w:hAnsi="Aptos" w:cstheme="minorHAnsi"/>
          <w:b/>
          <w:bCs/>
          <w:sz w:val="24"/>
          <w:szCs w:val="24"/>
        </w:rPr>
      </w:pPr>
      <w:r w:rsidRPr="00F32D56">
        <w:rPr>
          <w:rFonts w:ascii="Aptos" w:hAnsi="Aptos" w:cstheme="minorHAnsi"/>
          <w:b/>
          <w:bCs/>
          <w:sz w:val="24"/>
          <w:szCs w:val="24"/>
        </w:rPr>
        <w:t>Regional Improvement Over Time</w:t>
      </w:r>
    </w:p>
    <w:p w14:paraId="7A830C57" w14:textId="77777777" w:rsidR="00F32D56" w:rsidRPr="00F32D56" w:rsidRDefault="00F32D56" w:rsidP="00F32D56">
      <w:pPr>
        <w:numPr>
          <w:ilvl w:val="0"/>
          <w:numId w:val="12"/>
        </w:numPr>
        <w:rPr>
          <w:rFonts w:ascii="Aptos" w:hAnsi="Aptos" w:cstheme="minorHAnsi"/>
          <w:sz w:val="24"/>
          <w:szCs w:val="24"/>
        </w:rPr>
      </w:pPr>
      <w:r w:rsidRPr="00F32D56">
        <w:rPr>
          <w:rFonts w:ascii="Aptos" w:hAnsi="Aptos" w:cstheme="minorHAnsi"/>
          <w:sz w:val="24"/>
          <w:szCs w:val="24"/>
        </w:rPr>
        <w:t xml:space="preserve">Comparing </w:t>
      </w:r>
      <w:r w:rsidRPr="00F32D56">
        <w:rPr>
          <w:rFonts w:ascii="Aptos" w:hAnsi="Aptos" w:cstheme="minorHAnsi"/>
          <w:b/>
          <w:bCs/>
          <w:sz w:val="24"/>
          <w:szCs w:val="24"/>
        </w:rPr>
        <w:t>mortality rates between 2000–2010 and 2011–2021</w:t>
      </w:r>
      <w:r w:rsidRPr="00F32D56">
        <w:rPr>
          <w:rFonts w:ascii="Aptos" w:hAnsi="Aptos" w:cstheme="minorHAnsi"/>
          <w:sz w:val="24"/>
          <w:szCs w:val="24"/>
        </w:rPr>
        <w:t xml:space="preserve">, significant improvement is evident in the </w:t>
      </w:r>
      <w:r w:rsidRPr="00F32D56">
        <w:rPr>
          <w:rFonts w:ascii="Aptos" w:hAnsi="Aptos" w:cstheme="minorHAnsi"/>
          <w:b/>
          <w:bCs/>
          <w:sz w:val="24"/>
          <w:szCs w:val="24"/>
        </w:rPr>
        <w:t>African region</w:t>
      </w:r>
      <w:r w:rsidRPr="00F32D56">
        <w:rPr>
          <w:rFonts w:ascii="Aptos" w:hAnsi="Aptos" w:cstheme="minorHAnsi"/>
          <w:sz w:val="24"/>
          <w:szCs w:val="24"/>
        </w:rPr>
        <w:t>, suggesting the positive impact of public health interventions and international support.</w:t>
      </w:r>
    </w:p>
    <w:p w14:paraId="6628DB92" w14:textId="67EAF7B4" w:rsidR="00A56680" w:rsidRDefault="00A56680">
      <w:pPr>
        <w:rPr>
          <w:rFonts w:ascii="Aptos" w:hAnsi="Aptos" w:cstheme="minorHAnsi"/>
          <w:sz w:val="24"/>
          <w:szCs w:val="24"/>
        </w:rPr>
      </w:pPr>
      <w:r w:rsidRPr="00A56680">
        <w:rPr>
          <w:rFonts w:ascii="Aptos" w:hAnsi="Aptos" w:cstheme="minorHAnsi"/>
          <w:noProof/>
          <w:sz w:val="24"/>
          <w:szCs w:val="24"/>
        </w:rPr>
        <w:lastRenderedPageBreak/>
        <w:drawing>
          <wp:inline distT="0" distB="0" distL="0" distR="0" wp14:anchorId="0224F690" wp14:editId="3B7EBEEB">
            <wp:extent cx="5731510" cy="3243580"/>
            <wp:effectExtent l="0" t="0" r="2540" b="0"/>
            <wp:docPr id="27126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65978" name=""/>
                    <pic:cNvPicPr/>
                  </pic:nvPicPr>
                  <pic:blipFill>
                    <a:blip r:embed="rId11"/>
                    <a:stretch>
                      <a:fillRect/>
                    </a:stretch>
                  </pic:blipFill>
                  <pic:spPr>
                    <a:xfrm>
                      <a:off x="0" y="0"/>
                      <a:ext cx="5731510" cy="3243580"/>
                    </a:xfrm>
                    <a:prstGeom prst="rect">
                      <a:avLst/>
                    </a:prstGeom>
                  </pic:spPr>
                </pic:pic>
              </a:graphicData>
            </a:graphic>
          </wp:inline>
        </w:drawing>
      </w:r>
    </w:p>
    <w:p w14:paraId="6D495651" w14:textId="77777777" w:rsidR="00AF024E" w:rsidRDefault="00AF024E" w:rsidP="00AF024E">
      <w:pPr>
        <w:rPr>
          <w:rFonts w:ascii="Aptos" w:hAnsi="Aptos" w:cstheme="minorHAnsi"/>
          <w:b/>
          <w:bCs/>
          <w:sz w:val="24"/>
          <w:szCs w:val="24"/>
        </w:rPr>
      </w:pPr>
      <w:r w:rsidRPr="00AF024E">
        <w:rPr>
          <w:rFonts w:ascii="Aptos" w:hAnsi="Aptos" w:cstheme="minorHAnsi"/>
          <w:b/>
          <w:bCs/>
          <w:sz w:val="24"/>
          <w:szCs w:val="24"/>
        </w:rPr>
        <w:t>3. Treatment Success Rate Analysis</w:t>
      </w:r>
    </w:p>
    <w:p w14:paraId="25B35A77" w14:textId="5DC0A02C" w:rsidR="00AF024E" w:rsidRPr="00AF024E" w:rsidRDefault="00AF024E" w:rsidP="00AF024E">
      <w:pPr>
        <w:rPr>
          <w:rFonts w:ascii="Aptos" w:hAnsi="Aptos" w:cstheme="minorHAnsi"/>
          <w:b/>
          <w:bCs/>
          <w:sz w:val="24"/>
          <w:szCs w:val="24"/>
        </w:rPr>
      </w:pPr>
      <w:r w:rsidRPr="00A56680">
        <w:rPr>
          <w:rFonts w:ascii="Aptos" w:hAnsi="Aptos" w:cstheme="minorHAnsi"/>
          <w:noProof/>
          <w:sz w:val="24"/>
          <w:szCs w:val="24"/>
        </w:rPr>
        <w:drawing>
          <wp:inline distT="0" distB="0" distL="0" distR="0" wp14:anchorId="41CDAB13" wp14:editId="00C3E87A">
            <wp:extent cx="5731510" cy="3419475"/>
            <wp:effectExtent l="0" t="0" r="2540" b="9525"/>
            <wp:docPr id="210718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5919" name=""/>
                    <pic:cNvPicPr/>
                  </pic:nvPicPr>
                  <pic:blipFill>
                    <a:blip r:embed="rId12"/>
                    <a:stretch>
                      <a:fillRect/>
                    </a:stretch>
                  </pic:blipFill>
                  <pic:spPr>
                    <a:xfrm>
                      <a:off x="0" y="0"/>
                      <a:ext cx="5731510" cy="3419475"/>
                    </a:xfrm>
                    <a:prstGeom prst="rect">
                      <a:avLst/>
                    </a:prstGeom>
                  </pic:spPr>
                </pic:pic>
              </a:graphicData>
            </a:graphic>
          </wp:inline>
        </w:drawing>
      </w:r>
    </w:p>
    <w:p w14:paraId="31815724" w14:textId="77777777" w:rsidR="00AF024E" w:rsidRPr="00AF024E" w:rsidRDefault="00AF024E" w:rsidP="00AF024E">
      <w:pPr>
        <w:rPr>
          <w:rFonts w:ascii="Aptos" w:hAnsi="Aptos" w:cstheme="minorHAnsi"/>
          <w:sz w:val="24"/>
          <w:szCs w:val="24"/>
        </w:rPr>
      </w:pPr>
      <w:r w:rsidRPr="00AF024E">
        <w:rPr>
          <w:rFonts w:ascii="Aptos" w:hAnsi="Aptos" w:cstheme="minorHAnsi"/>
          <w:sz w:val="24"/>
          <w:szCs w:val="24"/>
        </w:rPr>
        <w:t xml:space="preserve">Analysis of </w:t>
      </w:r>
      <w:r w:rsidRPr="00AF024E">
        <w:rPr>
          <w:rFonts w:ascii="Aptos" w:hAnsi="Aptos" w:cstheme="minorHAnsi"/>
          <w:b/>
          <w:bCs/>
          <w:sz w:val="24"/>
          <w:szCs w:val="24"/>
        </w:rPr>
        <w:t>treatment success rates</w:t>
      </w:r>
      <w:r w:rsidRPr="00AF024E">
        <w:rPr>
          <w:rFonts w:ascii="Aptos" w:hAnsi="Aptos" w:cstheme="minorHAnsi"/>
          <w:sz w:val="24"/>
          <w:szCs w:val="24"/>
        </w:rPr>
        <w:t xml:space="preserve"> reveals:</w:t>
      </w:r>
    </w:p>
    <w:p w14:paraId="49F8C157"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b/>
          <w:bCs/>
          <w:sz w:val="24"/>
          <w:szCs w:val="24"/>
        </w:rPr>
        <w:t>Asian countries</w:t>
      </w:r>
      <w:r w:rsidRPr="00AF024E">
        <w:rPr>
          <w:rFonts w:ascii="Aptos" w:hAnsi="Aptos" w:cstheme="minorHAnsi"/>
          <w:sz w:val="24"/>
          <w:szCs w:val="24"/>
        </w:rPr>
        <w:t xml:space="preserve"> show </w:t>
      </w:r>
      <w:r w:rsidRPr="00AF024E">
        <w:rPr>
          <w:rFonts w:ascii="Aptos" w:hAnsi="Aptos" w:cstheme="minorHAnsi"/>
          <w:b/>
          <w:bCs/>
          <w:sz w:val="24"/>
          <w:szCs w:val="24"/>
        </w:rPr>
        <w:t>higher treatment success rates</w:t>
      </w:r>
      <w:r w:rsidRPr="00AF024E">
        <w:rPr>
          <w:rFonts w:ascii="Aptos" w:hAnsi="Aptos" w:cstheme="minorHAnsi"/>
          <w:sz w:val="24"/>
          <w:szCs w:val="24"/>
        </w:rPr>
        <w:t xml:space="preserve"> overall, likely due to expanding healthcare services and population-level access to care.</w:t>
      </w:r>
    </w:p>
    <w:p w14:paraId="671E0876"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b/>
          <w:bCs/>
          <w:sz w:val="24"/>
          <w:szCs w:val="24"/>
        </w:rPr>
        <w:t>China</w:t>
      </w:r>
      <w:r w:rsidRPr="00AF024E">
        <w:rPr>
          <w:rFonts w:ascii="Aptos" w:hAnsi="Aptos" w:cstheme="minorHAnsi"/>
          <w:sz w:val="24"/>
          <w:szCs w:val="24"/>
        </w:rPr>
        <w:t xml:space="preserve"> stands out with consistently high success, while </w:t>
      </w:r>
      <w:r w:rsidRPr="00AF024E">
        <w:rPr>
          <w:rFonts w:ascii="Aptos" w:hAnsi="Aptos" w:cstheme="minorHAnsi"/>
          <w:b/>
          <w:bCs/>
          <w:sz w:val="24"/>
          <w:szCs w:val="24"/>
        </w:rPr>
        <w:t>India</w:t>
      </w:r>
      <w:r w:rsidRPr="00AF024E">
        <w:rPr>
          <w:rFonts w:ascii="Aptos" w:hAnsi="Aptos" w:cstheme="minorHAnsi"/>
          <w:sz w:val="24"/>
          <w:szCs w:val="24"/>
        </w:rPr>
        <w:t xml:space="preserve"> shows dramatic improvement—from </w:t>
      </w:r>
      <w:r w:rsidRPr="00AF024E">
        <w:rPr>
          <w:rFonts w:ascii="Aptos" w:hAnsi="Aptos" w:cstheme="minorHAnsi"/>
          <w:b/>
          <w:bCs/>
          <w:sz w:val="24"/>
          <w:szCs w:val="24"/>
        </w:rPr>
        <w:t>34% in 2000</w:t>
      </w:r>
      <w:r w:rsidRPr="00AF024E">
        <w:rPr>
          <w:rFonts w:ascii="Aptos" w:hAnsi="Aptos" w:cstheme="minorHAnsi"/>
          <w:sz w:val="24"/>
          <w:szCs w:val="24"/>
        </w:rPr>
        <w:t xml:space="preserve"> to </w:t>
      </w:r>
      <w:r w:rsidRPr="00AF024E">
        <w:rPr>
          <w:rFonts w:ascii="Aptos" w:hAnsi="Aptos" w:cstheme="minorHAnsi"/>
          <w:b/>
          <w:bCs/>
          <w:sz w:val="24"/>
          <w:szCs w:val="24"/>
        </w:rPr>
        <w:t>78% in 2021</w:t>
      </w:r>
      <w:r w:rsidRPr="00AF024E">
        <w:rPr>
          <w:rFonts w:ascii="Aptos" w:hAnsi="Aptos" w:cstheme="minorHAnsi"/>
          <w:sz w:val="24"/>
          <w:szCs w:val="24"/>
        </w:rPr>
        <w:t>.</w:t>
      </w:r>
    </w:p>
    <w:p w14:paraId="06377940"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sz w:val="24"/>
          <w:szCs w:val="24"/>
        </w:rPr>
        <w:lastRenderedPageBreak/>
        <w:t xml:space="preserve">However, </w:t>
      </w:r>
      <w:r w:rsidRPr="00AF024E">
        <w:rPr>
          <w:rFonts w:ascii="Aptos" w:hAnsi="Aptos" w:cstheme="minorHAnsi"/>
          <w:b/>
          <w:bCs/>
          <w:sz w:val="24"/>
          <w:szCs w:val="24"/>
        </w:rPr>
        <w:t>Argentina</w:t>
      </w:r>
      <w:r w:rsidRPr="00AF024E">
        <w:rPr>
          <w:rFonts w:ascii="Aptos" w:hAnsi="Aptos" w:cstheme="minorHAnsi"/>
          <w:sz w:val="24"/>
          <w:szCs w:val="24"/>
        </w:rPr>
        <w:t xml:space="preserve"> and </w:t>
      </w:r>
      <w:r w:rsidRPr="00AF024E">
        <w:rPr>
          <w:rFonts w:ascii="Aptos" w:hAnsi="Aptos" w:cstheme="minorHAnsi"/>
          <w:b/>
          <w:bCs/>
          <w:sz w:val="24"/>
          <w:szCs w:val="24"/>
        </w:rPr>
        <w:t>Angola</w:t>
      </w:r>
      <w:r w:rsidRPr="00AF024E">
        <w:rPr>
          <w:rFonts w:ascii="Aptos" w:hAnsi="Aptos" w:cstheme="minorHAnsi"/>
          <w:sz w:val="24"/>
          <w:szCs w:val="24"/>
        </w:rPr>
        <w:t xml:space="preserve"> report </w:t>
      </w:r>
      <w:r w:rsidRPr="00AF024E">
        <w:rPr>
          <w:rFonts w:ascii="Aptos" w:hAnsi="Aptos" w:cstheme="minorHAnsi"/>
          <w:b/>
          <w:bCs/>
          <w:sz w:val="24"/>
          <w:szCs w:val="24"/>
        </w:rPr>
        <w:t>lower-than-average success rates</w:t>
      </w:r>
      <w:r w:rsidRPr="00AF024E">
        <w:rPr>
          <w:rFonts w:ascii="Aptos" w:hAnsi="Aptos" w:cstheme="minorHAnsi"/>
          <w:sz w:val="24"/>
          <w:szCs w:val="24"/>
        </w:rPr>
        <w:t xml:space="preserve">, despite having full datasets available from </w:t>
      </w:r>
      <w:r w:rsidRPr="00AF024E">
        <w:rPr>
          <w:rFonts w:ascii="Aptos" w:hAnsi="Aptos" w:cstheme="minorHAnsi"/>
          <w:b/>
          <w:bCs/>
          <w:sz w:val="24"/>
          <w:szCs w:val="24"/>
        </w:rPr>
        <w:t>2000 to 2021</w:t>
      </w:r>
      <w:r w:rsidRPr="00AF024E">
        <w:rPr>
          <w:rFonts w:ascii="Aptos" w:hAnsi="Aptos" w:cstheme="minorHAnsi"/>
          <w:sz w:val="24"/>
          <w:szCs w:val="24"/>
        </w:rPr>
        <w:t>.</w:t>
      </w:r>
    </w:p>
    <w:p w14:paraId="193352AF"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sz w:val="24"/>
          <w:szCs w:val="24"/>
        </w:rPr>
        <w:t xml:space="preserve">In contrast, </w:t>
      </w:r>
      <w:r w:rsidRPr="00AF024E">
        <w:rPr>
          <w:rFonts w:ascii="Aptos" w:hAnsi="Aptos" w:cstheme="minorHAnsi"/>
          <w:b/>
          <w:bCs/>
          <w:sz w:val="24"/>
          <w:szCs w:val="24"/>
        </w:rPr>
        <w:t>European countries</w:t>
      </w:r>
      <w:r w:rsidRPr="00AF024E">
        <w:rPr>
          <w:rFonts w:ascii="Aptos" w:hAnsi="Aptos" w:cstheme="minorHAnsi"/>
          <w:sz w:val="24"/>
          <w:szCs w:val="24"/>
        </w:rPr>
        <w:t xml:space="preserve"> report lower success rates partly due to </w:t>
      </w:r>
      <w:r w:rsidRPr="00AF024E">
        <w:rPr>
          <w:rFonts w:ascii="Aptos" w:hAnsi="Aptos" w:cstheme="minorHAnsi"/>
          <w:b/>
          <w:bCs/>
          <w:sz w:val="24"/>
          <w:szCs w:val="24"/>
        </w:rPr>
        <w:t>missing or incomplete data</w:t>
      </w:r>
      <w:r w:rsidRPr="00AF024E">
        <w:rPr>
          <w:rFonts w:ascii="Aptos" w:hAnsi="Aptos" w:cstheme="minorHAnsi"/>
          <w:sz w:val="24"/>
          <w:szCs w:val="24"/>
        </w:rPr>
        <w:t>.</w:t>
      </w:r>
    </w:p>
    <w:p w14:paraId="3449D591" w14:textId="2C7306F6" w:rsidR="00A56680" w:rsidRDefault="00A56680">
      <w:pPr>
        <w:rPr>
          <w:rFonts w:ascii="Aptos" w:hAnsi="Aptos" w:cstheme="minorHAnsi"/>
          <w:sz w:val="24"/>
          <w:szCs w:val="24"/>
        </w:rPr>
      </w:pPr>
    </w:p>
    <w:p w14:paraId="4168BB7A" w14:textId="77777777" w:rsidR="00AF024E" w:rsidRPr="00AF024E" w:rsidRDefault="00AF024E" w:rsidP="00AF024E">
      <w:pPr>
        <w:rPr>
          <w:rFonts w:ascii="Aptos" w:hAnsi="Aptos" w:cstheme="minorHAnsi"/>
          <w:b/>
          <w:bCs/>
          <w:sz w:val="24"/>
          <w:szCs w:val="24"/>
        </w:rPr>
      </w:pPr>
      <w:r w:rsidRPr="00AF024E">
        <w:rPr>
          <w:rFonts w:ascii="Aptos" w:hAnsi="Aptos" w:cstheme="minorHAnsi"/>
          <w:b/>
          <w:bCs/>
          <w:sz w:val="24"/>
          <w:szCs w:val="24"/>
        </w:rPr>
        <w:t>4. TB Mortality Attributed to Age (2022 Data)</w:t>
      </w:r>
    </w:p>
    <w:p w14:paraId="69ED1AF9" w14:textId="77777777" w:rsidR="00AF024E" w:rsidRPr="00AF024E" w:rsidRDefault="00AF024E" w:rsidP="00AF024E">
      <w:pPr>
        <w:rPr>
          <w:rFonts w:ascii="Aptos" w:hAnsi="Aptos" w:cstheme="minorHAnsi"/>
          <w:sz w:val="24"/>
          <w:szCs w:val="24"/>
        </w:rPr>
      </w:pPr>
      <w:r w:rsidRPr="00AF024E">
        <w:rPr>
          <w:rFonts w:ascii="Aptos" w:hAnsi="Aptos" w:cstheme="minorHAnsi"/>
          <w:sz w:val="24"/>
          <w:szCs w:val="24"/>
        </w:rPr>
        <w:t>An age-wise analysis of TB mortality for the year 2022 highlights stark differences across countries and regions. This data provides critical insight into which age groups are most at risk in specific geographies, reflecting disparities in health infrastructure, co-morbidities, and access to early diagnosis and treatment.</w:t>
      </w:r>
    </w:p>
    <w:p w14:paraId="4830B2A0" w14:textId="323083CF" w:rsidR="00AF024E" w:rsidRPr="00AF024E" w:rsidRDefault="00AF024E" w:rsidP="00AF024E">
      <w:pPr>
        <w:numPr>
          <w:ilvl w:val="0"/>
          <w:numId w:val="14"/>
        </w:numPr>
        <w:rPr>
          <w:rFonts w:ascii="Aptos" w:hAnsi="Aptos" w:cstheme="minorHAnsi"/>
          <w:sz w:val="24"/>
          <w:szCs w:val="24"/>
        </w:rPr>
      </w:pPr>
      <w:r w:rsidRPr="00AF024E">
        <w:rPr>
          <w:rFonts w:ascii="Aptos" w:hAnsi="Aptos" w:cstheme="minorHAnsi"/>
          <w:b/>
          <w:bCs/>
          <w:sz w:val="24"/>
          <w:szCs w:val="24"/>
        </w:rPr>
        <w:t>Ages 0–4:</w:t>
      </w:r>
      <w:r w:rsidRPr="00AF024E">
        <w:rPr>
          <w:rFonts w:ascii="Aptos" w:hAnsi="Aptos" w:cstheme="minorHAnsi"/>
          <w:sz w:val="24"/>
          <w:szCs w:val="24"/>
        </w:rPr>
        <w:br/>
        <w:t xml:space="preserve">The highest number of TB-related deaths in this age group occurred in </w:t>
      </w:r>
      <w:r w:rsidRPr="00AF024E">
        <w:rPr>
          <w:rFonts w:ascii="Aptos" w:hAnsi="Aptos" w:cstheme="minorHAnsi"/>
          <w:b/>
          <w:bCs/>
          <w:sz w:val="24"/>
          <w:szCs w:val="24"/>
        </w:rPr>
        <w:t>Indonesia</w:t>
      </w:r>
      <w:r w:rsidRPr="00AF024E">
        <w:rPr>
          <w:rFonts w:ascii="Aptos" w:hAnsi="Aptos" w:cstheme="minorHAnsi"/>
          <w:sz w:val="24"/>
          <w:szCs w:val="24"/>
        </w:rPr>
        <w:t>. This reflects both the high population of children and the challenges in early TB detection and treatment in younger age groups. The result may also point to gaps in paediatric healthcare coverage and TB prevention programs.</w:t>
      </w:r>
    </w:p>
    <w:p w14:paraId="5B4F3FF2" w14:textId="7639257B" w:rsidR="006439F3" w:rsidRDefault="009F02C3">
      <w:pPr>
        <w:rPr>
          <w:rFonts w:ascii="Aptos" w:hAnsi="Aptos" w:cstheme="minorHAnsi"/>
          <w:sz w:val="24"/>
          <w:szCs w:val="24"/>
        </w:rPr>
      </w:pPr>
      <w:r w:rsidRPr="009F02C3">
        <w:rPr>
          <w:rFonts w:ascii="Aptos" w:hAnsi="Aptos" w:cstheme="minorHAnsi"/>
          <w:noProof/>
          <w:sz w:val="24"/>
          <w:szCs w:val="24"/>
        </w:rPr>
        <w:drawing>
          <wp:inline distT="0" distB="0" distL="0" distR="0" wp14:anchorId="095FCE0E" wp14:editId="7A6471BC">
            <wp:extent cx="5731510" cy="5070475"/>
            <wp:effectExtent l="0" t="0" r="2540" b="0"/>
            <wp:docPr id="13542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917" name=""/>
                    <pic:cNvPicPr/>
                  </pic:nvPicPr>
                  <pic:blipFill>
                    <a:blip r:embed="rId13"/>
                    <a:stretch>
                      <a:fillRect/>
                    </a:stretch>
                  </pic:blipFill>
                  <pic:spPr>
                    <a:xfrm>
                      <a:off x="0" y="0"/>
                      <a:ext cx="5731510" cy="5070475"/>
                    </a:xfrm>
                    <a:prstGeom prst="rect">
                      <a:avLst/>
                    </a:prstGeom>
                  </pic:spPr>
                </pic:pic>
              </a:graphicData>
            </a:graphic>
          </wp:inline>
        </w:drawing>
      </w:r>
    </w:p>
    <w:p w14:paraId="362D4FDD" w14:textId="6B3D243D" w:rsidR="00C90ED6"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lastRenderedPageBreak/>
        <w:t xml:space="preserve">Ages </w:t>
      </w:r>
      <w:r w:rsidR="003113C0">
        <w:rPr>
          <w:rFonts w:ascii="Aptos" w:hAnsi="Aptos" w:cstheme="minorHAnsi"/>
          <w:b/>
          <w:bCs/>
          <w:sz w:val="24"/>
          <w:szCs w:val="24"/>
        </w:rPr>
        <w:t>5</w:t>
      </w:r>
      <w:r w:rsidRPr="00C90ED6">
        <w:rPr>
          <w:rFonts w:ascii="Aptos" w:hAnsi="Aptos" w:cstheme="minorHAnsi"/>
          <w:b/>
          <w:bCs/>
          <w:sz w:val="24"/>
          <w:szCs w:val="24"/>
        </w:rPr>
        <w:t>–15:</w:t>
      </w:r>
      <w:r w:rsidRPr="00C90ED6">
        <w:rPr>
          <w:rFonts w:ascii="Aptos" w:hAnsi="Aptos" w:cstheme="minorHAnsi"/>
          <w:sz w:val="24"/>
          <w:szCs w:val="24"/>
        </w:rPr>
        <w:br/>
      </w:r>
      <w:r w:rsidRPr="00C90ED6">
        <w:rPr>
          <w:rFonts w:ascii="Aptos" w:hAnsi="Aptos" w:cstheme="minorHAnsi"/>
          <w:b/>
          <w:bCs/>
          <w:sz w:val="24"/>
          <w:szCs w:val="24"/>
        </w:rPr>
        <w:t>Papua New Guinea</w:t>
      </w:r>
      <w:r w:rsidRPr="00C90ED6">
        <w:rPr>
          <w:rFonts w:ascii="Aptos" w:hAnsi="Aptos" w:cstheme="minorHAnsi"/>
          <w:sz w:val="24"/>
          <w:szCs w:val="24"/>
        </w:rPr>
        <w:t xml:space="preserve"> recorded the highest TB mortality in this age group. This pattern likely stems from limited access to quality healthcare in remote areas, underdiagnosis, and socio-economic challenges that affect child health and nutrition.</w:t>
      </w:r>
      <w:r w:rsidR="002E691C" w:rsidRPr="002E691C">
        <w:rPr>
          <w:noProof/>
        </w:rPr>
        <w:t xml:space="preserve"> </w:t>
      </w:r>
      <w:r w:rsidR="002E691C" w:rsidRPr="002E691C">
        <w:rPr>
          <w:rFonts w:ascii="Aptos" w:hAnsi="Aptos" w:cstheme="minorHAnsi"/>
          <w:sz w:val="24"/>
          <w:szCs w:val="24"/>
        </w:rPr>
        <w:drawing>
          <wp:inline distT="0" distB="0" distL="0" distR="0" wp14:anchorId="3E78046D" wp14:editId="09ADD15B">
            <wp:extent cx="5748027" cy="3314700"/>
            <wp:effectExtent l="0" t="0" r="5080" b="0"/>
            <wp:docPr id="73799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98131" name=""/>
                    <pic:cNvPicPr/>
                  </pic:nvPicPr>
                  <pic:blipFill>
                    <a:blip r:embed="rId14"/>
                    <a:stretch>
                      <a:fillRect/>
                    </a:stretch>
                  </pic:blipFill>
                  <pic:spPr>
                    <a:xfrm>
                      <a:off x="0" y="0"/>
                      <a:ext cx="5748158" cy="3314776"/>
                    </a:xfrm>
                    <a:prstGeom prst="rect">
                      <a:avLst/>
                    </a:prstGeom>
                  </pic:spPr>
                </pic:pic>
              </a:graphicData>
            </a:graphic>
          </wp:inline>
        </w:drawing>
      </w:r>
    </w:p>
    <w:p w14:paraId="37E005D0" w14:textId="77777777" w:rsidR="00C90ED6" w:rsidRPr="00C90ED6" w:rsidRDefault="00C90ED6" w:rsidP="00C90ED6">
      <w:pPr>
        <w:rPr>
          <w:rFonts w:ascii="Aptos" w:hAnsi="Aptos" w:cstheme="minorHAnsi"/>
          <w:sz w:val="24"/>
          <w:szCs w:val="24"/>
        </w:rPr>
      </w:pPr>
    </w:p>
    <w:p w14:paraId="64BFDB7F" w14:textId="5ABE46BD" w:rsidR="009F02C3"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t>Ages 1</w:t>
      </w:r>
      <w:r w:rsidR="003113C0">
        <w:rPr>
          <w:rFonts w:ascii="Aptos" w:hAnsi="Aptos" w:cstheme="minorHAnsi"/>
          <w:b/>
          <w:bCs/>
          <w:sz w:val="24"/>
          <w:szCs w:val="24"/>
        </w:rPr>
        <w:t>6</w:t>
      </w:r>
      <w:r w:rsidRPr="00C90ED6">
        <w:rPr>
          <w:rFonts w:ascii="Aptos" w:hAnsi="Aptos" w:cstheme="minorHAnsi"/>
          <w:b/>
          <w:bCs/>
          <w:sz w:val="24"/>
          <w:szCs w:val="24"/>
        </w:rPr>
        <w:t>–24:</w:t>
      </w:r>
      <w:r w:rsidRPr="00C90ED6">
        <w:rPr>
          <w:rFonts w:ascii="Aptos" w:hAnsi="Aptos" w:cstheme="minorHAnsi"/>
          <w:sz w:val="24"/>
          <w:szCs w:val="24"/>
        </w:rPr>
        <w:br/>
      </w:r>
      <w:r w:rsidRPr="00C90ED6">
        <w:rPr>
          <w:rFonts w:ascii="Aptos" w:hAnsi="Aptos" w:cstheme="minorHAnsi"/>
          <w:b/>
          <w:bCs/>
          <w:sz w:val="24"/>
          <w:szCs w:val="24"/>
        </w:rPr>
        <w:t>Mongolia</w:t>
      </w:r>
      <w:r w:rsidRPr="00C90ED6">
        <w:rPr>
          <w:rFonts w:ascii="Aptos" w:hAnsi="Aptos" w:cstheme="minorHAnsi"/>
          <w:sz w:val="24"/>
          <w:szCs w:val="24"/>
        </w:rPr>
        <w:t xml:space="preserve"> showed the highest number of TB deaths among young adults. In this age group, lifestyle factors such as tobacco use, combined with undernutrition and access issues, may be contributing factors.</w:t>
      </w:r>
      <w:r w:rsidR="002E691C" w:rsidRPr="002E691C">
        <w:rPr>
          <w:noProof/>
        </w:rPr>
        <w:t xml:space="preserve"> </w:t>
      </w:r>
      <w:r w:rsidR="002E691C" w:rsidRPr="002E691C">
        <w:rPr>
          <w:rFonts w:ascii="Aptos" w:hAnsi="Aptos" w:cstheme="minorHAnsi"/>
          <w:sz w:val="24"/>
          <w:szCs w:val="24"/>
        </w:rPr>
        <w:drawing>
          <wp:inline distT="0" distB="0" distL="0" distR="0" wp14:anchorId="30166DDA" wp14:editId="326A4898">
            <wp:extent cx="5193701" cy="3219450"/>
            <wp:effectExtent l="0" t="0" r="6985" b="0"/>
            <wp:docPr id="167551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18762" name=""/>
                    <pic:cNvPicPr/>
                  </pic:nvPicPr>
                  <pic:blipFill>
                    <a:blip r:embed="rId15"/>
                    <a:stretch>
                      <a:fillRect/>
                    </a:stretch>
                  </pic:blipFill>
                  <pic:spPr>
                    <a:xfrm>
                      <a:off x="0" y="0"/>
                      <a:ext cx="5195443" cy="3220530"/>
                    </a:xfrm>
                    <a:prstGeom prst="rect">
                      <a:avLst/>
                    </a:prstGeom>
                  </pic:spPr>
                </pic:pic>
              </a:graphicData>
            </a:graphic>
          </wp:inline>
        </w:drawing>
      </w:r>
    </w:p>
    <w:p w14:paraId="1F342DBE" w14:textId="32ECD015" w:rsidR="009F02C3"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lastRenderedPageBreak/>
        <w:t>Ages 25–34:</w:t>
      </w:r>
      <w:r w:rsidRPr="00C90ED6">
        <w:rPr>
          <w:rFonts w:ascii="Aptos" w:hAnsi="Aptos" w:cstheme="minorHAnsi"/>
          <w:sz w:val="24"/>
          <w:szCs w:val="24"/>
        </w:rPr>
        <w:br/>
        <w:t xml:space="preserve">The </w:t>
      </w:r>
      <w:r w:rsidRPr="00C90ED6">
        <w:rPr>
          <w:rFonts w:ascii="Aptos" w:hAnsi="Aptos" w:cstheme="minorHAnsi"/>
          <w:b/>
          <w:bCs/>
          <w:sz w:val="24"/>
          <w:szCs w:val="24"/>
        </w:rPr>
        <w:t>Central African Republic (CAR)</w:t>
      </w:r>
      <w:r w:rsidRPr="00C90ED6">
        <w:rPr>
          <w:rFonts w:ascii="Aptos" w:hAnsi="Aptos" w:cstheme="minorHAnsi"/>
          <w:sz w:val="24"/>
          <w:szCs w:val="24"/>
        </w:rPr>
        <w:t xml:space="preserve"> had the highest mortality in this group. This continues a trend seen in several age brackets and is likely driven by conflict-related healthcare breakdowns, poor access to TB care, and high rates of HIV co-infection.</w:t>
      </w:r>
      <w:r w:rsidR="009F02C3" w:rsidRPr="009F02C3">
        <w:rPr>
          <w:noProof/>
        </w:rPr>
        <w:drawing>
          <wp:inline distT="0" distB="0" distL="0" distR="0" wp14:anchorId="41BFF66E" wp14:editId="1BFBE891">
            <wp:extent cx="4905369" cy="3171825"/>
            <wp:effectExtent l="0" t="0" r="0" b="0"/>
            <wp:docPr id="99398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85577" name=""/>
                    <pic:cNvPicPr/>
                  </pic:nvPicPr>
                  <pic:blipFill>
                    <a:blip r:embed="rId16"/>
                    <a:stretch>
                      <a:fillRect/>
                    </a:stretch>
                  </pic:blipFill>
                  <pic:spPr>
                    <a:xfrm>
                      <a:off x="0" y="0"/>
                      <a:ext cx="4914599" cy="3177793"/>
                    </a:xfrm>
                    <a:prstGeom prst="rect">
                      <a:avLst/>
                    </a:prstGeom>
                  </pic:spPr>
                </pic:pic>
              </a:graphicData>
            </a:graphic>
          </wp:inline>
        </w:drawing>
      </w:r>
    </w:p>
    <w:p w14:paraId="6F59E14F" w14:textId="2194DDC3" w:rsidR="009F02C3" w:rsidRDefault="009F02C3">
      <w:pPr>
        <w:rPr>
          <w:rFonts w:ascii="Aptos" w:hAnsi="Aptos" w:cstheme="minorHAnsi"/>
          <w:sz w:val="24"/>
          <w:szCs w:val="24"/>
        </w:rPr>
      </w:pPr>
    </w:p>
    <w:p w14:paraId="235D0394" w14:textId="7EFA2853" w:rsidR="00D91F52"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t>Ages 35–44 and 45–54:</w:t>
      </w:r>
      <w:r w:rsidRPr="00C90ED6">
        <w:rPr>
          <w:rFonts w:ascii="Aptos" w:hAnsi="Aptos" w:cstheme="minorHAnsi"/>
          <w:sz w:val="24"/>
          <w:szCs w:val="24"/>
        </w:rPr>
        <w:br/>
      </w:r>
      <w:r w:rsidRPr="00C90ED6">
        <w:rPr>
          <w:rFonts w:ascii="Aptos" w:hAnsi="Aptos" w:cstheme="minorHAnsi"/>
          <w:b/>
          <w:bCs/>
          <w:sz w:val="24"/>
          <w:szCs w:val="24"/>
        </w:rPr>
        <w:t>CAR</w:t>
      </w:r>
      <w:r w:rsidRPr="00C90ED6">
        <w:rPr>
          <w:rFonts w:ascii="Aptos" w:hAnsi="Aptos" w:cstheme="minorHAnsi"/>
          <w:sz w:val="24"/>
          <w:szCs w:val="24"/>
        </w:rPr>
        <w:t xml:space="preserve"> maintained the highest mortality figures in these age groups as well. The continued dominance suggests chronic healthcare challenges in the country, limited TB control efforts, and ongoing barriers to treatment adherence and diagnosis.</w:t>
      </w:r>
      <w:r w:rsidR="009F02C3" w:rsidRPr="009F02C3">
        <w:rPr>
          <w:noProof/>
        </w:rPr>
        <w:drawing>
          <wp:inline distT="0" distB="0" distL="0" distR="0" wp14:anchorId="24147005" wp14:editId="50DECA80">
            <wp:extent cx="5800725" cy="3215724"/>
            <wp:effectExtent l="0" t="0" r="0" b="3810"/>
            <wp:docPr id="72035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59093" name=""/>
                    <pic:cNvPicPr/>
                  </pic:nvPicPr>
                  <pic:blipFill>
                    <a:blip r:embed="rId17"/>
                    <a:stretch>
                      <a:fillRect/>
                    </a:stretch>
                  </pic:blipFill>
                  <pic:spPr>
                    <a:xfrm>
                      <a:off x="0" y="0"/>
                      <a:ext cx="5856875" cy="3246852"/>
                    </a:xfrm>
                    <a:prstGeom prst="rect">
                      <a:avLst/>
                    </a:prstGeom>
                  </pic:spPr>
                </pic:pic>
              </a:graphicData>
            </a:graphic>
          </wp:inline>
        </w:drawing>
      </w:r>
    </w:p>
    <w:p w14:paraId="4EFD28AA" w14:textId="60364319" w:rsidR="009F02C3" w:rsidRDefault="009F02C3">
      <w:pPr>
        <w:rPr>
          <w:rFonts w:ascii="Aptos" w:hAnsi="Aptos" w:cstheme="minorHAnsi"/>
          <w:sz w:val="24"/>
          <w:szCs w:val="24"/>
        </w:rPr>
      </w:pPr>
      <w:r w:rsidRPr="009F02C3">
        <w:rPr>
          <w:rFonts w:ascii="Aptos" w:hAnsi="Aptos" w:cstheme="minorHAnsi"/>
          <w:noProof/>
          <w:sz w:val="24"/>
          <w:szCs w:val="24"/>
        </w:rPr>
        <w:lastRenderedPageBreak/>
        <w:drawing>
          <wp:inline distT="0" distB="0" distL="0" distR="0" wp14:anchorId="1CB90820" wp14:editId="5069CDFD">
            <wp:extent cx="5731510" cy="3371850"/>
            <wp:effectExtent l="0" t="0" r="2540" b="0"/>
            <wp:docPr id="201202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5636" name=""/>
                    <pic:cNvPicPr/>
                  </pic:nvPicPr>
                  <pic:blipFill>
                    <a:blip r:embed="rId18"/>
                    <a:stretch>
                      <a:fillRect/>
                    </a:stretch>
                  </pic:blipFill>
                  <pic:spPr>
                    <a:xfrm>
                      <a:off x="0" y="0"/>
                      <a:ext cx="5731510" cy="3371850"/>
                    </a:xfrm>
                    <a:prstGeom prst="rect">
                      <a:avLst/>
                    </a:prstGeom>
                  </pic:spPr>
                </pic:pic>
              </a:graphicData>
            </a:graphic>
          </wp:inline>
        </w:drawing>
      </w:r>
    </w:p>
    <w:p w14:paraId="73574AEB" w14:textId="166C9CF2" w:rsidR="009F02C3" w:rsidRPr="00C90ED6" w:rsidRDefault="00C90ED6" w:rsidP="00C90ED6">
      <w:pPr>
        <w:pStyle w:val="ListParagraph"/>
        <w:numPr>
          <w:ilvl w:val="0"/>
          <w:numId w:val="18"/>
        </w:numPr>
        <w:rPr>
          <w:rFonts w:ascii="Aptos" w:hAnsi="Aptos" w:cstheme="minorHAnsi"/>
          <w:sz w:val="24"/>
          <w:szCs w:val="24"/>
        </w:rPr>
      </w:pPr>
      <w:r w:rsidRPr="00C90ED6">
        <w:rPr>
          <w:rFonts w:ascii="Aptos" w:hAnsi="Aptos" w:cstheme="minorHAnsi"/>
          <w:b/>
          <w:bCs/>
          <w:sz w:val="24"/>
          <w:szCs w:val="24"/>
        </w:rPr>
        <w:t>Ages 55–64:</w:t>
      </w:r>
      <w:r w:rsidRPr="00C90ED6">
        <w:rPr>
          <w:rFonts w:ascii="Aptos" w:hAnsi="Aptos" w:cstheme="minorHAnsi"/>
          <w:sz w:val="24"/>
          <w:szCs w:val="24"/>
        </w:rPr>
        <w:br/>
        <w:t xml:space="preserve">In this older age group, </w:t>
      </w:r>
      <w:r w:rsidRPr="00C90ED6">
        <w:rPr>
          <w:rFonts w:ascii="Aptos" w:hAnsi="Aptos" w:cstheme="minorHAnsi"/>
          <w:b/>
          <w:bCs/>
          <w:sz w:val="24"/>
          <w:szCs w:val="24"/>
        </w:rPr>
        <w:t>Timor-Leste</w:t>
      </w:r>
      <w:r w:rsidRPr="00C90ED6">
        <w:rPr>
          <w:rFonts w:ascii="Aptos" w:hAnsi="Aptos" w:cstheme="minorHAnsi"/>
          <w:sz w:val="24"/>
          <w:szCs w:val="24"/>
        </w:rPr>
        <w:t xml:space="preserve"> reported the most TB-related deaths. This may be linked to a lack of specialized care for aging populations, late-stage diagnoses, and underfunded public health systems.</w:t>
      </w:r>
      <w:r w:rsidR="009F02C3" w:rsidRPr="009F02C3">
        <w:rPr>
          <w:noProof/>
        </w:rPr>
        <w:drawing>
          <wp:inline distT="0" distB="0" distL="0" distR="0" wp14:anchorId="03953919" wp14:editId="266BEA78">
            <wp:extent cx="5824959" cy="3562350"/>
            <wp:effectExtent l="0" t="0" r="4445" b="0"/>
            <wp:docPr id="180380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7868" name=""/>
                    <pic:cNvPicPr/>
                  </pic:nvPicPr>
                  <pic:blipFill>
                    <a:blip r:embed="rId19"/>
                    <a:stretch>
                      <a:fillRect/>
                    </a:stretch>
                  </pic:blipFill>
                  <pic:spPr>
                    <a:xfrm>
                      <a:off x="0" y="0"/>
                      <a:ext cx="5829419" cy="3565078"/>
                    </a:xfrm>
                    <a:prstGeom prst="rect">
                      <a:avLst/>
                    </a:prstGeom>
                  </pic:spPr>
                </pic:pic>
              </a:graphicData>
            </a:graphic>
          </wp:inline>
        </w:drawing>
      </w:r>
    </w:p>
    <w:p w14:paraId="1E2EEA36" w14:textId="77777777" w:rsidR="00C90ED6" w:rsidRDefault="00C90ED6">
      <w:pPr>
        <w:rPr>
          <w:rFonts w:ascii="Aptos" w:hAnsi="Aptos" w:cstheme="minorHAnsi"/>
          <w:sz w:val="24"/>
          <w:szCs w:val="24"/>
        </w:rPr>
      </w:pPr>
    </w:p>
    <w:p w14:paraId="7454D802" w14:textId="77777777" w:rsidR="00C90ED6" w:rsidRDefault="00C90ED6">
      <w:pPr>
        <w:rPr>
          <w:rFonts w:ascii="Aptos" w:hAnsi="Aptos" w:cstheme="minorHAnsi"/>
          <w:sz w:val="24"/>
          <w:szCs w:val="24"/>
        </w:rPr>
      </w:pPr>
    </w:p>
    <w:p w14:paraId="511AD3F2" w14:textId="09E2B866" w:rsidR="00F32D56" w:rsidRPr="00C90ED6" w:rsidRDefault="00C90ED6" w:rsidP="00C90ED6">
      <w:pPr>
        <w:pStyle w:val="ListParagraph"/>
        <w:numPr>
          <w:ilvl w:val="0"/>
          <w:numId w:val="17"/>
        </w:numPr>
        <w:rPr>
          <w:rFonts w:ascii="Aptos" w:hAnsi="Aptos" w:cstheme="minorHAnsi"/>
          <w:sz w:val="24"/>
          <w:szCs w:val="24"/>
        </w:rPr>
      </w:pPr>
      <w:r w:rsidRPr="00C90ED6">
        <w:rPr>
          <w:rFonts w:ascii="Aptos" w:hAnsi="Aptos" w:cstheme="minorHAnsi"/>
          <w:b/>
          <w:bCs/>
          <w:sz w:val="24"/>
          <w:szCs w:val="24"/>
        </w:rPr>
        <w:lastRenderedPageBreak/>
        <w:t>Ages 65 and above:</w:t>
      </w:r>
      <w:r w:rsidRPr="00C90ED6">
        <w:rPr>
          <w:rFonts w:ascii="Aptos" w:hAnsi="Aptos" w:cstheme="minorHAnsi"/>
          <w:sz w:val="24"/>
          <w:szCs w:val="24"/>
        </w:rPr>
        <w:br/>
      </w:r>
      <w:r w:rsidRPr="00C90ED6">
        <w:rPr>
          <w:rFonts w:ascii="Aptos" w:hAnsi="Aptos" w:cstheme="minorHAnsi"/>
          <w:b/>
          <w:bCs/>
          <w:sz w:val="24"/>
          <w:szCs w:val="24"/>
        </w:rPr>
        <w:t>Lesotho</w:t>
      </w:r>
      <w:r w:rsidRPr="00C90ED6">
        <w:rPr>
          <w:rFonts w:ascii="Aptos" w:hAnsi="Aptos" w:cstheme="minorHAnsi"/>
          <w:sz w:val="24"/>
          <w:szCs w:val="24"/>
        </w:rPr>
        <w:t xml:space="preserve"> recorded the highest mortality among the elderly, followed by </w:t>
      </w:r>
      <w:r w:rsidRPr="00C90ED6">
        <w:rPr>
          <w:rFonts w:ascii="Aptos" w:hAnsi="Aptos" w:cstheme="minorHAnsi"/>
          <w:b/>
          <w:bCs/>
          <w:sz w:val="24"/>
          <w:szCs w:val="24"/>
        </w:rPr>
        <w:t>Timor-Leste</w:t>
      </w:r>
      <w:r w:rsidRPr="00C90ED6">
        <w:rPr>
          <w:rFonts w:ascii="Aptos" w:hAnsi="Aptos" w:cstheme="minorHAnsi"/>
          <w:sz w:val="24"/>
          <w:szCs w:val="24"/>
        </w:rPr>
        <w:t xml:space="preserve"> and </w:t>
      </w:r>
      <w:r w:rsidRPr="00C90ED6">
        <w:rPr>
          <w:rFonts w:ascii="Aptos" w:hAnsi="Aptos" w:cstheme="minorHAnsi"/>
          <w:b/>
          <w:bCs/>
          <w:sz w:val="24"/>
          <w:szCs w:val="24"/>
        </w:rPr>
        <w:t>CAR</w:t>
      </w:r>
      <w:r w:rsidRPr="00C90ED6">
        <w:rPr>
          <w:rFonts w:ascii="Aptos" w:hAnsi="Aptos" w:cstheme="minorHAnsi"/>
          <w:sz w:val="24"/>
          <w:szCs w:val="24"/>
        </w:rPr>
        <w:t>. Lesotho’s high HIV prevalence plays a key role in driving TB mortality in this group, while the other two countries face similar health system limitations in managing chronic and age-related TB risks.</w:t>
      </w:r>
      <w:r w:rsidR="00F32D56" w:rsidRPr="00F32D56">
        <w:rPr>
          <w:noProof/>
        </w:rPr>
        <w:drawing>
          <wp:inline distT="0" distB="0" distL="0" distR="0" wp14:anchorId="7DA2BBCE" wp14:editId="1FE67D97">
            <wp:extent cx="5731510" cy="4721860"/>
            <wp:effectExtent l="0" t="0" r="2540" b="2540"/>
            <wp:docPr id="17144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7359" name=""/>
                    <pic:cNvPicPr/>
                  </pic:nvPicPr>
                  <pic:blipFill>
                    <a:blip r:embed="rId20"/>
                    <a:stretch>
                      <a:fillRect/>
                    </a:stretch>
                  </pic:blipFill>
                  <pic:spPr>
                    <a:xfrm>
                      <a:off x="0" y="0"/>
                      <a:ext cx="5731510" cy="4721860"/>
                    </a:xfrm>
                    <a:prstGeom prst="rect">
                      <a:avLst/>
                    </a:prstGeom>
                  </pic:spPr>
                </pic:pic>
              </a:graphicData>
            </a:graphic>
          </wp:inline>
        </w:drawing>
      </w:r>
    </w:p>
    <w:p w14:paraId="581123F2" w14:textId="410BC01B" w:rsidR="00D91F52" w:rsidRDefault="00D91F52">
      <w:pPr>
        <w:rPr>
          <w:rFonts w:ascii="Aptos" w:hAnsi="Aptos" w:cstheme="minorHAnsi"/>
          <w:sz w:val="24"/>
          <w:szCs w:val="24"/>
        </w:rPr>
      </w:pPr>
    </w:p>
    <w:p w14:paraId="15FE6891"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5. TB Cases Attributed to Risk Factors (2022 Data)</w:t>
      </w:r>
    </w:p>
    <w:p w14:paraId="5BFE2F2F"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TB incidence is also influenced by various risk factors,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2137"/>
      </w:tblGrid>
      <w:tr w:rsidR="00C90ED6" w:rsidRPr="00C90ED6" w14:paraId="7FDE9F80" w14:textId="77777777" w:rsidTr="00C90ED6">
        <w:trPr>
          <w:tblHeader/>
          <w:tblCellSpacing w:w="15" w:type="dxa"/>
        </w:trPr>
        <w:tc>
          <w:tcPr>
            <w:tcW w:w="0" w:type="auto"/>
            <w:vAlign w:val="center"/>
            <w:hideMark/>
          </w:tcPr>
          <w:p w14:paraId="4164F3DE"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Risk Factor</w:t>
            </w:r>
          </w:p>
        </w:tc>
        <w:tc>
          <w:tcPr>
            <w:tcW w:w="0" w:type="auto"/>
            <w:vAlign w:val="center"/>
            <w:hideMark/>
          </w:tcPr>
          <w:p w14:paraId="58EC64A9"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Estimated TB Cases</w:t>
            </w:r>
          </w:p>
        </w:tc>
      </w:tr>
      <w:tr w:rsidR="00C90ED6" w:rsidRPr="00C90ED6" w14:paraId="3364F36F" w14:textId="77777777" w:rsidTr="00C90ED6">
        <w:trPr>
          <w:tblCellSpacing w:w="15" w:type="dxa"/>
        </w:trPr>
        <w:tc>
          <w:tcPr>
            <w:tcW w:w="0" w:type="auto"/>
            <w:vAlign w:val="center"/>
            <w:hideMark/>
          </w:tcPr>
          <w:p w14:paraId="1A99F839"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Malnourishment</w:t>
            </w:r>
          </w:p>
        </w:tc>
        <w:tc>
          <w:tcPr>
            <w:tcW w:w="0" w:type="auto"/>
            <w:vAlign w:val="center"/>
            <w:hideMark/>
          </w:tcPr>
          <w:p w14:paraId="1FD46CF7"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2,187,940</w:t>
            </w:r>
          </w:p>
        </w:tc>
      </w:tr>
      <w:tr w:rsidR="00C90ED6" w:rsidRPr="00C90ED6" w14:paraId="2FBB543F" w14:textId="77777777" w:rsidTr="00C90ED6">
        <w:trPr>
          <w:tblCellSpacing w:w="15" w:type="dxa"/>
        </w:trPr>
        <w:tc>
          <w:tcPr>
            <w:tcW w:w="0" w:type="auto"/>
            <w:vAlign w:val="center"/>
            <w:hideMark/>
          </w:tcPr>
          <w:p w14:paraId="42DBA98A"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HIV</w:t>
            </w:r>
          </w:p>
        </w:tc>
        <w:tc>
          <w:tcPr>
            <w:tcW w:w="0" w:type="auto"/>
            <w:vAlign w:val="center"/>
            <w:hideMark/>
          </w:tcPr>
          <w:p w14:paraId="0003E02A"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895,726</w:t>
            </w:r>
          </w:p>
        </w:tc>
      </w:tr>
      <w:tr w:rsidR="00C90ED6" w:rsidRPr="00C90ED6" w14:paraId="402370FD" w14:textId="77777777" w:rsidTr="00C90ED6">
        <w:trPr>
          <w:tblCellSpacing w:w="15" w:type="dxa"/>
        </w:trPr>
        <w:tc>
          <w:tcPr>
            <w:tcW w:w="0" w:type="auto"/>
            <w:vAlign w:val="center"/>
            <w:hideMark/>
          </w:tcPr>
          <w:p w14:paraId="409BB613"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Alcohol Use</w:t>
            </w:r>
          </w:p>
        </w:tc>
        <w:tc>
          <w:tcPr>
            <w:tcW w:w="0" w:type="auto"/>
            <w:vAlign w:val="center"/>
            <w:hideMark/>
          </w:tcPr>
          <w:p w14:paraId="30A4DF9E"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732,120</w:t>
            </w:r>
          </w:p>
        </w:tc>
      </w:tr>
      <w:tr w:rsidR="00C90ED6" w:rsidRPr="00C90ED6" w14:paraId="4FB00275" w14:textId="77777777" w:rsidTr="00C90ED6">
        <w:trPr>
          <w:tblCellSpacing w:w="15" w:type="dxa"/>
        </w:trPr>
        <w:tc>
          <w:tcPr>
            <w:tcW w:w="0" w:type="auto"/>
            <w:vAlign w:val="center"/>
            <w:hideMark/>
          </w:tcPr>
          <w:p w14:paraId="2AB2636B"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Smoking</w:t>
            </w:r>
          </w:p>
        </w:tc>
        <w:tc>
          <w:tcPr>
            <w:tcW w:w="0" w:type="auto"/>
            <w:vAlign w:val="center"/>
            <w:hideMark/>
          </w:tcPr>
          <w:p w14:paraId="189CBA9E"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704,170</w:t>
            </w:r>
          </w:p>
        </w:tc>
      </w:tr>
      <w:tr w:rsidR="00C90ED6" w:rsidRPr="00C90ED6" w14:paraId="36FD2427" w14:textId="77777777" w:rsidTr="00C90ED6">
        <w:trPr>
          <w:tblCellSpacing w:w="15" w:type="dxa"/>
        </w:trPr>
        <w:tc>
          <w:tcPr>
            <w:tcW w:w="0" w:type="auto"/>
            <w:vAlign w:val="center"/>
            <w:hideMark/>
          </w:tcPr>
          <w:p w14:paraId="2E5B3226"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Diabetes</w:t>
            </w:r>
          </w:p>
        </w:tc>
        <w:tc>
          <w:tcPr>
            <w:tcW w:w="0" w:type="auto"/>
            <w:vAlign w:val="center"/>
            <w:hideMark/>
          </w:tcPr>
          <w:p w14:paraId="7B9FA801"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370,709</w:t>
            </w:r>
          </w:p>
        </w:tc>
      </w:tr>
    </w:tbl>
    <w:p w14:paraId="35EC98D4"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lastRenderedPageBreak/>
        <w:t>Country-Specific Highlights:</w:t>
      </w:r>
    </w:p>
    <w:p w14:paraId="50AFD2F5" w14:textId="77777777" w:rsidR="00C90ED6" w:rsidRPr="00C90ED6" w:rsidRDefault="00C90ED6" w:rsidP="00C90ED6">
      <w:pPr>
        <w:numPr>
          <w:ilvl w:val="0"/>
          <w:numId w:val="19"/>
        </w:numPr>
        <w:rPr>
          <w:rFonts w:ascii="Aptos" w:hAnsi="Aptos" w:cstheme="minorHAnsi"/>
          <w:sz w:val="24"/>
          <w:szCs w:val="24"/>
        </w:rPr>
      </w:pPr>
      <w:r w:rsidRPr="00C90ED6">
        <w:rPr>
          <w:rFonts w:ascii="Aptos" w:hAnsi="Aptos" w:cstheme="minorHAnsi"/>
          <w:b/>
          <w:bCs/>
          <w:sz w:val="24"/>
          <w:szCs w:val="24"/>
        </w:rPr>
        <w:t>India</w:t>
      </w:r>
      <w:r w:rsidRPr="00C90ED6">
        <w:rPr>
          <w:rFonts w:ascii="Aptos" w:hAnsi="Aptos" w:cstheme="minorHAnsi"/>
          <w:sz w:val="24"/>
          <w:szCs w:val="24"/>
        </w:rPr>
        <w:t>:</w:t>
      </w:r>
    </w:p>
    <w:p w14:paraId="043CE7F6"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sz w:val="24"/>
          <w:szCs w:val="24"/>
        </w:rPr>
        <w:t xml:space="preserve">Highest TB burden from </w:t>
      </w:r>
      <w:r w:rsidRPr="00C90ED6">
        <w:rPr>
          <w:rFonts w:ascii="Aptos" w:hAnsi="Aptos" w:cstheme="minorHAnsi"/>
          <w:b/>
          <w:bCs/>
          <w:sz w:val="24"/>
          <w:szCs w:val="24"/>
        </w:rPr>
        <w:t>alcohol use</w:t>
      </w:r>
      <w:r w:rsidRPr="00C90ED6">
        <w:rPr>
          <w:rFonts w:ascii="Aptos" w:hAnsi="Aptos" w:cstheme="minorHAnsi"/>
          <w:sz w:val="24"/>
          <w:szCs w:val="24"/>
        </w:rPr>
        <w:t xml:space="preserve">: </w:t>
      </w:r>
      <w:r w:rsidRPr="00C90ED6">
        <w:rPr>
          <w:rFonts w:ascii="Aptos" w:hAnsi="Aptos" w:cstheme="minorHAnsi"/>
          <w:b/>
          <w:bCs/>
          <w:sz w:val="24"/>
          <w:szCs w:val="24"/>
        </w:rPr>
        <w:t>248,000 cases</w:t>
      </w:r>
    </w:p>
    <w:p w14:paraId="2F9B6B83"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sz w:val="24"/>
          <w:szCs w:val="24"/>
        </w:rPr>
        <w:t xml:space="preserve">TB cases linked to </w:t>
      </w:r>
      <w:r w:rsidRPr="00C90ED6">
        <w:rPr>
          <w:rFonts w:ascii="Aptos" w:hAnsi="Aptos" w:cstheme="minorHAnsi"/>
          <w:b/>
          <w:bCs/>
          <w:sz w:val="24"/>
          <w:szCs w:val="24"/>
        </w:rPr>
        <w:t>malnourishment</w:t>
      </w:r>
      <w:r w:rsidRPr="00C90ED6">
        <w:rPr>
          <w:rFonts w:ascii="Aptos" w:hAnsi="Aptos" w:cstheme="minorHAnsi"/>
          <w:sz w:val="24"/>
          <w:szCs w:val="24"/>
        </w:rPr>
        <w:t xml:space="preserve">: </w:t>
      </w:r>
      <w:r w:rsidRPr="00C90ED6">
        <w:rPr>
          <w:rFonts w:ascii="Aptos" w:hAnsi="Aptos" w:cstheme="minorHAnsi"/>
          <w:b/>
          <w:bCs/>
          <w:sz w:val="24"/>
          <w:szCs w:val="24"/>
        </w:rPr>
        <w:t>744,000</w:t>
      </w:r>
    </w:p>
    <w:p w14:paraId="78783B55"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b/>
          <w:bCs/>
          <w:sz w:val="24"/>
          <w:szCs w:val="24"/>
        </w:rPr>
        <w:t>Diabetes-attributed TB</w:t>
      </w:r>
      <w:r w:rsidRPr="00C90ED6">
        <w:rPr>
          <w:rFonts w:ascii="Aptos" w:hAnsi="Aptos" w:cstheme="minorHAnsi"/>
          <w:sz w:val="24"/>
          <w:szCs w:val="24"/>
        </w:rPr>
        <w:t xml:space="preserve">: </w:t>
      </w:r>
      <w:r w:rsidRPr="00C90ED6">
        <w:rPr>
          <w:rFonts w:ascii="Aptos" w:hAnsi="Aptos" w:cstheme="minorHAnsi"/>
          <w:b/>
          <w:bCs/>
          <w:sz w:val="24"/>
          <w:szCs w:val="24"/>
        </w:rPr>
        <w:t>102,000</w:t>
      </w:r>
    </w:p>
    <w:p w14:paraId="5E38A9D3" w14:textId="57657847" w:rsidR="00D91F52" w:rsidRDefault="00D91F52">
      <w:pPr>
        <w:rPr>
          <w:rFonts w:ascii="Aptos" w:hAnsi="Aptos" w:cstheme="minorHAnsi"/>
          <w:sz w:val="24"/>
          <w:szCs w:val="24"/>
        </w:rPr>
      </w:pPr>
      <w:r w:rsidRPr="00D91F52">
        <w:rPr>
          <w:rFonts w:ascii="Aptos" w:hAnsi="Aptos" w:cstheme="minorHAnsi"/>
          <w:noProof/>
          <w:sz w:val="24"/>
          <w:szCs w:val="24"/>
        </w:rPr>
        <w:drawing>
          <wp:inline distT="0" distB="0" distL="0" distR="0" wp14:anchorId="6AC41F38" wp14:editId="48AA220E">
            <wp:extent cx="5514975" cy="3574408"/>
            <wp:effectExtent l="0" t="0" r="0" b="7620"/>
            <wp:docPr id="92653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0341" name=""/>
                    <pic:cNvPicPr/>
                  </pic:nvPicPr>
                  <pic:blipFill>
                    <a:blip r:embed="rId21"/>
                    <a:stretch>
                      <a:fillRect/>
                    </a:stretch>
                  </pic:blipFill>
                  <pic:spPr>
                    <a:xfrm>
                      <a:off x="0" y="0"/>
                      <a:ext cx="5525978" cy="3581539"/>
                    </a:xfrm>
                    <a:prstGeom prst="rect">
                      <a:avLst/>
                    </a:prstGeom>
                  </pic:spPr>
                </pic:pic>
              </a:graphicData>
            </a:graphic>
          </wp:inline>
        </w:drawing>
      </w:r>
    </w:p>
    <w:p w14:paraId="5816FF29" w14:textId="4E4EEDD4" w:rsidR="00857649" w:rsidRDefault="00857649">
      <w:pPr>
        <w:rPr>
          <w:rFonts w:ascii="Aptos" w:hAnsi="Aptos" w:cstheme="minorHAnsi"/>
          <w:sz w:val="24"/>
          <w:szCs w:val="24"/>
        </w:rPr>
      </w:pPr>
      <w:r w:rsidRPr="00D91F52">
        <w:rPr>
          <w:rFonts w:ascii="Aptos" w:hAnsi="Aptos" w:cstheme="minorHAnsi"/>
          <w:noProof/>
          <w:sz w:val="24"/>
          <w:szCs w:val="24"/>
        </w:rPr>
        <w:drawing>
          <wp:inline distT="0" distB="0" distL="0" distR="0" wp14:anchorId="4506B3A9" wp14:editId="4A26B4E1">
            <wp:extent cx="5731510" cy="3238500"/>
            <wp:effectExtent l="0" t="0" r="2540" b="0"/>
            <wp:docPr id="188131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16714" name=""/>
                    <pic:cNvPicPr/>
                  </pic:nvPicPr>
                  <pic:blipFill>
                    <a:blip r:embed="rId22"/>
                    <a:stretch>
                      <a:fillRect/>
                    </a:stretch>
                  </pic:blipFill>
                  <pic:spPr>
                    <a:xfrm>
                      <a:off x="0" y="0"/>
                      <a:ext cx="5731510" cy="3238500"/>
                    </a:xfrm>
                    <a:prstGeom prst="rect">
                      <a:avLst/>
                    </a:prstGeom>
                  </pic:spPr>
                </pic:pic>
              </a:graphicData>
            </a:graphic>
          </wp:inline>
        </w:drawing>
      </w:r>
    </w:p>
    <w:p w14:paraId="7BC930AA" w14:textId="13AEE1AB" w:rsidR="00D91F52" w:rsidRDefault="00D91F52">
      <w:pPr>
        <w:rPr>
          <w:rFonts w:ascii="Aptos" w:hAnsi="Aptos" w:cstheme="minorHAnsi"/>
          <w:sz w:val="24"/>
          <w:szCs w:val="24"/>
        </w:rPr>
      </w:pPr>
      <w:r w:rsidRPr="00D91F52">
        <w:rPr>
          <w:rFonts w:ascii="Aptos" w:hAnsi="Aptos" w:cstheme="minorHAnsi"/>
          <w:noProof/>
          <w:sz w:val="24"/>
          <w:szCs w:val="24"/>
        </w:rPr>
        <w:lastRenderedPageBreak/>
        <w:drawing>
          <wp:inline distT="0" distB="0" distL="0" distR="0" wp14:anchorId="37141D1C" wp14:editId="0E0976EB">
            <wp:extent cx="5248275" cy="3244556"/>
            <wp:effectExtent l="0" t="0" r="0" b="0"/>
            <wp:docPr id="175995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8302" name=""/>
                    <pic:cNvPicPr/>
                  </pic:nvPicPr>
                  <pic:blipFill>
                    <a:blip r:embed="rId23"/>
                    <a:stretch>
                      <a:fillRect/>
                    </a:stretch>
                  </pic:blipFill>
                  <pic:spPr>
                    <a:xfrm>
                      <a:off x="0" y="0"/>
                      <a:ext cx="5257315" cy="3250145"/>
                    </a:xfrm>
                    <a:prstGeom prst="rect">
                      <a:avLst/>
                    </a:prstGeom>
                  </pic:spPr>
                </pic:pic>
              </a:graphicData>
            </a:graphic>
          </wp:inline>
        </w:drawing>
      </w:r>
    </w:p>
    <w:p w14:paraId="21DD5587" w14:textId="77777777" w:rsidR="00C90ED6" w:rsidRDefault="00C90ED6">
      <w:pPr>
        <w:rPr>
          <w:rFonts w:ascii="Aptos" w:hAnsi="Aptos" w:cstheme="minorHAnsi"/>
          <w:sz w:val="24"/>
          <w:szCs w:val="24"/>
        </w:rPr>
      </w:pPr>
    </w:p>
    <w:p w14:paraId="4394EBBF" w14:textId="77777777" w:rsidR="00C90ED6" w:rsidRDefault="00C90ED6">
      <w:pPr>
        <w:rPr>
          <w:rFonts w:ascii="Aptos" w:hAnsi="Aptos" w:cstheme="minorHAnsi"/>
          <w:sz w:val="24"/>
          <w:szCs w:val="24"/>
        </w:rPr>
      </w:pPr>
    </w:p>
    <w:p w14:paraId="75C4AEF0" w14:textId="77777777" w:rsidR="00C90ED6" w:rsidRPr="00C90ED6" w:rsidRDefault="00C90ED6" w:rsidP="00C90ED6">
      <w:pPr>
        <w:rPr>
          <w:rFonts w:ascii="Aptos" w:hAnsi="Aptos" w:cstheme="minorHAnsi"/>
          <w:sz w:val="24"/>
          <w:szCs w:val="24"/>
        </w:rPr>
      </w:pPr>
      <w:r w:rsidRPr="00C90ED6">
        <w:rPr>
          <w:rFonts w:ascii="Aptos" w:hAnsi="Aptos" w:cstheme="minorHAnsi"/>
          <w:b/>
          <w:bCs/>
          <w:sz w:val="24"/>
          <w:szCs w:val="24"/>
        </w:rPr>
        <w:t>South Africa</w:t>
      </w:r>
      <w:r w:rsidRPr="00C90ED6">
        <w:rPr>
          <w:rFonts w:ascii="Aptos" w:hAnsi="Aptos" w:cstheme="minorHAnsi"/>
          <w:sz w:val="24"/>
          <w:szCs w:val="24"/>
        </w:rPr>
        <w:t>:</w:t>
      </w:r>
    </w:p>
    <w:p w14:paraId="15781C3C" w14:textId="77777777" w:rsidR="00C90ED6" w:rsidRPr="00857649" w:rsidRDefault="00C90ED6" w:rsidP="00C90ED6">
      <w:pPr>
        <w:numPr>
          <w:ilvl w:val="0"/>
          <w:numId w:val="20"/>
        </w:numPr>
        <w:rPr>
          <w:rFonts w:ascii="Aptos" w:hAnsi="Aptos" w:cstheme="minorHAnsi"/>
          <w:sz w:val="24"/>
          <w:szCs w:val="24"/>
        </w:rPr>
      </w:pPr>
      <w:r w:rsidRPr="00C90ED6">
        <w:rPr>
          <w:rFonts w:ascii="Aptos" w:hAnsi="Aptos" w:cstheme="minorHAnsi"/>
          <w:sz w:val="24"/>
          <w:szCs w:val="24"/>
        </w:rPr>
        <w:t xml:space="preserve">Leads in </w:t>
      </w:r>
      <w:r w:rsidRPr="00C90ED6">
        <w:rPr>
          <w:rFonts w:ascii="Aptos" w:hAnsi="Aptos" w:cstheme="minorHAnsi"/>
          <w:b/>
          <w:bCs/>
          <w:sz w:val="24"/>
          <w:szCs w:val="24"/>
        </w:rPr>
        <w:t>HIV-attributed TB</w:t>
      </w:r>
      <w:r w:rsidRPr="00C90ED6">
        <w:rPr>
          <w:rFonts w:ascii="Aptos" w:hAnsi="Aptos" w:cstheme="minorHAnsi"/>
          <w:sz w:val="24"/>
          <w:szCs w:val="24"/>
        </w:rPr>
        <w:t xml:space="preserve">: </w:t>
      </w:r>
      <w:r w:rsidRPr="00C90ED6">
        <w:rPr>
          <w:rFonts w:ascii="Aptos" w:hAnsi="Aptos" w:cstheme="minorHAnsi"/>
          <w:b/>
          <w:bCs/>
          <w:sz w:val="24"/>
          <w:szCs w:val="24"/>
        </w:rPr>
        <w:t>142,000 cases</w:t>
      </w:r>
    </w:p>
    <w:p w14:paraId="3719790C" w14:textId="6857CC3F" w:rsidR="00857649" w:rsidRPr="00C90ED6" w:rsidRDefault="00857649" w:rsidP="00C90ED6">
      <w:pPr>
        <w:numPr>
          <w:ilvl w:val="0"/>
          <w:numId w:val="20"/>
        </w:numPr>
        <w:rPr>
          <w:rFonts w:ascii="Aptos" w:hAnsi="Aptos" w:cstheme="minorHAnsi"/>
          <w:sz w:val="24"/>
          <w:szCs w:val="24"/>
        </w:rPr>
      </w:pPr>
      <w:r>
        <w:rPr>
          <w:rFonts w:ascii="Aptos" w:hAnsi="Aptos" w:cstheme="minorHAnsi"/>
          <w:sz w:val="24"/>
          <w:szCs w:val="24"/>
        </w:rPr>
        <w:t>While the 2</w:t>
      </w:r>
      <w:r w:rsidRPr="00857649">
        <w:rPr>
          <w:rFonts w:ascii="Aptos" w:hAnsi="Aptos" w:cstheme="minorHAnsi"/>
          <w:sz w:val="24"/>
          <w:szCs w:val="24"/>
          <w:vertAlign w:val="superscript"/>
        </w:rPr>
        <w:t>nd</w:t>
      </w:r>
      <w:r>
        <w:rPr>
          <w:rFonts w:ascii="Aptos" w:hAnsi="Aptos" w:cstheme="minorHAnsi"/>
          <w:sz w:val="24"/>
          <w:szCs w:val="24"/>
        </w:rPr>
        <w:t xml:space="preserve"> Ranked Country is </w:t>
      </w:r>
      <w:r>
        <w:rPr>
          <w:rFonts w:ascii="Aptos" w:hAnsi="Aptos" w:cstheme="minorHAnsi"/>
          <w:b/>
          <w:bCs/>
          <w:sz w:val="24"/>
          <w:szCs w:val="24"/>
        </w:rPr>
        <w:t>India with 94,000 cases.</w:t>
      </w:r>
    </w:p>
    <w:p w14:paraId="391E21D0" w14:textId="77777777" w:rsidR="00857649" w:rsidRDefault="00D91F52">
      <w:pPr>
        <w:rPr>
          <w:rFonts w:ascii="Aptos" w:hAnsi="Aptos" w:cstheme="minorHAnsi"/>
          <w:sz w:val="24"/>
          <w:szCs w:val="24"/>
        </w:rPr>
      </w:pPr>
      <w:r w:rsidRPr="00D91F52">
        <w:rPr>
          <w:rFonts w:ascii="Aptos" w:hAnsi="Aptos" w:cstheme="minorHAnsi"/>
          <w:noProof/>
          <w:sz w:val="24"/>
          <w:szCs w:val="24"/>
        </w:rPr>
        <w:drawing>
          <wp:inline distT="0" distB="0" distL="0" distR="0" wp14:anchorId="55A5B028" wp14:editId="2713BE9D">
            <wp:extent cx="5123815" cy="3390900"/>
            <wp:effectExtent l="0" t="0" r="635" b="0"/>
            <wp:docPr id="101643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4400" name=""/>
                    <pic:cNvPicPr/>
                  </pic:nvPicPr>
                  <pic:blipFill>
                    <a:blip r:embed="rId24"/>
                    <a:stretch>
                      <a:fillRect/>
                    </a:stretch>
                  </pic:blipFill>
                  <pic:spPr>
                    <a:xfrm>
                      <a:off x="0" y="0"/>
                      <a:ext cx="5127908" cy="3393609"/>
                    </a:xfrm>
                    <a:prstGeom prst="rect">
                      <a:avLst/>
                    </a:prstGeom>
                  </pic:spPr>
                </pic:pic>
              </a:graphicData>
            </a:graphic>
          </wp:inline>
        </w:drawing>
      </w:r>
      <w:r w:rsidR="006439F3">
        <w:rPr>
          <w:rFonts w:ascii="Aptos" w:hAnsi="Aptos" w:cstheme="minorHAnsi"/>
          <w:sz w:val="24"/>
          <w:szCs w:val="24"/>
        </w:rPr>
        <w:t xml:space="preserve"> </w:t>
      </w:r>
    </w:p>
    <w:p w14:paraId="38A65D8C" w14:textId="77777777" w:rsidR="00857649" w:rsidRDefault="00857649">
      <w:pPr>
        <w:rPr>
          <w:rFonts w:ascii="Aptos" w:hAnsi="Aptos" w:cstheme="minorHAnsi"/>
          <w:sz w:val="24"/>
          <w:szCs w:val="24"/>
        </w:rPr>
      </w:pPr>
    </w:p>
    <w:p w14:paraId="10B591B1" w14:textId="77777777" w:rsidR="00857649" w:rsidRPr="00857649" w:rsidRDefault="00857649" w:rsidP="00857649">
      <w:pPr>
        <w:rPr>
          <w:rFonts w:ascii="Aptos" w:hAnsi="Aptos" w:cstheme="minorHAnsi"/>
          <w:sz w:val="24"/>
          <w:szCs w:val="24"/>
        </w:rPr>
      </w:pPr>
      <w:r w:rsidRPr="00857649">
        <w:rPr>
          <w:rFonts w:ascii="Aptos" w:hAnsi="Aptos" w:cstheme="minorHAnsi"/>
          <w:b/>
          <w:bCs/>
          <w:sz w:val="24"/>
          <w:szCs w:val="24"/>
        </w:rPr>
        <w:lastRenderedPageBreak/>
        <w:t>Indonesia</w:t>
      </w:r>
      <w:r w:rsidRPr="00857649">
        <w:rPr>
          <w:rFonts w:ascii="Aptos" w:hAnsi="Aptos" w:cstheme="minorHAnsi"/>
          <w:sz w:val="24"/>
          <w:szCs w:val="24"/>
        </w:rPr>
        <w:t>:</w:t>
      </w:r>
    </w:p>
    <w:p w14:paraId="20A2E5A8" w14:textId="77777777" w:rsidR="00857649" w:rsidRPr="00857649" w:rsidRDefault="00857649" w:rsidP="00857649">
      <w:pPr>
        <w:numPr>
          <w:ilvl w:val="0"/>
          <w:numId w:val="21"/>
        </w:numPr>
        <w:rPr>
          <w:rFonts w:ascii="Aptos" w:hAnsi="Aptos" w:cstheme="minorHAnsi"/>
          <w:sz w:val="24"/>
          <w:szCs w:val="24"/>
        </w:rPr>
      </w:pPr>
      <w:r w:rsidRPr="00857649">
        <w:rPr>
          <w:rFonts w:ascii="Aptos" w:hAnsi="Aptos" w:cstheme="minorHAnsi"/>
          <w:sz w:val="24"/>
          <w:szCs w:val="24"/>
        </w:rPr>
        <w:t xml:space="preserve">Highest TB cases due to </w:t>
      </w:r>
      <w:r w:rsidRPr="00857649">
        <w:rPr>
          <w:rFonts w:ascii="Aptos" w:hAnsi="Aptos" w:cstheme="minorHAnsi"/>
          <w:b/>
          <w:bCs/>
          <w:sz w:val="24"/>
          <w:szCs w:val="24"/>
        </w:rPr>
        <w:t>smoking</w:t>
      </w:r>
      <w:r w:rsidRPr="00857649">
        <w:rPr>
          <w:rFonts w:ascii="Aptos" w:hAnsi="Aptos" w:cstheme="minorHAnsi"/>
          <w:sz w:val="24"/>
          <w:szCs w:val="24"/>
        </w:rPr>
        <w:t xml:space="preserve">: </w:t>
      </w:r>
      <w:r w:rsidRPr="00857649">
        <w:rPr>
          <w:rFonts w:ascii="Aptos" w:hAnsi="Aptos" w:cstheme="minorHAnsi"/>
          <w:b/>
          <w:bCs/>
          <w:sz w:val="24"/>
          <w:szCs w:val="24"/>
        </w:rPr>
        <w:t>141,000</w:t>
      </w:r>
    </w:p>
    <w:p w14:paraId="13101B79" w14:textId="673541E3" w:rsidR="009F02C3" w:rsidRDefault="009F02C3">
      <w:pPr>
        <w:rPr>
          <w:rFonts w:ascii="Aptos" w:hAnsi="Aptos" w:cstheme="minorHAnsi"/>
          <w:sz w:val="24"/>
          <w:szCs w:val="24"/>
        </w:rPr>
      </w:pPr>
      <w:r w:rsidRPr="009F02C3">
        <w:rPr>
          <w:rFonts w:ascii="Aptos" w:hAnsi="Aptos" w:cstheme="minorHAnsi"/>
          <w:noProof/>
          <w:sz w:val="24"/>
          <w:szCs w:val="24"/>
        </w:rPr>
        <w:drawing>
          <wp:inline distT="0" distB="0" distL="0" distR="0" wp14:anchorId="012D8CFE" wp14:editId="1E635B69">
            <wp:extent cx="5731510" cy="4268470"/>
            <wp:effectExtent l="0" t="0" r="2540" b="0"/>
            <wp:docPr id="103617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5532" name=""/>
                    <pic:cNvPicPr/>
                  </pic:nvPicPr>
                  <pic:blipFill>
                    <a:blip r:embed="rId25"/>
                    <a:stretch>
                      <a:fillRect/>
                    </a:stretch>
                  </pic:blipFill>
                  <pic:spPr>
                    <a:xfrm>
                      <a:off x="0" y="0"/>
                      <a:ext cx="5731510" cy="4268470"/>
                    </a:xfrm>
                    <a:prstGeom prst="rect">
                      <a:avLst/>
                    </a:prstGeom>
                  </pic:spPr>
                </pic:pic>
              </a:graphicData>
            </a:graphic>
          </wp:inline>
        </w:drawing>
      </w:r>
    </w:p>
    <w:p w14:paraId="5F352A86" w14:textId="77777777" w:rsidR="00857649" w:rsidRDefault="00857649">
      <w:pPr>
        <w:rPr>
          <w:rFonts w:ascii="Aptos" w:hAnsi="Aptos" w:cstheme="minorHAnsi"/>
          <w:sz w:val="24"/>
          <w:szCs w:val="24"/>
        </w:rPr>
      </w:pPr>
    </w:p>
    <w:p w14:paraId="31088608" w14:textId="77777777" w:rsidR="00857649" w:rsidRDefault="00857649">
      <w:pPr>
        <w:rPr>
          <w:rFonts w:ascii="Aptos" w:hAnsi="Aptos" w:cstheme="minorHAnsi"/>
          <w:sz w:val="24"/>
          <w:szCs w:val="24"/>
        </w:rPr>
      </w:pPr>
    </w:p>
    <w:p w14:paraId="480A35D0" w14:textId="77777777" w:rsidR="00857649" w:rsidRDefault="00857649">
      <w:pPr>
        <w:rPr>
          <w:rFonts w:ascii="Aptos" w:hAnsi="Aptos" w:cstheme="minorHAnsi"/>
          <w:sz w:val="24"/>
          <w:szCs w:val="24"/>
        </w:rPr>
      </w:pPr>
    </w:p>
    <w:p w14:paraId="247BABEE" w14:textId="77777777" w:rsidR="00857649" w:rsidRDefault="00857649">
      <w:pPr>
        <w:rPr>
          <w:rFonts w:ascii="Aptos" w:hAnsi="Aptos" w:cstheme="minorHAnsi"/>
          <w:sz w:val="24"/>
          <w:szCs w:val="24"/>
        </w:rPr>
      </w:pPr>
    </w:p>
    <w:p w14:paraId="36553665" w14:textId="77777777" w:rsidR="00857649" w:rsidRDefault="00857649">
      <w:pPr>
        <w:rPr>
          <w:rFonts w:ascii="Aptos" w:hAnsi="Aptos" w:cstheme="minorHAnsi"/>
          <w:sz w:val="24"/>
          <w:szCs w:val="24"/>
        </w:rPr>
      </w:pPr>
    </w:p>
    <w:p w14:paraId="78117E39" w14:textId="77777777" w:rsidR="00857649" w:rsidRDefault="00857649">
      <w:pPr>
        <w:rPr>
          <w:rFonts w:ascii="Aptos" w:hAnsi="Aptos" w:cstheme="minorHAnsi"/>
          <w:sz w:val="24"/>
          <w:szCs w:val="24"/>
        </w:rPr>
      </w:pPr>
    </w:p>
    <w:p w14:paraId="490C9F88" w14:textId="77777777" w:rsidR="00857649" w:rsidRDefault="00857649">
      <w:pPr>
        <w:rPr>
          <w:rFonts w:ascii="Aptos" w:hAnsi="Aptos" w:cstheme="minorHAnsi"/>
          <w:sz w:val="24"/>
          <w:szCs w:val="24"/>
        </w:rPr>
      </w:pPr>
    </w:p>
    <w:p w14:paraId="304DDE8C" w14:textId="77777777" w:rsidR="00857649" w:rsidRDefault="00857649">
      <w:pPr>
        <w:rPr>
          <w:rFonts w:ascii="Aptos" w:hAnsi="Aptos" w:cstheme="minorHAnsi"/>
          <w:sz w:val="24"/>
          <w:szCs w:val="24"/>
        </w:rPr>
      </w:pPr>
    </w:p>
    <w:p w14:paraId="03A3285D" w14:textId="77777777" w:rsidR="00857649" w:rsidRDefault="00857649">
      <w:pPr>
        <w:rPr>
          <w:rFonts w:ascii="Aptos" w:hAnsi="Aptos" w:cstheme="minorHAnsi"/>
          <w:sz w:val="24"/>
          <w:szCs w:val="24"/>
        </w:rPr>
      </w:pPr>
    </w:p>
    <w:p w14:paraId="10F72B3D" w14:textId="77777777" w:rsidR="00857649" w:rsidRDefault="00857649">
      <w:pPr>
        <w:rPr>
          <w:rFonts w:ascii="Aptos" w:hAnsi="Aptos" w:cstheme="minorHAnsi"/>
          <w:sz w:val="24"/>
          <w:szCs w:val="24"/>
        </w:rPr>
      </w:pPr>
    </w:p>
    <w:p w14:paraId="1121A4A6" w14:textId="77777777" w:rsidR="00857649" w:rsidRDefault="00857649">
      <w:pPr>
        <w:rPr>
          <w:rFonts w:ascii="Aptos" w:hAnsi="Aptos" w:cstheme="minorHAnsi"/>
          <w:sz w:val="24"/>
          <w:szCs w:val="24"/>
        </w:rPr>
      </w:pPr>
    </w:p>
    <w:p w14:paraId="33A4D85C" w14:textId="77777777" w:rsidR="00857649" w:rsidRDefault="00857649">
      <w:pPr>
        <w:rPr>
          <w:rFonts w:ascii="Aptos" w:hAnsi="Aptos" w:cstheme="minorHAnsi"/>
          <w:sz w:val="24"/>
          <w:szCs w:val="24"/>
        </w:rPr>
      </w:pPr>
    </w:p>
    <w:p w14:paraId="5235FAF3" w14:textId="77777777" w:rsidR="00857649" w:rsidRDefault="00857649">
      <w:pPr>
        <w:rPr>
          <w:rFonts w:ascii="Aptos" w:hAnsi="Aptos" w:cstheme="minorHAnsi"/>
          <w:sz w:val="24"/>
          <w:szCs w:val="24"/>
        </w:rPr>
      </w:pPr>
    </w:p>
    <w:p w14:paraId="48A05D2D" w14:textId="77777777" w:rsidR="00857649" w:rsidRPr="00857649" w:rsidRDefault="00857649" w:rsidP="00857649">
      <w:pPr>
        <w:rPr>
          <w:rFonts w:ascii="Aptos" w:hAnsi="Aptos" w:cstheme="minorHAnsi"/>
          <w:b/>
          <w:bCs/>
          <w:sz w:val="24"/>
          <w:szCs w:val="24"/>
        </w:rPr>
      </w:pPr>
      <w:r w:rsidRPr="00857649">
        <w:rPr>
          <w:rFonts w:ascii="Aptos" w:hAnsi="Aptos" w:cstheme="minorHAnsi"/>
          <w:b/>
          <w:bCs/>
          <w:sz w:val="24"/>
          <w:szCs w:val="24"/>
        </w:rPr>
        <w:lastRenderedPageBreak/>
        <w:t>Global Analysis of GDP, Health Expenditure, and TB Trends</w:t>
      </w:r>
    </w:p>
    <w:p w14:paraId="4B236F6C" w14:textId="77777777" w:rsidR="00857649" w:rsidRPr="00857649" w:rsidRDefault="00857649" w:rsidP="00857649">
      <w:pPr>
        <w:rPr>
          <w:rFonts w:ascii="Aptos" w:hAnsi="Aptos" w:cstheme="minorHAnsi"/>
          <w:sz w:val="24"/>
          <w:szCs w:val="24"/>
        </w:rPr>
      </w:pPr>
      <w:r w:rsidRPr="00857649">
        <w:rPr>
          <w:rFonts w:ascii="Aptos" w:hAnsi="Aptos" w:cstheme="minorHAnsi"/>
          <w:sz w:val="24"/>
          <w:szCs w:val="24"/>
        </w:rPr>
        <w:t>A macro-level analysis of tuberculosis (TB) in relation to economic indicators such as GDP per capita and health expenditure reveals encouraging global trends. Over the years 2000 to 2021, many countries have demonstrated an upward trajectory in health investment, particularly those with growing economies.</w:t>
      </w:r>
    </w:p>
    <w:p w14:paraId="311829E8" w14:textId="5920566C" w:rsidR="00AF024E" w:rsidRPr="00857649" w:rsidRDefault="00AF024E" w:rsidP="00857649">
      <w:pPr>
        <w:rPr>
          <w:rFonts w:ascii="Aptos" w:hAnsi="Aptos" w:cstheme="minorHAnsi"/>
          <w:sz w:val="24"/>
          <w:szCs w:val="24"/>
        </w:rPr>
      </w:pPr>
      <w:r w:rsidRPr="00857649">
        <w:rPr>
          <w:rFonts w:ascii="Aptos" w:hAnsi="Aptos" w:cstheme="minorHAnsi"/>
          <w:noProof/>
          <w:sz w:val="24"/>
          <w:szCs w:val="24"/>
        </w:rPr>
        <w:drawing>
          <wp:inline distT="0" distB="0" distL="0" distR="0" wp14:anchorId="4F35A3B2" wp14:editId="256DBFE4">
            <wp:extent cx="5731510" cy="2583180"/>
            <wp:effectExtent l="0" t="0" r="2540" b="7620"/>
            <wp:docPr id="100123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5203" name=""/>
                    <pic:cNvPicPr/>
                  </pic:nvPicPr>
                  <pic:blipFill>
                    <a:blip r:embed="rId26"/>
                    <a:stretch>
                      <a:fillRect/>
                    </a:stretch>
                  </pic:blipFill>
                  <pic:spPr>
                    <a:xfrm>
                      <a:off x="0" y="0"/>
                      <a:ext cx="5731510" cy="2583180"/>
                    </a:xfrm>
                    <a:prstGeom prst="rect">
                      <a:avLst/>
                    </a:prstGeom>
                  </pic:spPr>
                </pic:pic>
              </a:graphicData>
            </a:graphic>
          </wp:inline>
        </w:drawing>
      </w:r>
    </w:p>
    <w:p w14:paraId="53F6902D" w14:textId="31A61670"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GDP and Health Expenditure Correlation:</w:t>
      </w:r>
      <w:r w:rsidRPr="00857649">
        <w:rPr>
          <w:rFonts w:ascii="Aptos" w:hAnsi="Aptos" w:cstheme="minorHAnsi"/>
          <w:sz w:val="24"/>
          <w:szCs w:val="24"/>
        </w:rPr>
        <w:br/>
        <w:t>Countries with higher GDP per capita tend to allocate a greater share of resources to public health. This is evident in the steady rise of average health expenditure alongside increases in national income levels. Despite a noticeable dip in GDP per capita in 2020—primarily due to the global COVID-19 pandemic—trendlines suggest a strong recovery in subsequent years, accompanied by renewed commitment to healthcare spending.</w:t>
      </w:r>
    </w:p>
    <w:p w14:paraId="3505ED22" w14:textId="7D3F068C"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Impact on Mortality and Treatment Success:</w:t>
      </w:r>
      <w:r w:rsidRPr="00857649">
        <w:rPr>
          <w:rFonts w:ascii="Aptos" w:hAnsi="Aptos" w:cstheme="minorHAnsi"/>
          <w:sz w:val="24"/>
          <w:szCs w:val="24"/>
        </w:rPr>
        <w:br/>
        <w:t>There has been a measurable global decline in TB mortality rates over the two-decade span, as highlighted by declining trendlines. This improvement can be attributed to advancements in TB diagnostics, wider treatment availability, and strengthened public health systems in many low- and middle-income countries.</w:t>
      </w:r>
    </w:p>
    <w:p w14:paraId="1F54E174" w14:textId="528BD0D4" w:rsidR="00857649" w:rsidRPr="00857649" w:rsidRDefault="00857649" w:rsidP="00857649">
      <w:pPr>
        <w:rPr>
          <w:rFonts w:ascii="Aptos" w:hAnsi="Aptos" w:cstheme="minorHAnsi"/>
          <w:sz w:val="24"/>
          <w:szCs w:val="24"/>
        </w:rPr>
      </w:pPr>
      <w:r w:rsidRPr="00857649">
        <w:rPr>
          <w:rFonts w:ascii="Aptos" w:hAnsi="Aptos"/>
          <w:noProof/>
        </w:rPr>
        <w:drawing>
          <wp:inline distT="0" distB="0" distL="0" distR="0" wp14:anchorId="58D724E3" wp14:editId="68A56C21">
            <wp:extent cx="5731510" cy="2380615"/>
            <wp:effectExtent l="0" t="0" r="2540" b="635"/>
            <wp:docPr id="116856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2012" name=""/>
                    <pic:cNvPicPr/>
                  </pic:nvPicPr>
                  <pic:blipFill>
                    <a:blip r:embed="rId27"/>
                    <a:stretch>
                      <a:fillRect/>
                    </a:stretch>
                  </pic:blipFill>
                  <pic:spPr>
                    <a:xfrm>
                      <a:off x="0" y="0"/>
                      <a:ext cx="5731510" cy="2380615"/>
                    </a:xfrm>
                    <a:prstGeom prst="rect">
                      <a:avLst/>
                    </a:prstGeom>
                  </pic:spPr>
                </pic:pic>
              </a:graphicData>
            </a:graphic>
          </wp:inline>
        </w:drawing>
      </w:r>
    </w:p>
    <w:p w14:paraId="3458785D" w14:textId="09746CBC"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lastRenderedPageBreak/>
        <w:t>TB Burden vs. Treatment Outcomes:</w:t>
      </w:r>
      <w:r w:rsidRPr="00857649">
        <w:rPr>
          <w:rFonts w:ascii="Aptos" w:hAnsi="Aptos" w:cstheme="minorHAnsi"/>
          <w:sz w:val="24"/>
          <w:szCs w:val="24"/>
        </w:rPr>
        <w:br/>
        <w:t>While global population continues to rise, data shows that treatment success rates have concurrently improved. This indicates that health systems are becoming more effective at reaching and managing TB patients, even under the strain of growing demand. For instance, India has progressed from a treatment success rate of 34% in 2000 to 78% in 2021, illustrating this positive direction.</w:t>
      </w:r>
    </w:p>
    <w:p w14:paraId="410E5F14" w14:textId="1085A5FE"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New TB Case Reduction:</w:t>
      </w:r>
      <w:r w:rsidRPr="00857649">
        <w:rPr>
          <w:rFonts w:ascii="Aptos" w:hAnsi="Aptos" w:cstheme="minorHAnsi"/>
          <w:sz w:val="24"/>
          <w:szCs w:val="24"/>
        </w:rPr>
        <w:br/>
        <w:t>Across most regions, there has been a steady reduction in the number of new TB cases reported annually. This signals enhanced preventive care, early detection, and increased public awareness—outcomes that are directly tied to better-funded health sectors.</w:t>
      </w:r>
    </w:p>
    <w:p w14:paraId="4C031496" w14:textId="77777777" w:rsidR="00857649" w:rsidRPr="00857649" w:rsidRDefault="00857649" w:rsidP="00857649">
      <w:pPr>
        <w:rPr>
          <w:rFonts w:ascii="Aptos" w:hAnsi="Aptos" w:cstheme="minorHAnsi"/>
          <w:sz w:val="24"/>
          <w:szCs w:val="24"/>
        </w:rPr>
      </w:pPr>
    </w:p>
    <w:p w14:paraId="2C253E64" w14:textId="77777777" w:rsidR="00857649" w:rsidRPr="00857649" w:rsidRDefault="00857649" w:rsidP="00857649">
      <w:pPr>
        <w:spacing w:before="100" w:beforeAutospacing="1" w:after="100" w:afterAutospacing="1" w:line="240" w:lineRule="auto"/>
        <w:outlineLvl w:val="3"/>
        <w:rPr>
          <w:rFonts w:ascii="Aptos" w:eastAsia="Times New Roman" w:hAnsi="Aptos" w:cs="Times New Roman"/>
          <w:b/>
          <w:bCs/>
          <w:kern w:val="0"/>
          <w:sz w:val="36"/>
          <w:szCs w:val="36"/>
          <w:lang w:eastAsia="en-GB"/>
          <w14:ligatures w14:val="none"/>
        </w:rPr>
      </w:pPr>
      <w:r w:rsidRPr="00857649">
        <w:rPr>
          <w:rFonts w:ascii="Aptos" w:eastAsia="Times New Roman" w:hAnsi="Aptos" w:cs="Times New Roman"/>
          <w:b/>
          <w:bCs/>
          <w:kern w:val="0"/>
          <w:sz w:val="36"/>
          <w:szCs w:val="36"/>
          <w:lang w:eastAsia="en-GB"/>
          <w14:ligatures w14:val="none"/>
        </w:rPr>
        <w:t>Summary Insight:</w:t>
      </w:r>
    </w:p>
    <w:p w14:paraId="2BD747CA" w14:textId="77777777" w:rsidR="00857649" w:rsidRPr="00857649" w:rsidRDefault="00857649" w:rsidP="00857649">
      <w:pPr>
        <w:pStyle w:val="ListParagraph"/>
        <w:spacing w:before="100" w:beforeAutospacing="1" w:after="100" w:afterAutospacing="1" w:line="240" w:lineRule="auto"/>
        <w:jc w:val="both"/>
        <w:rPr>
          <w:rFonts w:ascii="Aptos" w:eastAsia="Times New Roman" w:hAnsi="Aptos" w:cs="Times New Roman"/>
          <w:kern w:val="0"/>
          <w:sz w:val="24"/>
          <w:szCs w:val="24"/>
          <w:lang w:eastAsia="en-GB"/>
          <w14:ligatures w14:val="none"/>
        </w:rPr>
      </w:pPr>
      <w:r w:rsidRPr="00857649">
        <w:rPr>
          <w:rFonts w:ascii="Aptos" w:eastAsia="Times New Roman" w:hAnsi="Aptos" w:cs="Times New Roman"/>
          <w:kern w:val="0"/>
          <w:sz w:val="24"/>
          <w:szCs w:val="24"/>
          <w:lang w:eastAsia="en-GB"/>
          <w14:ligatures w14:val="none"/>
        </w:rPr>
        <w:t>This global perspective reinforces the importance of sustained economic development and health financing in combating TB. While disparities persist, especially in high-burden countries, the combined rise in GDP, healthcare investment, and public health effectiveness offers a hopeful trajectory. The data clearly suggests that with continued focus, international collaboration, and equitable access to treatment, a future with significantly reduced TB incidence and mortality is within reach.</w:t>
      </w:r>
    </w:p>
    <w:p w14:paraId="27DD8607" w14:textId="5F624D31" w:rsidR="00AF024E" w:rsidRPr="004E1DE2" w:rsidRDefault="00AF024E" w:rsidP="00857649">
      <w:pPr>
        <w:rPr>
          <w:rFonts w:ascii="Aptos" w:hAnsi="Aptos" w:cstheme="minorHAnsi"/>
          <w:sz w:val="24"/>
          <w:szCs w:val="24"/>
        </w:rPr>
      </w:pPr>
    </w:p>
    <w:sectPr w:rsidR="00AF024E" w:rsidRPr="004E1D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F191D" w14:textId="77777777" w:rsidR="002C0435" w:rsidRDefault="002C0435" w:rsidP="002759B3">
      <w:pPr>
        <w:spacing w:after="0" w:line="240" w:lineRule="auto"/>
      </w:pPr>
      <w:r>
        <w:separator/>
      </w:r>
    </w:p>
  </w:endnote>
  <w:endnote w:type="continuationSeparator" w:id="0">
    <w:p w14:paraId="5E6BD527" w14:textId="77777777" w:rsidR="002C0435" w:rsidRDefault="002C0435" w:rsidP="00275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F728B" w14:textId="77777777" w:rsidR="002C0435" w:rsidRDefault="002C0435" w:rsidP="002759B3">
      <w:pPr>
        <w:spacing w:after="0" w:line="240" w:lineRule="auto"/>
      </w:pPr>
      <w:r>
        <w:separator/>
      </w:r>
    </w:p>
  </w:footnote>
  <w:footnote w:type="continuationSeparator" w:id="0">
    <w:p w14:paraId="7E6B9D89" w14:textId="77777777" w:rsidR="002C0435" w:rsidRDefault="002C0435" w:rsidP="00275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91229"/>
    <w:multiLevelType w:val="multilevel"/>
    <w:tmpl w:val="BC60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66A0F"/>
    <w:multiLevelType w:val="multilevel"/>
    <w:tmpl w:val="F8AA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E0A7C"/>
    <w:multiLevelType w:val="multilevel"/>
    <w:tmpl w:val="E33E8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83BC4"/>
    <w:multiLevelType w:val="hybridMultilevel"/>
    <w:tmpl w:val="29027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D35678"/>
    <w:multiLevelType w:val="hybridMultilevel"/>
    <w:tmpl w:val="FC668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A2049"/>
    <w:multiLevelType w:val="multilevel"/>
    <w:tmpl w:val="A272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4B014E"/>
    <w:multiLevelType w:val="multilevel"/>
    <w:tmpl w:val="716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1316E"/>
    <w:multiLevelType w:val="multilevel"/>
    <w:tmpl w:val="129E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A7656"/>
    <w:multiLevelType w:val="multilevel"/>
    <w:tmpl w:val="30CA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97871"/>
    <w:multiLevelType w:val="multilevel"/>
    <w:tmpl w:val="D75C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067276"/>
    <w:multiLevelType w:val="multilevel"/>
    <w:tmpl w:val="AF56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264727"/>
    <w:multiLevelType w:val="multilevel"/>
    <w:tmpl w:val="A78A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655112"/>
    <w:multiLevelType w:val="multilevel"/>
    <w:tmpl w:val="E630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AC538E"/>
    <w:multiLevelType w:val="multilevel"/>
    <w:tmpl w:val="49B6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D16B5D"/>
    <w:multiLevelType w:val="multilevel"/>
    <w:tmpl w:val="5DD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5378FF"/>
    <w:multiLevelType w:val="multilevel"/>
    <w:tmpl w:val="247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A23B2"/>
    <w:multiLevelType w:val="multilevel"/>
    <w:tmpl w:val="344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D5488"/>
    <w:multiLevelType w:val="multilevel"/>
    <w:tmpl w:val="5D52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4053B"/>
    <w:multiLevelType w:val="hybridMultilevel"/>
    <w:tmpl w:val="E3666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9B13A1"/>
    <w:multiLevelType w:val="multilevel"/>
    <w:tmpl w:val="5DD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8847D7"/>
    <w:multiLevelType w:val="hybridMultilevel"/>
    <w:tmpl w:val="A0126D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978338712">
    <w:abstractNumId w:val="1"/>
  </w:num>
  <w:num w:numId="2" w16cid:durableId="658382111">
    <w:abstractNumId w:val="12"/>
  </w:num>
  <w:num w:numId="3" w16cid:durableId="1394229362">
    <w:abstractNumId w:val="7"/>
  </w:num>
  <w:num w:numId="4" w16cid:durableId="1137722065">
    <w:abstractNumId w:val="0"/>
  </w:num>
  <w:num w:numId="5" w16cid:durableId="799224955">
    <w:abstractNumId w:val="6"/>
  </w:num>
  <w:num w:numId="6" w16cid:durableId="1883208595">
    <w:abstractNumId w:val="9"/>
  </w:num>
  <w:num w:numId="7" w16cid:durableId="1133447971">
    <w:abstractNumId w:val="15"/>
  </w:num>
  <w:num w:numId="8" w16cid:durableId="1849440718">
    <w:abstractNumId w:val="16"/>
  </w:num>
  <w:num w:numId="9" w16cid:durableId="919027068">
    <w:abstractNumId w:val="8"/>
  </w:num>
  <w:num w:numId="10" w16cid:durableId="615916986">
    <w:abstractNumId w:val="5"/>
  </w:num>
  <w:num w:numId="11" w16cid:durableId="1314488247">
    <w:abstractNumId w:val="10"/>
  </w:num>
  <w:num w:numId="12" w16cid:durableId="1492526189">
    <w:abstractNumId w:val="11"/>
  </w:num>
  <w:num w:numId="13" w16cid:durableId="1258907223">
    <w:abstractNumId w:val="13"/>
  </w:num>
  <w:num w:numId="14" w16cid:durableId="1875118221">
    <w:abstractNumId w:val="17"/>
  </w:num>
  <w:num w:numId="15" w16cid:durableId="596909635">
    <w:abstractNumId w:val="4"/>
  </w:num>
  <w:num w:numId="16" w16cid:durableId="2146502298">
    <w:abstractNumId w:val="20"/>
  </w:num>
  <w:num w:numId="17" w16cid:durableId="1171681360">
    <w:abstractNumId w:val="18"/>
  </w:num>
  <w:num w:numId="18" w16cid:durableId="909459123">
    <w:abstractNumId w:val="3"/>
  </w:num>
  <w:num w:numId="19" w16cid:durableId="579487347">
    <w:abstractNumId w:val="2"/>
  </w:num>
  <w:num w:numId="20" w16cid:durableId="960109884">
    <w:abstractNumId w:val="14"/>
  </w:num>
  <w:num w:numId="21" w16cid:durableId="8166032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6B"/>
    <w:rsid w:val="000348DD"/>
    <w:rsid w:val="000E5179"/>
    <w:rsid w:val="001564AA"/>
    <w:rsid w:val="002759B3"/>
    <w:rsid w:val="002C0435"/>
    <w:rsid w:val="002D2735"/>
    <w:rsid w:val="002E691C"/>
    <w:rsid w:val="00304E93"/>
    <w:rsid w:val="003113C0"/>
    <w:rsid w:val="003540DE"/>
    <w:rsid w:val="003D7603"/>
    <w:rsid w:val="0046476B"/>
    <w:rsid w:val="004D3D19"/>
    <w:rsid w:val="004E1DE2"/>
    <w:rsid w:val="00515358"/>
    <w:rsid w:val="005654A7"/>
    <w:rsid w:val="0057460F"/>
    <w:rsid w:val="005860C0"/>
    <w:rsid w:val="00591F13"/>
    <w:rsid w:val="005F59EA"/>
    <w:rsid w:val="006439F3"/>
    <w:rsid w:val="006759FD"/>
    <w:rsid w:val="0078288E"/>
    <w:rsid w:val="0079220B"/>
    <w:rsid w:val="007C2245"/>
    <w:rsid w:val="00857649"/>
    <w:rsid w:val="009F02C3"/>
    <w:rsid w:val="00A56680"/>
    <w:rsid w:val="00A70A45"/>
    <w:rsid w:val="00AF024E"/>
    <w:rsid w:val="00B06C50"/>
    <w:rsid w:val="00B951D9"/>
    <w:rsid w:val="00C33471"/>
    <w:rsid w:val="00C90ED6"/>
    <w:rsid w:val="00CD03EE"/>
    <w:rsid w:val="00D042E3"/>
    <w:rsid w:val="00D91F52"/>
    <w:rsid w:val="00DA1859"/>
    <w:rsid w:val="00DD6E51"/>
    <w:rsid w:val="00DE529B"/>
    <w:rsid w:val="00E0021F"/>
    <w:rsid w:val="00E640C7"/>
    <w:rsid w:val="00EE0996"/>
    <w:rsid w:val="00F04D2F"/>
    <w:rsid w:val="00F32D56"/>
    <w:rsid w:val="00F44F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EBEF"/>
  <w15:chartTrackingRefBased/>
  <w15:docId w15:val="{411261C8-BFEA-44E5-8FF8-AFBFF52DD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7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47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47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647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47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47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7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7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7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7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47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47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647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47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47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7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7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76B"/>
    <w:rPr>
      <w:rFonts w:eastAsiaTheme="majorEastAsia" w:cstheme="majorBidi"/>
      <w:color w:val="272727" w:themeColor="text1" w:themeTint="D8"/>
    </w:rPr>
  </w:style>
  <w:style w:type="paragraph" w:styleId="Title">
    <w:name w:val="Title"/>
    <w:basedOn w:val="Normal"/>
    <w:next w:val="Normal"/>
    <w:link w:val="TitleChar"/>
    <w:uiPriority w:val="10"/>
    <w:qFormat/>
    <w:rsid w:val="004647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7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7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7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76B"/>
    <w:pPr>
      <w:spacing w:before="160"/>
      <w:jc w:val="center"/>
    </w:pPr>
    <w:rPr>
      <w:i/>
      <w:iCs/>
      <w:color w:val="404040" w:themeColor="text1" w:themeTint="BF"/>
    </w:rPr>
  </w:style>
  <w:style w:type="character" w:customStyle="1" w:styleId="QuoteChar">
    <w:name w:val="Quote Char"/>
    <w:basedOn w:val="DefaultParagraphFont"/>
    <w:link w:val="Quote"/>
    <w:uiPriority w:val="29"/>
    <w:rsid w:val="0046476B"/>
    <w:rPr>
      <w:i/>
      <w:iCs/>
      <w:color w:val="404040" w:themeColor="text1" w:themeTint="BF"/>
    </w:rPr>
  </w:style>
  <w:style w:type="paragraph" w:styleId="ListParagraph">
    <w:name w:val="List Paragraph"/>
    <w:basedOn w:val="Normal"/>
    <w:uiPriority w:val="34"/>
    <w:qFormat/>
    <w:rsid w:val="0046476B"/>
    <w:pPr>
      <w:ind w:left="720"/>
      <w:contextualSpacing/>
    </w:pPr>
  </w:style>
  <w:style w:type="character" w:styleId="IntenseEmphasis">
    <w:name w:val="Intense Emphasis"/>
    <w:basedOn w:val="DefaultParagraphFont"/>
    <w:uiPriority w:val="21"/>
    <w:qFormat/>
    <w:rsid w:val="0046476B"/>
    <w:rPr>
      <w:i/>
      <w:iCs/>
      <w:color w:val="2F5496" w:themeColor="accent1" w:themeShade="BF"/>
    </w:rPr>
  </w:style>
  <w:style w:type="paragraph" w:styleId="IntenseQuote">
    <w:name w:val="Intense Quote"/>
    <w:basedOn w:val="Normal"/>
    <w:next w:val="Normal"/>
    <w:link w:val="IntenseQuoteChar"/>
    <w:uiPriority w:val="30"/>
    <w:qFormat/>
    <w:rsid w:val="004647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476B"/>
    <w:rPr>
      <w:i/>
      <w:iCs/>
      <w:color w:val="2F5496" w:themeColor="accent1" w:themeShade="BF"/>
    </w:rPr>
  </w:style>
  <w:style w:type="character" w:styleId="IntenseReference">
    <w:name w:val="Intense Reference"/>
    <w:basedOn w:val="DefaultParagraphFont"/>
    <w:uiPriority w:val="32"/>
    <w:qFormat/>
    <w:rsid w:val="0046476B"/>
    <w:rPr>
      <w:b/>
      <w:bCs/>
      <w:smallCaps/>
      <w:color w:val="2F5496" w:themeColor="accent1" w:themeShade="BF"/>
      <w:spacing w:val="5"/>
    </w:rPr>
  </w:style>
  <w:style w:type="character" w:styleId="Hyperlink">
    <w:name w:val="Hyperlink"/>
    <w:basedOn w:val="DefaultParagraphFont"/>
    <w:uiPriority w:val="99"/>
    <w:unhideWhenUsed/>
    <w:rsid w:val="0046476B"/>
    <w:rPr>
      <w:color w:val="0563C1" w:themeColor="hyperlink"/>
      <w:u w:val="single"/>
    </w:rPr>
  </w:style>
  <w:style w:type="character" w:styleId="UnresolvedMention">
    <w:name w:val="Unresolved Mention"/>
    <w:basedOn w:val="DefaultParagraphFont"/>
    <w:uiPriority w:val="99"/>
    <w:semiHidden/>
    <w:unhideWhenUsed/>
    <w:rsid w:val="0046476B"/>
    <w:rPr>
      <w:color w:val="605E5C"/>
      <w:shd w:val="clear" w:color="auto" w:fill="E1DFDD"/>
    </w:rPr>
  </w:style>
  <w:style w:type="character" w:styleId="FollowedHyperlink">
    <w:name w:val="FollowedHyperlink"/>
    <w:basedOn w:val="DefaultParagraphFont"/>
    <w:uiPriority w:val="99"/>
    <w:semiHidden/>
    <w:unhideWhenUsed/>
    <w:rsid w:val="0046476B"/>
    <w:rPr>
      <w:color w:val="954F72" w:themeColor="followedHyperlink"/>
      <w:u w:val="single"/>
    </w:rPr>
  </w:style>
  <w:style w:type="paragraph" w:styleId="Header">
    <w:name w:val="header"/>
    <w:basedOn w:val="Normal"/>
    <w:link w:val="HeaderChar"/>
    <w:uiPriority w:val="99"/>
    <w:unhideWhenUsed/>
    <w:rsid w:val="002759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9B3"/>
  </w:style>
  <w:style w:type="paragraph" w:styleId="Footer">
    <w:name w:val="footer"/>
    <w:basedOn w:val="Normal"/>
    <w:link w:val="FooterChar"/>
    <w:uiPriority w:val="99"/>
    <w:unhideWhenUsed/>
    <w:rsid w:val="002759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1947">
      <w:bodyDiv w:val="1"/>
      <w:marLeft w:val="0"/>
      <w:marRight w:val="0"/>
      <w:marTop w:val="0"/>
      <w:marBottom w:val="0"/>
      <w:divBdr>
        <w:top w:val="none" w:sz="0" w:space="0" w:color="auto"/>
        <w:left w:val="none" w:sz="0" w:space="0" w:color="auto"/>
        <w:bottom w:val="none" w:sz="0" w:space="0" w:color="auto"/>
        <w:right w:val="none" w:sz="0" w:space="0" w:color="auto"/>
      </w:divBdr>
    </w:div>
    <w:div w:id="42558574">
      <w:bodyDiv w:val="1"/>
      <w:marLeft w:val="0"/>
      <w:marRight w:val="0"/>
      <w:marTop w:val="0"/>
      <w:marBottom w:val="0"/>
      <w:divBdr>
        <w:top w:val="none" w:sz="0" w:space="0" w:color="auto"/>
        <w:left w:val="none" w:sz="0" w:space="0" w:color="auto"/>
        <w:bottom w:val="none" w:sz="0" w:space="0" w:color="auto"/>
        <w:right w:val="none" w:sz="0" w:space="0" w:color="auto"/>
      </w:divBdr>
    </w:div>
    <w:div w:id="46800676">
      <w:bodyDiv w:val="1"/>
      <w:marLeft w:val="0"/>
      <w:marRight w:val="0"/>
      <w:marTop w:val="0"/>
      <w:marBottom w:val="0"/>
      <w:divBdr>
        <w:top w:val="none" w:sz="0" w:space="0" w:color="auto"/>
        <w:left w:val="none" w:sz="0" w:space="0" w:color="auto"/>
        <w:bottom w:val="none" w:sz="0" w:space="0" w:color="auto"/>
        <w:right w:val="none" w:sz="0" w:space="0" w:color="auto"/>
      </w:divBdr>
      <w:divsChild>
        <w:div w:id="417168583">
          <w:marLeft w:val="0"/>
          <w:marRight w:val="0"/>
          <w:marTop w:val="0"/>
          <w:marBottom w:val="0"/>
          <w:divBdr>
            <w:top w:val="none" w:sz="0" w:space="0" w:color="auto"/>
            <w:left w:val="none" w:sz="0" w:space="0" w:color="auto"/>
            <w:bottom w:val="none" w:sz="0" w:space="0" w:color="auto"/>
            <w:right w:val="none" w:sz="0" w:space="0" w:color="auto"/>
          </w:divBdr>
          <w:divsChild>
            <w:div w:id="18487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620">
      <w:bodyDiv w:val="1"/>
      <w:marLeft w:val="0"/>
      <w:marRight w:val="0"/>
      <w:marTop w:val="0"/>
      <w:marBottom w:val="0"/>
      <w:divBdr>
        <w:top w:val="none" w:sz="0" w:space="0" w:color="auto"/>
        <w:left w:val="none" w:sz="0" w:space="0" w:color="auto"/>
        <w:bottom w:val="none" w:sz="0" w:space="0" w:color="auto"/>
        <w:right w:val="none" w:sz="0" w:space="0" w:color="auto"/>
      </w:divBdr>
    </w:div>
    <w:div w:id="150299289">
      <w:bodyDiv w:val="1"/>
      <w:marLeft w:val="0"/>
      <w:marRight w:val="0"/>
      <w:marTop w:val="0"/>
      <w:marBottom w:val="0"/>
      <w:divBdr>
        <w:top w:val="none" w:sz="0" w:space="0" w:color="auto"/>
        <w:left w:val="none" w:sz="0" w:space="0" w:color="auto"/>
        <w:bottom w:val="none" w:sz="0" w:space="0" w:color="auto"/>
        <w:right w:val="none" w:sz="0" w:space="0" w:color="auto"/>
      </w:divBdr>
      <w:divsChild>
        <w:div w:id="2107648330">
          <w:marLeft w:val="0"/>
          <w:marRight w:val="0"/>
          <w:marTop w:val="0"/>
          <w:marBottom w:val="0"/>
          <w:divBdr>
            <w:top w:val="none" w:sz="0" w:space="0" w:color="auto"/>
            <w:left w:val="none" w:sz="0" w:space="0" w:color="auto"/>
            <w:bottom w:val="none" w:sz="0" w:space="0" w:color="auto"/>
            <w:right w:val="none" w:sz="0" w:space="0" w:color="auto"/>
          </w:divBdr>
          <w:divsChild>
            <w:div w:id="18527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4528">
      <w:bodyDiv w:val="1"/>
      <w:marLeft w:val="0"/>
      <w:marRight w:val="0"/>
      <w:marTop w:val="0"/>
      <w:marBottom w:val="0"/>
      <w:divBdr>
        <w:top w:val="none" w:sz="0" w:space="0" w:color="auto"/>
        <w:left w:val="none" w:sz="0" w:space="0" w:color="auto"/>
        <w:bottom w:val="none" w:sz="0" w:space="0" w:color="auto"/>
        <w:right w:val="none" w:sz="0" w:space="0" w:color="auto"/>
      </w:divBdr>
    </w:div>
    <w:div w:id="314259190">
      <w:bodyDiv w:val="1"/>
      <w:marLeft w:val="0"/>
      <w:marRight w:val="0"/>
      <w:marTop w:val="0"/>
      <w:marBottom w:val="0"/>
      <w:divBdr>
        <w:top w:val="none" w:sz="0" w:space="0" w:color="auto"/>
        <w:left w:val="none" w:sz="0" w:space="0" w:color="auto"/>
        <w:bottom w:val="none" w:sz="0" w:space="0" w:color="auto"/>
        <w:right w:val="none" w:sz="0" w:space="0" w:color="auto"/>
      </w:divBdr>
    </w:div>
    <w:div w:id="353192069">
      <w:bodyDiv w:val="1"/>
      <w:marLeft w:val="0"/>
      <w:marRight w:val="0"/>
      <w:marTop w:val="0"/>
      <w:marBottom w:val="0"/>
      <w:divBdr>
        <w:top w:val="none" w:sz="0" w:space="0" w:color="auto"/>
        <w:left w:val="none" w:sz="0" w:space="0" w:color="auto"/>
        <w:bottom w:val="none" w:sz="0" w:space="0" w:color="auto"/>
        <w:right w:val="none" w:sz="0" w:space="0" w:color="auto"/>
      </w:divBdr>
      <w:divsChild>
        <w:div w:id="547835456">
          <w:marLeft w:val="0"/>
          <w:marRight w:val="0"/>
          <w:marTop w:val="0"/>
          <w:marBottom w:val="0"/>
          <w:divBdr>
            <w:top w:val="none" w:sz="0" w:space="0" w:color="auto"/>
            <w:left w:val="none" w:sz="0" w:space="0" w:color="auto"/>
            <w:bottom w:val="none" w:sz="0" w:space="0" w:color="auto"/>
            <w:right w:val="none" w:sz="0" w:space="0" w:color="auto"/>
          </w:divBdr>
          <w:divsChild>
            <w:div w:id="20877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3906">
      <w:bodyDiv w:val="1"/>
      <w:marLeft w:val="0"/>
      <w:marRight w:val="0"/>
      <w:marTop w:val="0"/>
      <w:marBottom w:val="0"/>
      <w:divBdr>
        <w:top w:val="none" w:sz="0" w:space="0" w:color="auto"/>
        <w:left w:val="none" w:sz="0" w:space="0" w:color="auto"/>
        <w:bottom w:val="none" w:sz="0" w:space="0" w:color="auto"/>
        <w:right w:val="none" w:sz="0" w:space="0" w:color="auto"/>
      </w:divBdr>
    </w:div>
    <w:div w:id="472330521">
      <w:bodyDiv w:val="1"/>
      <w:marLeft w:val="0"/>
      <w:marRight w:val="0"/>
      <w:marTop w:val="0"/>
      <w:marBottom w:val="0"/>
      <w:divBdr>
        <w:top w:val="none" w:sz="0" w:space="0" w:color="auto"/>
        <w:left w:val="none" w:sz="0" w:space="0" w:color="auto"/>
        <w:bottom w:val="none" w:sz="0" w:space="0" w:color="auto"/>
        <w:right w:val="none" w:sz="0" w:space="0" w:color="auto"/>
      </w:divBdr>
    </w:div>
    <w:div w:id="479927215">
      <w:bodyDiv w:val="1"/>
      <w:marLeft w:val="0"/>
      <w:marRight w:val="0"/>
      <w:marTop w:val="0"/>
      <w:marBottom w:val="0"/>
      <w:divBdr>
        <w:top w:val="none" w:sz="0" w:space="0" w:color="auto"/>
        <w:left w:val="none" w:sz="0" w:space="0" w:color="auto"/>
        <w:bottom w:val="none" w:sz="0" w:space="0" w:color="auto"/>
        <w:right w:val="none" w:sz="0" w:space="0" w:color="auto"/>
      </w:divBdr>
    </w:div>
    <w:div w:id="493304113">
      <w:bodyDiv w:val="1"/>
      <w:marLeft w:val="0"/>
      <w:marRight w:val="0"/>
      <w:marTop w:val="0"/>
      <w:marBottom w:val="0"/>
      <w:divBdr>
        <w:top w:val="none" w:sz="0" w:space="0" w:color="auto"/>
        <w:left w:val="none" w:sz="0" w:space="0" w:color="auto"/>
        <w:bottom w:val="none" w:sz="0" w:space="0" w:color="auto"/>
        <w:right w:val="none" w:sz="0" w:space="0" w:color="auto"/>
      </w:divBdr>
      <w:divsChild>
        <w:div w:id="837892261">
          <w:marLeft w:val="0"/>
          <w:marRight w:val="0"/>
          <w:marTop w:val="0"/>
          <w:marBottom w:val="0"/>
          <w:divBdr>
            <w:top w:val="none" w:sz="0" w:space="0" w:color="auto"/>
            <w:left w:val="none" w:sz="0" w:space="0" w:color="auto"/>
            <w:bottom w:val="none" w:sz="0" w:space="0" w:color="auto"/>
            <w:right w:val="none" w:sz="0" w:space="0" w:color="auto"/>
          </w:divBdr>
          <w:divsChild>
            <w:div w:id="9342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0987">
      <w:bodyDiv w:val="1"/>
      <w:marLeft w:val="0"/>
      <w:marRight w:val="0"/>
      <w:marTop w:val="0"/>
      <w:marBottom w:val="0"/>
      <w:divBdr>
        <w:top w:val="none" w:sz="0" w:space="0" w:color="auto"/>
        <w:left w:val="none" w:sz="0" w:space="0" w:color="auto"/>
        <w:bottom w:val="none" w:sz="0" w:space="0" w:color="auto"/>
        <w:right w:val="none" w:sz="0" w:space="0" w:color="auto"/>
      </w:divBdr>
    </w:div>
    <w:div w:id="568809549">
      <w:bodyDiv w:val="1"/>
      <w:marLeft w:val="0"/>
      <w:marRight w:val="0"/>
      <w:marTop w:val="0"/>
      <w:marBottom w:val="0"/>
      <w:divBdr>
        <w:top w:val="none" w:sz="0" w:space="0" w:color="auto"/>
        <w:left w:val="none" w:sz="0" w:space="0" w:color="auto"/>
        <w:bottom w:val="none" w:sz="0" w:space="0" w:color="auto"/>
        <w:right w:val="none" w:sz="0" w:space="0" w:color="auto"/>
      </w:divBdr>
    </w:div>
    <w:div w:id="581185934">
      <w:bodyDiv w:val="1"/>
      <w:marLeft w:val="0"/>
      <w:marRight w:val="0"/>
      <w:marTop w:val="0"/>
      <w:marBottom w:val="0"/>
      <w:divBdr>
        <w:top w:val="none" w:sz="0" w:space="0" w:color="auto"/>
        <w:left w:val="none" w:sz="0" w:space="0" w:color="auto"/>
        <w:bottom w:val="none" w:sz="0" w:space="0" w:color="auto"/>
        <w:right w:val="none" w:sz="0" w:space="0" w:color="auto"/>
      </w:divBdr>
    </w:div>
    <w:div w:id="607741368">
      <w:bodyDiv w:val="1"/>
      <w:marLeft w:val="0"/>
      <w:marRight w:val="0"/>
      <w:marTop w:val="0"/>
      <w:marBottom w:val="0"/>
      <w:divBdr>
        <w:top w:val="none" w:sz="0" w:space="0" w:color="auto"/>
        <w:left w:val="none" w:sz="0" w:space="0" w:color="auto"/>
        <w:bottom w:val="none" w:sz="0" w:space="0" w:color="auto"/>
        <w:right w:val="none" w:sz="0" w:space="0" w:color="auto"/>
      </w:divBdr>
    </w:div>
    <w:div w:id="639502424">
      <w:bodyDiv w:val="1"/>
      <w:marLeft w:val="0"/>
      <w:marRight w:val="0"/>
      <w:marTop w:val="0"/>
      <w:marBottom w:val="0"/>
      <w:divBdr>
        <w:top w:val="none" w:sz="0" w:space="0" w:color="auto"/>
        <w:left w:val="none" w:sz="0" w:space="0" w:color="auto"/>
        <w:bottom w:val="none" w:sz="0" w:space="0" w:color="auto"/>
        <w:right w:val="none" w:sz="0" w:space="0" w:color="auto"/>
      </w:divBdr>
    </w:div>
    <w:div w:id="667296760">
      <w:bodyDiv w:val="1"/>
      <w:marLeft w:val="0"/>
      <w:marRight w:val="0"/>
      <w:marTop w:val="0"/>
      <w:marBottom w:val="0"/>
      <w:divBdr>
        <w:top w:val="none" w:sz="0" w:space="0" w:color="auto"/>
        <w:left w:val="none" w:sz="0" w:space="0" w:color="auto"/>
        <w:bottom w:val="none" w:sz="0" w:space="0" w:color="auto"/>
        <w:right w:val="none" w:sz="0" w:space="0" w:color="auto"/>
      </w:divBdr>
      <w:divsChild>
        <w:div w:id="502475076">
          <w:marLeft w:val="0"/>
          <w:marRight w:val="0"/>
          <w:marTop w:val="0"/>
          <w:marBottom w:val="0"/>
          <w:divBdr>
            <w:top w:val="none" w:sz="0" w:space="0" w:color="auto"/>
            <w:left w:val="none" w:sz="0" w:space="0" w:color="auto"/>
            <w:bottom w:val="none" w:sz="0" w:space="0" w:color="auto"/>
            <w:right w:val="none" w:sz="0" w:space="0" w:color="auto"/>
          </w:divBdr>
          <w:divsChild>
            <w:div w:id="7852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6823">
      <w:bodyDiv w:val="1"/>
      <w:marLeft w:val="0"/>
      <w:marRight w:val="0"/>
      <w:marTop w:val="0"/>
      <w:marBottom w:val="0"/>
      <w:divBdr>
        <w:top w:val="none" w:sz="0" w:space="0" w:color="auto"/>
        <w:left w:val="none" w:sz="0" w:space="0" w:color="auto"/>
        <w:bottom w:val="none" w:sz="0" w:space="0" w:color="auto"/>
        <w:right w:val="none" w:sz="0" w:space="0" w:color="auto"/>
      </w:divBdr>
      <w:divsChild>
        <w:div w:id="890075025">
          <w:marLeft w:val="0"/>
          <w:marRight w:val="0"/>
          <w:marTop w:val="0"/>
          <w:marBottom w:val="0"/>
          <w:divBdr>
            <w:top w:val="none" w:sz="0" w:space="0" w:color="auto"/>
            <w:left w:val="none" w:sz="0" w:space="0" w:color="auto"/>
            <w:bottom w:val="none" w:sz="0" w:space="0" w:color="auto"/>
            <w:right w:val="none" w:sz="0" w:space="0" w:color="auto"/>
          </w:divBdr>
          <w:divsChild>
            <w:div w:id="14542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7169">
      <w:bodyDiv w:val="1"/>
      <w:marLeft w:val="0"/>
      <w:marRight w:val="0"/>
      <w:marTop w:val="0"/>
      <w:marBottom w:val="0"/>
      <w:divBdr>
        <w:top w:val="none" w:sz="0" w:space="0" w:color="auto"/>
        <w:left w:val="none" w:sz="0" w:space="0" w:color="auto"/>
        <w:bottom w:val="none" w:sz="0" w:space="0" w:color="auto"/>
        <w:right w:val="none" w:sz="0" w:space="0" w:color="auto"/>
      </w:divBdr>
    </w:div>
    <w:div w:id="816727148">
      <w:bodyDiv w:val="1"/>
      <w:marLeft w:val="0"/>
      <w:marRight w:val="0"/>
      <w:marTop w:val="0"/>
      <w:marBottom w:val="0"/>
      <w:divBdr>
        <w:top w:val="none" w:sz="0" w:space="0" w:color="auto"/>
        <w:left w:val="none" w:sz="0" w:space="0" w:color="auto"/>
        <w:bottom w:val="none" w:sz="0" w:space="0" w:color="auto"/>
        <w:right w:val="none" w:sz="0" w:space="0" w:color="auto"/>
      </w:divBdr>
    </w:div>
    <w:div w:id="830751460">
      <w:bodyDiv w:val="1"/>
      <w:marLeft w:val="0"/>
      <w:marRight w:val="0"/>
      <w:marTop w:val="0"/>
      <w:marBottom w:val="0"/>
      <w:divBdr>
        <w:top w:val="none" w:sz="0" w:space="0" w:color="auto"/>
        <w:left w:val="none" w:sz="0" w:space="0" w:color="auto"/>
        <w:bottom w:val="none" w:sz="0" w:space="0" w:color="auto"/>
        <w:right w:val="none" w:sz="0" w:space="0" w:color="auto"/>
      </w:divBdr>
    </w:div>
    <w:div w:id="972714170">
      <w:bodyDiv w:val="1"/>
      <w:marLeft w:val="0"/>
      <w:marRight w:val="0"/>
      <w:marTop w:val="0"/>
      <w:marBottom w:val="0"/>
      <w:divBdr>
        <w:top w:val="none" w:sz="0" w:space="0" w:color="auto"/>
        <w:left w:val="none" w:sz="0" w:space="0" w:color="auto"/>
        <w:bottom w:val="none" w:sz="0" w:space="0" w:color="auto"/>
        <w:right w:val="none" w:sz="0" w:space="0" w:color="auto"/>
      </w:divBdr>
    </w:div>
    <w:div w:id="1070424132">
      <w:bodyDiv w:val="1"/>
      <w:marLeft w:val="0"/>
      <w:marRight w:val="0"/>
      <w:marTop w:val="0"/>
      <w:marBottom w:val="0"/>
      <w:divBdr>
        <w:top w:val="none" w:sz="0" w:space="0" w:color="auto"/>
        <w:left w:val="none" w:sz="0" w:space="0" w:color="auto"/>
        <w:bottom w:val="none" w:sz="0" w:space="0" w:color="auto"/>
        <w:right w:val="none" w:sz="0" w:space="0" w:color="auto"/>
      </w:divBdr>
    </w:div>
    <w:div w:id="1126582445">
      <w:bodyDiv w:val="1"/>
      <w:marLeft w:val="0"/>
      <w:marRight w:val="0"/>
      <w:marTop w:val="0"/>
      <w:marBottom w:val="0"/>
      <w:divBdr>
        <w:top w:val="none" w:sz="0" w:space="0" w:color="auto"/>
        <w:left w:val="none" w:sz="0" w:space="0" w:color="auto"/>
        <w:bottom w:val="none" w:sz="0" w:space="0" w:color="auto"/>
        <w:right w:val="none" w:sz="0" w:space="0" w:color="auto"/>
      </w:divBdr>
    </w:div>
    <w:div w:id="1213268313">
      <w:bodyDiv w:val="1"/>
      <w:marLeft w:val="0"/>
      <w:marRight w:val="0"/>
      <w:marTop w:val="0"/>
      <w:marBottom w:val="0"/>
      <w:divBdr>
        <w:top w:val="none" w:sz="0" w:space="0" w:color="auto"/>
        <w:left w:val="none" w:sz="0" w:space="0" w:color="auto"/>
        <w:bottom w:val="none" w:sz="0" w:space="0" w:color="auto"/>
        <w:right w:val="none" w:sz="0" w:space="0" w:color="auto"/>
      </w:divBdr>
    </w:div>
    <w:div w:id="1244879474">
      <w:bodyDiv w:val="1"/>
      <w:marLeft w:val="0"/>
      <w:marRight w:val="0"/>
      <w:marTop w:val="0"/>
      <w:marBottom w:val="0"/>
      <w:divBdr>
        <w:top w:val="none" w:sz="0" w:space="0" w:color="auto"/>
        <w:left w:val="none" w:sz="0" w:space="0" w:color="auto"/>
        <w:bottom w:val="none" w:sz="0" w:space="0" w:color="auto"/>
        <w:right w:val="none" w:sz="0" w:space="0" w:color="auto"/>
      </w:divBdr>
    </w:div>
    <w:div w:id="1244951786">
      <w:bodyDiv w:val="1"/>
      <w:marLeft w:val="0"/>
      <w:marRight w:val="0"/>
      <w:marTop w:val="0"/>
      <w:marBottom w:val="0"/>
      <w:divBdr>
        <w:top w:val="none" w:sz="0" w:space="0" w:color="auto"/>
        <w:left w:val="none" w:sz="0" w:space="0" w:color="auto"/>
        <w:bottom w:val="none" w:sz="0" w:space="0" w:color="auto"/>
        <w:right w:val="none" w:sz="0" w:space="0" w:color="auto"/>
      </w:divBdr>
    </w:div>
    <w:div w:id="1299458476">
      <w:bodyDiv w:val="1"/>
      <w:marLeft w:val="0"/>
      <w:marRight w:val="0"/>
      <w:marTop w:val="0"/>
      <w:marBottom w:val="0"/>
      <w:divBdr>
        <w:top w:val="none" w:sz="0" w:space="0" w:color="auto"/>
        <w:left w:val="none" w:sz="0" w:space="0" w:color="auto"/>
        <w:bottom w:val="none" w:sz="0" w:space="0" w:color="auto"/>
        <w:right w:val="none" w:sz="0" w:space="0" w:color="auto"/>
      </w:divBdr>
    </w:div>
    <w:div w:id="1343167538">
      <w:bodyDiv w:val="1"/>
      <w:marLeft w:val="0"/>
      <w:marRight w:val="0"/>
      <w:marTop w:val="0"/>
      <w:marBottom w:val="0"/>
      <w:divBdr>
        <w:top w:val="none" w:sz="0" w:space="0" w:color="auto"/>
        <w:left w:val="none" w:sz="0" w:space="0" w:color="auto"/>
        <w:bottom w:val="none" w:sz="0" w:space="0" w:color="auto"/>
        <w:right w:val="none" w:sz="0" w:space="0" w:color="auto"/>
      </w:divBdr>
    </w:div>
    <w:div w:id="1448500613">
      <w:bodyDiv w:val="1"/>
      <w:marLeft w:val="0"/>
      <w:marRight w:val="0"/>
      <w:marTop w:val="0"/>
      <w:marBottom w:val="0"/>
      <w:divBdr>
        <w:top w:val="none" w:sz="0" w:space="0" w:color="auto"/>
        <w:left w:val="none" w:sz="0" w:space="0" w:color="auto"/>
        <w:bottom w:val="none" w:sz="0" w:space="0" w:color="auto"/>
        <w:right w:val="none" w:sz="0" w:space="0" w:color="auto"/>
      </w:divBdr>
    </w:div>
    <w:div w:id="1523015840">
      <w:bodyDiv w:val="1"/>
      <w:marLeft w:val="0"/>
      <w:marRight w:val="0"/>
      <w:marTop w:val="0"/>
      <w:marBottom w:val="0"/>
      <w:divBdr>
        <w:top w:val="none" w:sz="0" w:space="0" w:color="auto"/>
        <w:left w:val="none" w:sz="0" w:space="0" w:color="auto"/>
        <w:bottom w:val="none" w:sz="0" w:space="0" w:color="auto"/>
        <w:right w:val="none" w:sz="0" w:space="0" w:color="auto"/>
      </w:divBdr>
    </w:div>
    <w:div w:id="1572303855">
      <w:bodyDiv w:val="1"/>
      <w:marLeft w:val="0"/>
      <w:marRight w:val="0"/>
      <w:marTop w:val="0"/>
      <w:marBottom w:val="0"/>
      <w:divBdr>
        <w:top w:val="none" w:sz="0" w:space="0" w:color="auto"/>
        <w:left w:val="none" w:sz="0" w:space="0" w:color="auto"/>
        <w:bottom w:val="none" w:sz="0" w:space="0" w:color="auto"/>
        <w:right w:val="none" w:sz="0" w:space="0" w:color="auto"/>
      </w:divBdr>
    </w:div>
    <w:div w:id="1602101568">
      <w:bodyDiv w:val="1"/>
      <w:marLeft w:val="0"/>
      <w:marRight w:val="0"/>
      <w:marTop w:val="0"/>
      <w:marBottom w:val="0"/>
      <w:divBdr>
        <w:top w:val="none" w:sz="0" w:space="0" w:color="auto"/>
        <w:left w:val="none" w:sz="0" w:space="0" w:color="auto"/>
        <w:bottom w:val="none" w:sz="0" w:space="0" w:color="auto"/>
        <w:right w:val="none" w:sz="0" w:space="0" w:color="auto"/>
      </w:divBdr>
    </w:div>
    <w:div w:id="1630891212">
      <w:bodyDiv w:val="1"/>
      <w:marLeft w:val="0"/>
      <w:marRight w:val="0"/>
      <w:marTop w:val="0"/>
      <w:marBottom w:val="0"/>
      <w:divBdr>
        <w:top w:val="none" w:sz="0" w:space="0" w:color="auto"/>
        <w:left w:val="none" w:sz="0" w:space="0" w:color="auto"/>
        <w:bottom w:val="none" w:sz="0" w:space="0" w:color="auto"/>
        <w:right w:val="none" w:sz="0" w:space="0" w:color="auto"/>
      </w:divBdr>
    </w:div>
    <w:div w:id="1717310922">
      <w:bodyDiv w:val="1"/>
      <w:marLeft w:val="0"/>
      <w:marRight w:val="0"/>
      <w:marTop w:val="0"/>
      <w:marBottom w:val="0"/>
      <w:divBdr>
        <w:top w:val="none" w:sz="0" w:space="0" w:color="auto"/>
        <w:left w:val="none" w:sz="0" w:space="0" w:color="auto"/>
        <w:bottom w:val="none" w:sz="0" w:space="0" w:color="auto"/>
        <w:right w:val="none" w:sz="0" w:space="0" w:color="auto"/>
      </w:divBdr>
      <w:divsChild>
        <w:div w:id="1799912810">
          <w:marLeft w:val="0"/>
          <w:marRight w:val="0"/>
          <w:marTop w:val="0"/>
          <w:marBottom w:val="0"/>
          <w:divBdr>
            <w:top w:val="none" w:sz="0" w:space="0" w:color="auto"/>
            <w:left w:val="none" w:sz="0" w:space="0" w:color="auto"/>
            <w:bottom w:val="none" w:sz="0" w:space="0" w:color="auto"/>
            <w:right w:val="none" w:sz="0" w:space="0" w:color="auto"/>
          </w:divBdr>
          <w:divsChild>
            <w:div w:id="21217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7312">
      <w:bodyDiv w:val="1"/>
      <w:marLeft w:val="0"/>
      <w:marRight w:val="0"/>
      <w:marTop w:val="0"/>
      <w:marBottom w:val="0"/>
      <w:divBdr>
        <w:top w:val="none" w:sz="0" w:space="0" w:color="auto"/>
        <w:left w:val="none" w:sz="0" w:space="0" w:color="auto"/>
        <w:bottom w:val="none" w:sz="0" w:space="0" w:color="auto"/>
        <w:right w:val="none" w:sz="0" w:space="0" w:color="auto"/>
      </w:divBdr>
    </w:div>
    <w:div w:id="1915968165">
      <w:bodyDiv w:val="1"/>
      <w:marLeft w:val="0"/>
      <w:marRight w:val="0"/>
      <w:marTop w:val="0"/>
      <w:marBottom w:val="0"/>
      <w:divBdr>
        <w:top w:val="none" w:sz="0" w:space="0" w:color="auto"/>
        <w:left w:val="none" w:sz="0" w:space="0" w:color="auto"/>
        <w:bottom w:val="none" w:sz="0" w:space="0" w:color="auto"/>
        <w:right w:val="none" w:sz="0" w:space="0" w:color="auto"/>
      </w:divBdr>
    </w:div>
    <w:div w:id="1986542502">
      <w:bodyDiv w:val="1"/>
      <w:marLeft w:val="0"/>
      <w:marRight w:val="0"/>
      <w:marTop w:val="0"/>
      <w:marBottom w:val="0"/>
      <w:divBdr>
        <w:top w:val="none" w:sz="0" w:space="0" w:color="auto"/>
        <w:left w:val="none" w:sz="0" w:space="0" w:color="auto"/>
        <w:bottom w:val="none" w:sz="0" w:space="0" w:color="auto"/>
        <w:right w:val="none" w:sz="0" w:space="0" w:color="auto"/>
      </w:divBdr>
    </w:div>
    <w:div w:id="2016690364">
      <w:bodyDiv w:val="1"/>
      <w:marLeft w:val="0"/>
      <w:marRight w:val="0"/>
      <w:marTop w:val="0"/>
      <w:marBottom w:val="0"/>
      <w:divBdr>
        <w:top w:val="none" w:sz="0" w:space="0" w:color="auto"/>
        <w:left w:val="none" w:sz="0" w:space="0" w:color="auto"/>
        <w:bottom w:val="none" w:sz="0" w:space="0" w:color="auto"/>
        <w:right w:val="none" w:sz="0" w:space="0" w:color="auto"/>
      </w:divBdr>
      <w:divsChild>
        <w:div w:id="1140415561">
          <w:marLeft w:val="0"/>
          <w:marRight w:val="0"/>
          <w:marTop w:val="0"/>
          <w:marBottom w:val="0"/>
          <w:divBdr>
            <w:top w:val="none" w:sz="0" w:space="0" w:color="auto"/>
            <w:left w:val="none" w:sz="0" w:space="0" w:color="auto"/>
            <w:bottom w:val="none" w:sz="0" w:space="0" w:color="auto"/>
            <w:right w:val="none" w:sz="0" w:space="0" w:color="auto"/>
          </w:divBdr>
          <w:divsChild>
            <w:div w:id="15949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7334">
      <w:bodyDiv w:val="1"/>
      <w:marLeft w:val="0"/>
      <w:marRight w:val="0"/>
      <w:marTop w:val="0"/>
      <w:marBottom w:val="0"/>
      <w:divBdr>
        <w:top w:val="none" w:sz="0" w:space="0" w:color="auto"/>
        <w:left w:val="none" w:sz="0" w:space="0" w:color="auto"/>
        <w:bottom w:val="none" w:sz="0" w:space="0" w:color="auto"/>
        <w:right w:val="none" w:sz="0" w:space="0" w:color="auto"/>
      </w:divBdr>
    </w:div>
    <w:div w:id="2062627260">
      <w:bodyDiv w:val="1"/>
      <w:marLeft w:val="0"/>
      <w:marRight w:val="0"/>
      <w:marTop w:val="0"/>
      <w:marBottom w:val="0"/>
      <w:divBdr>
        <w:top w:val="none" w:sz="0" w:space="0" w:color="auto"/>
        <w:left w:val="none" w:sz="0" w:space="0" w:color="auto"/>
        <w:bottom w:val="none" w:sz="0" w:space="0" w:color="auto"/>
        <w:right w:val="none" w:sz="0" w:space="0" w:color="auto"/>
      </w:divBdr>
    </w:div>
    <w:div w:id="21148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hatsingh2002/TB_CASE_STUD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who.int/news-room/fact-sheets/detail/tuberculosi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16</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dc:creator>
  <cp:keywords/>
  <dc:description/>
  <cp:lastModifiedBy>akshat singh</cp:lastModifiedBy>
  <cp:revision>13</cp:revision>
  <dcterms:created xsi:type="dcterms:W3CDTF">2025-04-28T05:09:00Z</dcterms:created>
  <dcterms:modified xsi:type="dcterms:W3CDTF">2025-05-07T05:38:00Z</dcterms:modified>
</cp:coreProperties>
</file>