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ustomer-default-prediction"/>
    <w:p>
      <w:pPr>
        <w:pStyle w:val="Heading1"/>
      </w:pPr>
      <w:r>
        <w:t xml:space="preserve">Customer Default Prediction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predicts whether a credit card customer will default on their payment in the next month using machine learning techniques.</w:t>
      </w:r>
    </w:p>
    <w:p>
      <w:pPr>
        <w:pStyle w:val="BodyText"/>
      </w:pPr>
      <w:r>
        <w:t xml:space="preserve">The objective is to help financial institutions identify high-risk customers early, enabling better credit risk management and reducing potential financial losses.</w: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Credit card defaults can lead to significant losses for banks and financial institutions. By analyzing customer demographics, credit limits, billing information, payment history, and repayment behavior, we aim to build a predictive model that estimates the probability of customer default.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→ No Default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→ Default</w:t>
      </w:r>
    </w:p>
    <w:bookmarkEnd w:id="21"/>
    <w:bookmarkStart w:id="23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Default of Credit Card Clients Dataset</w:t>
      </w:r>
    </w:p>
    <w:p>
      <w:pPr>
        <w:pStyle w:val="Compact"/>
        <w:numPr>
          <w:ilvl w:val="0"/>
          <w:numId w:val="1002"/>
        </w:numPr>
      </w:pPr>
      <w:r>
        <w:t xml:space="preserve">Number of records: 30,000</w:t>
      </w:r>
    </w:p>
    <w:p>
      <w:pPr>
        <w:pStyle w:val="Compact"/>
        <w:numPr>
          <w:ilvl w:val="0"/>
          <w:numId w:val="1002"/>
        </w:numPr>
      </w:pPr>
      <w:r>
        <w:t xml:space="preserve">Number of features: 25 original features</w:t>
      </w:r>
    </w:p>
    <w:p>
      <w:pPr>
        <w:pStyle w:val="Compact"/>
        <w:numPr>
          <w:ilvl w:val="0"/>
          <w:numId w:val="1002"/>
        </w:numPr>
      </w:pPr>
      <w:r>
        <w:t xml:space="preserve">Target variable:</w:t>
      </w:r>
      <w:r>
        <w:t xml:space="preserve"> </w:t>
      </w:r>
      <w:r>
        <w:rPr>
          <w:rStyle w:val="VerbatimChar"/>
        </w:rPr>
        <w:t xml:space="preserve">default.payment.next.month</w:t>
      </w:r>
    </w:p>
    <w:bookmarkStart w:id="22" w:name="feature-categories"/>
    <w:p>
      <w:pPr>
        <w:pStyle w:val="Heading3"/>
      </w:pPr>
      <w:r>
        <w:t xml:space="preserve">Feature Categories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Demographic Information:</w:t>
      </w:r>
      <w:r>
        <w:t xml:space="preserve"> </w:t>
      </w:r>
      <w:r>
        <w:t xml:space="preserve">SEX, EDUCATION, MARRIAGE, 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Information:</w:t>
      </w:r>
      <w:r>
        <w:t xml:space="preserve"> </w:t>
      </w:r>
      <w:r>
        <w:t xml:space="preserve">LIMIT_BAL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Repayment History:</w:t>
      </w:r>
      <w:r>
        <w:t xml:space="preserve"> </w:t>
      </w:r>
      <w:r>
        <w:t xml:space="preserve">PAY_0 to PAY_6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Bill Statements:</w:t>
      </w:r>
      <w:r>
        <w:t xml:space="preserve"> </w:t>
      </w:r>
      <w:r>
        <w:t xml:space="preserve">BILL_AMT1 to BILL_AMT6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Previous Payments:</w:t>
      </w:r>
      <w:r>
        <w:t xml:space="preserve"> </w:t>
      </w:r>
      <w:r>
        <w:t xml:space="preserve">PAY_AMT1 to PAY_AMT6</w:t>
      </w:r>
    </w:p>
    <w:bookmarkEnd w:id="22"/>
    <w:bookmarkEnd w:id="23"/>
    <w:bookmarkStart w:id="24" w:name="project-workflow"/>
    <w:p>
      <w:pPr>
        <w:pStyle w:val="Heading2"/>
      </w:pPr>
      <w:r>
        <w:t xml:space="preserve">Project Workflow</w:t>
      </w:r>
    </w:p>
    <w:p>
      <w:pPr>
        <w:pStyle w:val="Compact"/>
        <w:numPr>
          <w:ilvl w:val="0"/>
          <w:numId w:val="1004"/>
        </w:numPr>
      </w:pPr>
      <w:r>
        <w:t xml:space="preserve">Data Loading and Understanding</w:t>
      </w:r>
    </w:p>
    <w:p>
      <w:pPr>
        <w:pStyle w:val="Compact"/>
        <w:numPr>
          <w:ilvl w:val="0"/>
          <w:numId w:val="1004"/>
        </w:numPr>
      </w:pPr>
      <w:r>
        <w:t xml:space="preserve">Exploratory Data Analysis (EDA)</w:t>
      </w:r>
    </w:p>
    <w:p>
      <w:pPr>
        <w:pStyle w:val="Compact"/>
        <w:numPr>
          <w:ilvl w:val="0"/>
          <w:numId w:val="1004"/>
        </w:numPr>
      </w:pPr>
      <w:r>
        <w:t xml:space="preserve">Data Cleaning</w:t>
      </w:r>
    </w:p>
    <w:p>
      <w:pPr>
        <w:pStyle w:val="Compact"/>
        <w:numPr>
          <w:ilvl w:val="0"/>
          <w:numId w:val="1004"/>
        </w:numPr>
      </w:pPr>
      <w:r>
        <w:t xml:space="preserve">Feature Engineering</w:t>
      </w:r>
    </w:p>
    <w:p>
      <w:pPr>
        <w:pStyle w:val="Compact"/>
        <w:numPr>
          <w:ilvl w:val="0"/>
          <w:numId w:val="1004"/>
        </w:numPr>
      </w:pPr>
      <w:r>
        <w:t xml:space="preserve">Data Preprocessing</w:t>
      </w:r>
    </w:p>
    <w:p>
      <w:pPr>
        <w:pStyle w:val="Compact"/>
        <w:numPr>
          <w:ilvl w:val="0"/>
          <w:numId w:val="1004"/>
        </w:numPr>
      </w:pPr>
      <w:r>
        <w:t xml:space="preserve">Model Building</w:t>
      </w:r>
    </w:p>
    <w:p>
      <w:pPr>
        <w:pStyle w:val="Compact"/>
        <w:numPr>
          <w:ilvl w:val="0"/>
          <w:numId w:val="1004"/>
        </w:numPr>
      </w:pPr>
      <w:r>
        <w:t xml:space="preserve">Model Evaluation</w:t>
      </w:r>
    </w:p>
    <w:p>
      <w:pPr>
        <w:pStyle w:val="Compact"/>
        <w:numPr>
          <w:ilvl w:val="0"/>
          <w:numId w:val="1004"/>
        </w:numPr>
      </w:pPr>
      <w:r>
        <w:t xml:space="preserve">Feature Importance Analysis</w:t>
      </w:r>
    </w:p>
    <w:p>
      <w:pPr>
        <w:pStyle w:val="Compact"/>
        <w:numPr>
          <w:ilvl w:val="0"/>
          <w:numId w:val="1004"/>
        </w:numPr>
      </w:pPr>
      <w:r>
        <w:t xml:space="preserve">Business Insights</w:t>
      </w:r>
    </w:p>
    <w:bookmarkEnd w:id="24"/>
    <w:bookmarkStart w:id="25" w:name="data-preprocessing"/>
    <w:p>
      <w:pPr>
        <w:pStyle w:val="Heading2"/>
      </w:pPr>
      <w:r>
        <w:t xml:space="preserve">Data Preprocessing</w:t>
      </w:r>
    </w:p>
    <w:p>
      <w:pPr>
        <w:pStyle w:val="Compact"/>
        <w:numPr>
          <w:ilvl w:val="0"/>
          <w:numId w:val="1005"/>
        </w:numPr>
      </w:pPr>
      <w:r>
        <w:t xml:space="preserve">Removed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05"/>
        </w:numPr>
      </w:pPr>
      <w:r>
        <w:t xml:space="preserve">Handled undocumented categories in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MARRIAGE</w:t>
      </w:r>
    </w:p>
    <w:p>
      <w:pPr>
        <w:pStyle w:val="Compact"/>
        <w:numPr>
          <w:ilvl w:val="0"/>
          <w:numId w:val="1005"/>
        </w:numPr>
      </w:pPr>
      <w:r>
        <w:t xml:space="preserve">Created new features: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TOTAL_PAYMENT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TOTAL_BILL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PAYMENT_RATIO</w:t>
      </w:r>
    </w:p>
    <w:p>
      <w:pPr>
        <w:pStyle w:val="Compact"/>
        <w:numPr>
          <w:ilvl w:val="0"/>
          <w:numId w:val="1005"/>
        </w:numPr>
      </w:pPr>
      <w:r>
        <w:t xml:space="preserve">Applied train-test split with stratification</w:t>
      </w:r>
    </w:p>
    <w:p>
      <w:pPr>
        <w:pStyle w:val="Compact"/>
        <w:numPr>
          <w:ilvl w:val="0"/>
          <w:numId w:val="1005"/>
        </w:numPr>
      </w:pPr>
      <w:r>
        <w:t xml:space="preserve">Standardized features for Logistic Regression</w:t>
      </w:r>
    </w:p>
    <w:bookmarkEnd w:id="25"/>
    <w:bookmarkStart w:id="26" w:name="models-evaluated"/>
    <w:p>
      <w:pPr>
        <w:pStyle w:val="Heading2"/>
      </w:pPr>
      <w:r>
        <w:t xml:space="preserve">Models Evaluated</w:t>
      </w:r>
    </w:p>
    <w:p>
      <w:pPr>
        <w:pStyle w:val="Compact"/>
        <w:numPr>
          <w:ilvl w:val="0"/>
          <w:numId w:val="1007"/>
        </w:numPr>
      </w:pPr>
      <w:r>
        <w:t xml:space="preserve">Logistic Regression</w:t>
      </w:r>
    </w:p>
    <w:p>
      <w:pPr>
        <w:pStyle w:val="Compact"/>
        <w:numPr>
          <w:ilvl w:val="0"/>
          <w:numId w:val="1007"/>
        </w:numPr>
      </w:pPr>
      <w:r>
        <w:t xml:space="preserve">Decision Tree Classifier</w:t>
      </w:r>
    </w:p>
    <w:p>
      <w:pPr>
        <w:pStyle w:val="Compact"/>
        <w:numPr>
          <w:ilvl w:val="0"/>
          <w:numId w:val="1007"/>
        </w:numPr>
      </w:pPr>
      <w:r>
        <w:t xml:space="preserve">Random Forest Classifier</w:t>
      </w:r>
    </w:p>
    <w:p>
      <w:pPr>
        <w:pStyle w:val="Compact"/>
        <w:numPr>
          <w:ilvl w:val="0"/>
          <w:numId w:val="1007"/>
        </w:numPr>
      </w:pPr>
      <w:r>
        <w:t xml:space="preserve">Gradient Boosting Classifier</w:t>
      </w:r>
    </w:p>
    <w:bookmarkEnd w:id="26"/>
    <w:bookmarkStart w:id="28" w:name="results"/>
    <w:p>
      <w:pPr>
        <w:pStyle w:val="Heading2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1502"/>
        <w:gridCol w:w="1638"/>
        <w:gridCol w:w="1092"/>
        <w:gridCol w:w="150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80.85%</w:t>
            </w:r>
          </w:p>
        </w:tc>
        <w:tc>
          <w:tcPr/>
          <w:p>
            <w:pPr>
              <w:pStyle w:val="Compact"/>
            </w:pPr>
            <w:r>
              <w:t xml:space="preserve">69.18%</w:t>
            </w:r>
          </w:p>
        </w:tc>
        <w:tc>
          <w:tcPr/>
          <w:p>
            <w:pPr>
              <w:pStyle w:val="Compact"/>
            </w:pPr>
            <w:r>
              <w:t xml:space="preserve">24.19%</w:t>
            </w:r>
          </w:p>
        </w:tc>
        <w:tc>
          <w:tcPr/>
          <w:p>
            <w:pPr>
              <w:pStyle w:val="Compact"/>
            </w:pPr>
            <w:r>
              <w:t xml:space="preserve">35.85%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72.40%</w:t>
            </w:r>
          </w:p>
        </w:tc>
        <w:tc>
          <w:tcPr/>
          <w:p>
            <w:pPr>
              <w:pStyle w:val="Compact"/>
            </w:pPr>
            <w:r>
              <w:t xml:space="preserve">38.37%</w:t>
            </w:r>
          </w:p>
        </w:tc>
        <w:tc>
          <w:tcPr/>
          <w:p>
            <w:pPr>
              <w:pStyle w:val="Compact"/>
            </w:pPr>
            <w:r>
              <w:t xml:space="preserve">40.92%</w:t>
            </w:r>
          </w:p>
        </w:tc>
        <w:tc>
          <w:tcPr/>
          <w:p>
            <w:pPr>
              <w:pStyle w:val="Compact"/>
            </w:pPr>
            <w:r>
              <w:t xml:space="preserve">39.61%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81.37%</w:t>
            </w:r>
          </w:p>
        </w:tc>
        <w:tc>
          <w:tcPr/>
          <w:p>
            <w:pPr>
              <w:pStyle w:val="Compact"/>
            </w:pPr>
            <w:r>
              <w:t xml:space="preserve">64.10%</w:t>
            </w:r>
          </w:p>
        </w:tc>
        <w:tc>
          <w:tcPr/>
          <w:p>
            <w:pPr>
              <w:pStyle w:val="Compact"/>
            </w:pPr>
            <w:r>
              <w:t xml:space="preserve">35.80%</w:t>
            </w:r>
          </w:p>
        </w:tc>
        <w:tc>
          <w:tcPr/>
          <w:p>
            <w:pPr>
              <w:pStyle w:val="Compact"/>
            </w:pPr>
            <w:r>
              <w:t xml:space="preserve">45.94%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81.87%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66.62%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46.82%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0.781</w:t>
            </w:r>
          </w:p>
        </w:tc>
      </w:tr>
    </w:tbl>
    <w:bookmarkStart w:id="27" w:name="best-model"/>
    <w:p>
      <w:pPr>
        <w:pStyle w:val="Heading3"/>
      </w:pPr>
      <w:r>
        <w:t xml:space="preserve">Best Model</w:t>
      </w:r>
    </w:p>
    <w:p>
      <w:pPr>
        <w:pStyle w:val="FirstParagraph"/>
      </w:pPr>
      <w:r>
        <w:rPr>
          <w:b/>
          <w:bCs/>
        </w:rPr>
        <w:t xml:space="preserve">Gradient Boosting</w:t>
      </w:r>
      <w:r>
        <w:t xml:space="preserve"> </w:t>
      </w:r>
      <w:r>
        <w:t xml:space="preserve">achieved the best overall performance with:</w:t>
      </w:r>
    </w:p>
    <w:p>
      <w:pPr>
        <w:pStyle w:val="Compact"/>
        <w:numPr>
          <w:ilvl w:val="0"/>
          <w:numId w:val="1008"/>
        </w:numPr>
      </w:pPr>
      <w:r>
        <w:t xml:space="preserve">Accuracy: 81.87%</w:t>
      </w:r>
    </w:p>
    <w:p>
      <w:pPr>
        <w:pStyle w:val="Compact"/>
        <w:numPr>
          <w:ilvl w:val="0"/>
          <w:numId w:val="1008"/>
        </w:numPr>
      </w:pPr>
      <w:r>
        <w:t xml:space="preserve">F1 Score: 46.82%</w:t>
      </w:r>
    </w:p>
    <w:p>
      <w:pPr>
        <w:pStyle w:val="Compact"/>
        <w:numPr>
          <w:ilvl w:val="0"/>
          <w:numId w:val="1008"/>
        </w:numPr>
      </w:pPr>
      <w:r>
        <w:t xml:space="preserve">ROC-AUC: 0.781</w:t>
      </w:r>
    </w:p>
    <w:bookmarkEnd w:id="27"/>
    <w:bookmarkEnd w:id="28"/>
    <w:bookmarkStart w:id="29" w:name="key-insights"/>
    <w:p>
      <w:pPr>
        <w:pStyle w:val="Heading2"/>
      </w:pPr>
      <w:r>
        <w:t xml:space="preserve">Key Insights</w:t>
      </w:r>
    </w:p>
    <w:p>
      <w:pPr>
        <w:pStyle w:val="Compact"/>
        <w:numPr>
          <w:ilvl w:val="0"/>
          <w:numId w:val="1009"/>
        </w:numPr>
      </w:pPr>
      <w:r>
        <w:t xml:space="preserve">Recent repayment history (</w:t>
      </w:r>
      <w:r>
        <w:rPr>
          <w:rStyle w:val="VerbatimChar"/>
        </w:rPr>
        <w:t xml:space="preserve">PAY_0</w:t>
      </w:r>
      <w:r>
        <w:t xml:space="preserve">) was the strongest predictor of default risk.</w:t>
      </w:r>
    </w:p>
    <w:p>
      <w:pPr>
        <w:pStyle w:val="Compact"/>
        <w:numPr>
          <w:ilvl w:val="0"/>
          <w:numId w:val="1009"/>
        </w:numPr>
      </w:pPr>
      <w:r>
        <w:t xml:space="preserve">Customers with repeated payment delays were significantly more likely to default.</w:t>
      </w:r>
    </w:p>
    <w:p>
      <w:pPr>
        <w:pStyle w:val="Compact"/>
        <w:numPr>
          <w:ilvl w:val="0"/>
          <w:numId w:val="1009"/>
        </w:numPr>
      </w:pPr>
      <w:r>
        <w:t xml:space="preserve">Financial behavior was more predictive than demographic characteristics.</w:t>
      </w:r>
    </w:p>
    <w:p>
      <w:pPr>
        <w:pStyle w:val="Compact"/>
        <w:numPr>
          <w:ilvl w:val="0"/>
          <w:numId w:val="1009"/>
        </w:numPr>
      </w:pPr>
      <w:r>
        <w:t xml:space="preserve">Engineered features such as</w:t>
      </w:r>
      <w:r>
        <w:t xml:space="preserve"> </w:t>
      </w:r>
      <w:r>
        <w:rPr>
          <w:rStyle w:val="VerbatimChar"/>
        </w:rPr>
        <w:t xml:space="preserve">PAYMENT_RATIO</w:t>
      </w:r>
      <w:r>
        <w:t xml:space="preserve"> </w:t>
      </w:r>
      <w:r>
        <w:t xml:space="preserve">improved model performance.</w:t>
      </w:r>
    </w:p>
    <w:bookmarkEnd w:id="29"/>
    <w:bookmarkStart w:id="30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10"/>
        </w:numPr>
      </w:pPr>
      <w:r>
        <w:t xml:space="preserve">Handle class imbalance using SMOTE or class weights</w:t>
      </w:r>
    </w:p>
    <w:p>
      <w:pPr>
        <w:pStyle w:val="Compact"/>
        <w:numPr>
          <w:ilvl w:val="0"/>
          <w:numId w:val="1010"/>
        </w:numPr>
      </w:pPr>
      <w:r>
        <w:t xml:space="preserve">Optimize classification threshold to improve recall</w:t>
      </w:r>
    </w:p>
    <w:p>
      <w:pPr>
        <w:pStyle w:val="Compact"/>
        <w:numPr>
          <w:ilvl w:val="0"/>
          <w:numId w:val="1010"/>
        </w:numPr>
      </w:pPr>
      <w:r>
        <w:t xml:space="preserve">Experiment with advanced boosting algorithms such as XGBoost and CatBoost</w:t>
      </w:r>
    </w:p>
    <w:p>
      <w:pPr>
        <w:pStyle w:val="Compact"/>
        <w:numPr>
          <w:ilvl w:val="0"/>
          <w:numId w:val="1010"/>
        </w:numPr>
      </w:pPr>
      <w:r>
        <w:t xml:space="preserve">Deploy the model using Streamlit or FastAPI</w:t>
      </w:r>
    </w:p>
    <w:bookmarkEnd w:id="30"/>
    <w:bookmarkStart w:id="31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11"/>
        </w:numPr>
      </w:pPr>
      <w:r>
        <w:t xml:space="preserve">Python</w:t>
      </w:r>
    </w:p>
    <w:p>
      <w:pPr>
        <w:pStyle w:val="Compact"/>
        <w:numPr>
          <w:ilvl w:val="0"/>
          <w:numId w:val="1011"/>
        </w:numPr>
      </w:pPr>
      <w:r>
        <w:t xml:space="preserve">Pandas</w:t>
      </w:r>
    </w:p>
    <w:p>
      <w:pPr>
        <w:pStyle w:val="Compact"/>
        <w:numPr>
          <w:ilvl w:val="0"/>
          <w:numId w:val="1011"/>
        </w:numPr>
      </w:pPr>
      <w:r>
        <w:t xml:space="preserve">NumPy</w:t>
      </w:r>
    </w:p>
    <w:p>
      <w:pPr>
        <w:pStyle w:val="Compact"/>
        <w:numPr>
          <w:ilvl w:val="0"/>
          <w:numId w:val="1011"/>
        </w:numPr>
      </w:pPr>
      <w:r>
        <w:t xml:space="preserve">Matplotlib</w:t>
      </w:r>
    </w:p>
    <w:p>
      <w:pPr>
        <w:pStyle w:val="Compact"/>
        <w:numPr>
          <w:ilvl w:val="0"/>
          <w:numId w:val="1011"/>
        </w:numPr>
      </w:pPr>
      <w:r>
        <w:t xml:space="preserve">Seaborn</w:t>
      </w:r>
    </w:p>
    <w:p>
      <w:pPr>
        <w:pStyle w:val="Compact"/>
        <w:numPr>
          <w:ilvl w:val="0"/>
          <w:numId w:val="1011"/>
        </w:numPr>
      </w:pPr>
      <w:r>
        <w:t xml:space="preserve">Scikit-learn</w:t>
      </w:r>
    </w:p>
    <w:p>
      <w:pPr>
        <w:pStyle w:val="Compact"/>
        <w:numPr>
          <w:ilvl w:val="0"/>
          <w:numId w:val="1011"/>
        </w:numPr>
      </w:pPr>
      <w:r>
        <w:t xml:space="preserve">Google Colab</w:t>
      </w:r>
    </w:p>
    <w:bookmarkEnd w:id="31"/>
    <w:bookmarkStart w:id="32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Customer_Default_Prediction/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Customer_Default_Prediction.ipynb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└── data/</w:t>
      </w:r>
    </w:p>
    <w:bookmarkEnd w:id="32"/>
    <w:bookmarkStart w:id="33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Akshat Singh Amera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2026-06-15T06:07:13Z</dcterms:created>
  <dcterms:modified xsi:type="dcterms:W3CDTF">2026-06-15T06:07:13Z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