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spacing w:after="120"/>
        <w:jc w:val="center"/>
      </w:pPr>
      <w:r>
        <w:rPr>
          <w:rFonts w:ascii="Aptos" w:hAnsi="Aptos" w:cs="Aptos" w:eastAsia="Aptos"/>
          <w:b/>
          <w:i w:val="0"/>
          <w:color w:val="1A1A2E"/>
          <w:sz w:val="40"/>
        </w:rPr>
        <w:t>MAINTENANCE &amp; SUPPORT SLA</w:t>
      </w:r>
    </w:p>
    <w:p>
      <w:pPr>
        <w:spacing w:before="40" w:after="40"/>
        <w:pBdr>
          <w:bottom w:val="single" w:sz="16" w:space="1" w:color="D4AF37"/>
        </w:pBdr>
      </w:pPr>
    </w:p>
    <w:p>
      <w:pPr>
        <w:spacing w:before="120" w:after="80"/>
        <w:jc w:val="center"/>
      </w:pPr>
      <w:r>
        <w:rPr>
          <w:rFonts w:ascii="Aptos" w:hAnsi="Aptos" w:cs="Aptos" w:eastAsia="Aptos"/>
          <w:b w:val="0"/>
          <w:i/>
          <w:color w:val="444444"/>
          <w:sz w:val="28"/>
        </w:rPr>
        <w:t>Vishal Gold App — Service Level Agreement for Post-Delivery Support</w:t>
      </w:r>
    </w:p>
    <w:p>
      <w:pPr>
        <w:spacing w:after="0"/>
      </w:pPr>
    </w:p>
    <w:p>
      <w:pPr>
        <w:spacing w:after="0"/>
      </w:pPr>
    </w:p>
    <w:p>
      <w:pPr>
        <w:spacing w:after="0"/>
      </w:pPr>
    </w:p>
    <w:tbl>
      <w:tblPr>
        <w:tblStyle w:val="TableGrid"/>
        <w:tblW w:type="auto" w:w="0"/>
        <w:jc w:val="center"/>
        <w:tblLook w:firstColumn="1" w:firstRow="1" w:lastColumn="0" w:lastRow="0" w:noHBand="0" w:noVBand="1" w:val="04A0"/>
      </w:tblPr>
      <w:tblGrid>
        <w:gridCol w:w="4561"/>
        <w:gridCol w:w="4561"/>
      </w:tblGrid>
      <w:tr>
        <w:tc>
          <w:tcPr>
            <w:tcW w:type="dxa" w:w="2592"/>
            <w:shd w:val="clear" w:color="auto" w:fill="1A1A2E"/>
          </w:tcPr>
          <w:p>
            <w:r>
              <w:rPr>
                <w:rFonts w:ascii="Aptos" w:hAnsi="Aptos" w:cs="Aptos" w:eastAsia="Aptos"/>
                <w:b/>
                <w:i w:val="0"/>
                <w:color w:val="FFFFFF"/>
                <w:sz w:val="22"/>
              </w:rPr>
              <w:t>Project</w:t>
            </w:r>
          </w:p>
        </w:tc>
        <w:tc>
          <w:tcPr>
            <w:tcW w:type="dxa" w:w="5040"/>
          </w:tcPr>
          <w:p>
            <w:r>
              <w:rPr>
                <w:rFonts w:ascii="Aptos" w:hAnsi="Aptos" w:cs="Aptos" w:eastAsia="Aptos"/>
                <w:b w:val="0"/>
                <w:i w:val="0"/>
                <w:sz w:val="22"/>
              </w:rPr>
              <w:t>Vishal Gold — B2B/B2C Jewelry App</w:t>
            </w:r>
          </w:p>
        </w:tc>
      </w:tr>
      <w:tr>
        <w:tc>
          <w:tcPr>
            <w:tcW w:type="dxa" w:w="2592"/>
            <w:shd w:val="clear" w:color="auto" w:fill="1A1A2E"/>
          </w:tcPr>
          <w:p>
            <w:r>
              <w:rPr>
                <w:rFonts w:ascii="Aptos" w:hAnsi="Aptos" w:cs="Aptos" w:eastAsia="Aptos"/>
                <w:b/>
                <w:i w:val="0"/>
                <w:color w:val="FFFFFF"/>
                <w:sz w:val="22"/>
              </w:rPr>
              <w:t>Prepared For</w:t>
            </w:r>
          </w:p>
        </w:tc>
        <w:tc>
          <w:tcPr>
            <w:tcW w:type="dxa" w:w="5040"/>
          </w:tcPr>
          <w:p>
            <w:r>
              <w:rPr>
                <w:rFonts w:ascii="Aptos" w:hAnsi="Aptos" w:cs="Aptos" w:eastAsia="Aptos"/>
                <w:b w:val="0"/>
                <w:i w:val="0"/>
                <w:sz w:val="22"/>
              </w:rPr>
              <w:t>Vishal Gold Management</w:t>
            </w:r>
          </w:p>
        </w:tc>
      </w:tr>
      <w:tr>
        <w:tc>
          <w:tcPr>
            <w:tcW w:type="dxa" w:w="2592"/>
            <w:shd w:val="clear" w:color="auto" w:fill="1A1A2E"/>
          </w:tcPr>
          <w:p>
            <w:r>
              <w:rPr>
                <w:rFonts w:ascii="Aptos" w:hAnsi="Aptos" w:cs="Aptos" w:eastAsia="Aptos"/>
                <w:b/>
                <w:i w:val="0"/>
                <w:color w:val="FFFFFF"/>
                <w:sz w:val="22"/>
              </w:rPr>
              <w:t>Prepared By</w:t>
            </w:r>
          </w:p>
        </w:tc>
        <w:tc>
          <w:tcPr>
            <w:tcW w:type="dxa" w:w="5040"/>
          </w:tcPr>
          <w:p>
            <w:r>
              <w:rPr>
                <w:rFonts w:ascii="Aptos" w:hAnsi="Aptos" w:cs="Aptos" w:eastAsia="Aptos"/>
                <w:b w:val="0"/>
                <w:i w:val="0"/>
                <w:sz w:val="22"/>
              </w:rPr>
              <w:t>Engineering Delivery Team</w:t>
            </w:r>
          </w:p>
        </w:tc>
      </w:tr>
      <w:tr>
        <w:tc>
          <w:tcPr>
            <w:tcW w:type="dxa" w:w="2592"/>
            <w:shd w:val="clear" w:color="auto" w:fill="1A1A2E"/>
          </w:tcPr>
          <w:p>
            <w:r>
              <w:rPr>
                <w:rFonts w:ascii="Aptos" w:hAnsi="Aptos" w:cs="Aptos" w:eastAsia="Aptos"/>
                <w:b/>
                <w:i w:val="0"/>
                <w:color w:val="FFFFFF"/>
                <w:sz w:val="22"/>
              </w:rPr>
              <w:t>Version</w:t>
            </w:r>
          </w:p>
        </w:tc>
        <w:tc>
          <w:tcPr>
            <w:tcW w:type="dxa" w:w="5040"/>
          </w:tcPr>
          <w:p>
            <w:r>
              <w:rPr>
                <w:rFonts w:ascii="Aptos" w:hAnsi="Aptos" w:cs="Aptos" w:eastAsia="Aptos"/>
                <w:b w:val="0"/>
                <w:i w:val="0"/>
                <w:sz w:val="22"/>
              </w:rPr>
              <w:t>v1.0</w:t>
            </w:r>
          </w:p>
        </w:tc>
      </w:tr>
      <w:tr>
        <w:tc>
          <w:tcPr>
            <w:tcW w:type="dxa" w:w="2592"/>
            <w:shd w:val="clear" w:color="auto" w:fill="1A1A2E"/>
          </w:tcPr>
          <w:p>
            <w:r>
              <w:rPr>
                <w:rFonts w:ascii="Aptos" w:hAnsi="Aptos" w:cs="Aptos" w:eastAsia="Aptos"/>
                <w:b/>
                <w:i w:val="0"/>
                <w:color w:val="FFFFFF"/>
                <w:sz w:val="22"/>
              </w:rPr>
              <w:t>Date</w:t>
            </w:r>
          </w:p>
        </w:tc>
        <w:tc>
          <w:tcPr>
            <w:tcW w:type="dxa" w:w="5040"/>
          </w:tcPr>
          <w:p>
            <w:r>
              <w:rPr>
                <w:rFonts w:ascii="Aptos" w:hAnsi="Aptos" w:cs="Aptos" w:eastAsia="Aptos"/>
                <w:b w:val="0"/>
                <w:i w:val="0"/>
                <w:sz w:val="22"/>
              </w:rPr>
              <w:t>February 25, 2026</w:t>
            </w:r>
          </w:p>
        </w:tc>
      </w:tr>
    </w:tbl>
    <w:p>
      <w:r>
        <w:br w:type="page"/>
      </w:r>
    </w:p>
    <w:p>
      <w:pPr>
        <w:spacing w:before="360" w:after="80"/>
      </w:pPr>
      <w:r>
        <w:rPr>
          <w:rFonts w:ascii="Aptos" w:hAnsi="Aptos" w:cs="Aptos" w:eastAsia="Aptos"/>
          <w:b/>
          <w:i w:val="0"/>
          <w:color w:val="1A1A2E"/>
          <w:sz w:val="40"/>
        </w:rPr>
        <w:t>Table of Contents</w:t>
      </w:r>
    </w:p>
    <w:p>
      <w:pPr>
        <w:spacing w:before="40" w:after="40"/>
        <w:pBdr>
          <w:bottom w:val="single" w:sz="8" w:space="1" w:color="D4AF37"/>
        </w:pBdr>
      </w:pPr>
    </w:p>
    <w:p>
      <w:pPr>
        <w:spacing w:after="60"/>
      </w:pPr>
      <w:r>
        <w:rPr>
          <w:rFonts w:ascii="Aptos" w:hAnsi="Aptos" w:cs="Aptos" w:eastAsia="Aptos"/>
          <w:b w:val="0"/>
          <w:i w:val="0"/>
          <w:color w:val="444444"/>
          <w:sz w:val="24"/>
        </w:rPr>
        <w:t>1. Agreement Overview</w:t>
      </w:r>
    </w:p>
    <w:p>
      <w:pPr>
        <w:spacing w:after="60"/>
      </w:pPr>
      <w:r>
        <w:rPr>
          <w:rFonts w:ascii="Aptos" w:hAnsi="Aptos" w:cs="Aptos" w:eastAsia="Aptos"/>
          <w:b w:val="0"/>
          <w:i w:val="0"/>
          <w:color w:val="444444"/>
          <w:sz w:val="24"/>
        </w:rPr>
        <w:t>2. Support Scope</w:t>
      </w:r>
    </w:p>
    <w:p>
      <w:pPr>
        <w:spacing w:after="60"/>
      </w:pPr>
      <w:r>
        <w:rPr>
          <w:rFonts w:ascii="Aptos" w:hAnsi="Aptos" w:cs="Aptos" w:eastAsia="Aptos"/>
          <w:b w:val="0"/>
          <w:i w:val="0"/>
          <w:color w:val="444444"/>
          <w:sz w:val="24"/>
        </w:rPr>
        <w:t>3. Support Tiers &amp; Issue Classification</w:t>
      </w:r>
    </w:p>
    <w:p>
      <w:pPr>
        <w:spacing w:after="60"/>
      </w:pPr>
      <w:r>
        <w:rPr>
          <w:rFonts w:ascii="Aptos" w:hAnsi="Aptos" w:cs="Aptos" w:eastAsia="Aptos"/>
          <w:b w:val="0"/>
          <w:i w:val="0"/>
          <w:color w:val="444444"/>
          <w:sz w:val="24"/>
        </w:rPr>
        <w:t>4. Response &amp; Resolution Commitments</w:t>
      </w:r>
    </w:p>
    <w:p>
      <w:pPr>
        <w:spacing w:after="60"/>
      </w:pPr>
      <w:r>
        <w:rPr>
          <w:rFonts w:ascii="Aptos" w:hAnsi="Aptos" w:cs="Aptos" w:eastAsia="Aptos"/>
          <w:b w:val="0"/>
          <w:i w:val="0"/>
          <w:color w:val="444444"/>
          <w:sz w:val="24"/>
        </w:rPr>
        <w:t>5. Support Channels &amp; Hours</w:t>
      </w:r>
    </w:p>
    <w:p>
      <w:pPr>
        <w:spacing w:after="60"/>
      </w:pPr>
      <w:r>
        <w:rPr>
          <w:rFonts w:ascii="Aptos" w:hAnsi="Aptos" w:cs="Aptos" w:eastAsia="Aptos"/>
          <w:b w:val="0"/>
          <w:i w:val="0"/>
          <w:color w:val="444444"/>
          <w:sz w:val="24"/>
        </w:rPr>
        <w:t>6. Out-of-Scope Items</w:t>
      </w:r>
    </w:p>
    <w:p>
      <w:pPr>
        <w:spacing w:after="60"/>
      </w:pPr>
      <w:r>
        <w:rPr>
          <w:rFonts w:ascii="Aptos" w:hAnsi="Aptos" w:cs="Aptos" w:eastAsia="Aptos"/>
          <w:b w:val="0"/>
          <w:i w:val="0"/>
          <w:color w:val="444444"/>
          <w:sz w:val="24"/>
        </w:rPr>
        <w:t>7. Escalation Procedure</w:t>
      </w:r>
    </w:p>
    <w:p>
      <w:pPr>
        <w:spacing w:after="60"/>
      </w:pPr>
      <w:r>
        <w:rPr>
          <w:rFonts w:ascii="Aptos" w:hAnsi="Aptos" w:cs="Aptos" w:eastAsia="Aptos"/>
          <w:b w:val="0"/>
          <w:i w:val="0"/>
          <w:color w:val="444444"/>
          <w:sz w:val="24"/>
        </w:rPr>
        <w:t>8. SLA Review</w:t>
      </w:r>
    </w:p>
    <w:p>
      <w:pPr>
        <w:spacing w:after="60"/>
      </w:pPr>
      <w:r>
        <w:rPr>
          <w:rFonts w:ascii="Aptos" w:hAnsi="Aptos" w:cs="Aptos" w:eastAsia="Aptos"/>
          <w:b w:val="0"/>
          <w:i w:val="0"/>
          <w:color w:val="444444"/>
          <w:sz w:val="24"/>
        </w:rPr>
        <w:t>9. Authorization &amp; Sign-Off</w:t>
      </w:r>
    </w:p>
    <w:p>
      <w:r>
        <w:br w:type="page"/>
      </w:r>
    </w:p>
    <w:p>
      <w:pPr>
        <w:spacing w:before="360" w:after="80"/>
      </w:pPr>
      <w:r>
        <w:rPr>
          <w:rFonts w:ascii="Aptos" w:hAnsi="Aptos" w:cs="Aptos" w:eastAsia="Aptos"/>
          <w:b/>
          <w:i w:val="0"/>
          <w:color w:val="1A1A2E"/>
          <w:sz w:val="40"/>
        </w:rPr>
        <w:t>1. Agreement Overview</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This Service Level Agreement (SLA) defines the terms and conditions of post-delivery maintenance and technical support provided by the Engineering Delivery Team (hereinafter referred to as 'the Support Provider') to Vishal Gold (hereinafter referred to as 'the Client') following the formal handover of the Vishal Gold mobile application.</w:t>
      </w:r>
    </w:p>
    <w:p>
      <w:pPr>
        <w:spacing w:after="160"/>
        <w:ind w:firstLine="0"/>
        <w:jc w:val="both"/>
      </w:pPr>
      <w:r>
        <w:rPr>
          <w:rFonts w:ascii="Aptos" w:hAnsi="Aptos" w:cs="Aptos" w:eastAsia="Aptos"/>
          <w:b w:val="0"/>
          <w:i w:val="0"/>
          <w:color w:val="444444"/>
          <w:sz w:val="24"/>
        </w:rPr>
        <w:t>This agreement becomes effective from the date of both parties' signatures on the Project Completion Report and the acceptance of this document. It supersedes any informal support commitments made during the project development phase.</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Pr>
          <w:p>
            <w:pPr>
              <w:jc w:val="center"/>
            </w:pPr>
            <w:r>
              <w:rPr>
                <w:rFonts w:ascii="Aptos" w:hAnsi="Aptos" w:cs="Aptos" w:eastAsia="Aptos"/>
                <w:b/>
                <w:i w:val="0"/>
                <w:color w:val="FFFFFF"/>
                <w:sz w:val="22"/>
              </w:rPr>
              <w:t>Attribute</w:t>
            </w:r>
          </w:p>
        </w:tc>
        <w:tc>
          <w:tcPr>
            <w:tcW w:type="dxa" w:w="4561"/>
            <w:shd w:val="clear" w:color="auto" w:fill="1A1A2E"/>
          </w:tcPr>
          <w:p>
            <w:pPr>
              <w:jc w:val="center"/>
            </w:pPr>
            <w:r>
              <w:rPr>
                <w:rFonts w:ascii="Aptos" w:hAnsi="Aptos" w:cs="Aptos" w:eastAsia="Aptos"/>
                <w:b/>
                <w:i w:val="0"/>
                <w:color w:val="FFFFFF"/>
                <w:sz w:val="22"/>
              </w:rPr>
              <w:t>Value</w:t>
            </w:r>
          </w:p>
        </w:tc>
      </w:tr>
      <w:tr>
        <w:tc>
          <w:tcPr>
            <w:tcW w:type="dxa" w:w="4561"/>
            <w:shd w:val="clear" w:color="auto" w:fill="F5F5F5"/>
          </w:tcPr>
          <w:p>
            <w:r>
              <w:rPr>
                <w:rFonts w:ascii="Aptos" w:hAnsi="Aptos" w:cs="Aptos" w:eastAsia="Aptos"/>
                <w:b w:val="0"/>
                <w:i w:val="0"/>
                <w:color w:val="444444"/>
                <w:sz w:val="20"/>
              </w:rPr>
              <w:t>Agreement Start Date</w:t>
            </w:r>
          </w:p>
        </w:tc>
        <w:tc>
          <w:tcPr>
            <w:tcW w:type="dxa" w:w="4561"/>
            <w:shd w:val="clear" w:color="auto" w:fill="F5F5F5"/>
          </w:tcPr>
          <w:p>
            <w:r>
              <w:rPr>
                <w:rFonts w:ascii="Aptos" w:hAnsi="Aptos" w:cs="Aptos" w:eastAsia="Aptos"/>
                <w:b w:val="0"/>
                <w:i w:val="0"/>
                <w:color w:val="444444"/>
                <w:sz w:val="20"/>
              </w:rPr>
              <w:t>[DATE OF SIGNATURE]</w:t>
            </w:r>
          </w:p>
        </w:tc>
      </w:tr>
      <w:tr>
        <w:tc>
          <w:tcPr>
            <w:tcW w:type="dxa" w:w="4561"/>
            <w:shd w:val="clear" w:color="auto" w:fill="FFFFFF"/>
          </w:tcPr>
          <w:p>
            <w:r>
              <w:rPr>
                <w:rFonts w:ascii="Aptos" w:hAnsi="Aptos" w:cs="Aptos" w:eastAsia="Aptos"/>
                <w:b w:val="0"/>
                <w:i w:val="0"/>
                <w:color w:val="444444"/>
                <w:sz w:val="20"/>
              </w:rPr>
              <w:t>Initial SLA Term</w:t>
            </w:r>
          </w:p>
        </w:tc>
        <w:tc>
          <w:tcPr>
            <w:tcW w:type="dxa" w:w="4561"/>
            <w:shd w:val="clear" w:color="auto" w:fill="FFFFFF"/>
          </w:tcPr>
          <w:p>
            <w:r>
              <w:rPr>
                <w:rFonts w:ascii="Aptos" w:hAnsi="Aptos" w:cs="Aptos" w:eastAsia="Aptos"/>
                <w:b w:val="0"/>
                <w:i w:val="0"/>
                <w:color w:val="444444"/>
                <w:sz w:val="20"/>
              </w:rPr>
              <w:t>3 months (rolling renewal available)</w:t>
            </w:r>
          </w:p>
        </w:tc>
      </w:tr>
      <w:tr>
        <w:tc>
          <w:tcPr>
            <w:tcW w:type="dxa" w:w="4561"/>
            <w:shd w:val="clear" w:color="auto" w:fill="F5F5F5"/>
          </w:tcPr>
          <w:p>
            <w:r>
              <w:rPr>
                <w:rFonts w:ascii="Aptos" w:hAnsi="Aptos" w:cs="Aptos" w:eastAsia="Aptos"/>
                <w:b w:val="0"/>
                <w:i w:val="0"/>
                <w:color w:val="444444"/>
                <w:sz w:val="20"/>
              </w:rPr>
              <w:t>Support Coverage</w:t>
            </w:r>
          </w:p>
        </w:tc>
        <w:tc>
          <w:tcPr>
            <w:tcW w:type="dxa" w:w="4561"/>
            <w:shd w:val="clear" w:color="auto" w:fill="F5F5F5"/>
          </w:tcPr>
          <w:p>
            <w:r>
              <w:rPr>
                <w:rFonts w:ascii="Aptos" w:hAnsi="Aptos" w:cs="Aptos" w:eastAsia="Aptos"/>
                <w:b w:val="0"/>
                <w:i w:val="0"/>
                <w:color w:val="444444"/>
                <w:sz w:val="20"/>
              </w:rPr>
              <w:t>Android application, Firebase backend, documentation</w:t>
            </w:r>
          </w:p>
        </w:tc>
      </w:tr>
      <w:tr>
        <w:tc>
          <w:tcPr>
            <w:tcW w:type="dxa" w:w="4561"/>
            <w:shd w:val="clear" w:color="auto" w:fill="FFFFFF"/>
          </w:tcPr>
          <w:p>
            <w:r>
              <w:rPr>
                <w:rFonts w:ascii="Aptos" w:hAnsi="Aptos" w:cs="Aptos" w:eastAsia="Aptos"/>
                <w:b w:val="0"/>
                <w:i w:val="0"/>
                <w:color w:val="444444"/>
                <w:sz w:val="20"/>
              </w:rPr>
              <w:t>Excluded Platforms</w:t>
            </w:r>
          </w:p>
        </w:tc>
        <w:tc>
          <w:tcPr>
            <w:tcW w:type="dxa" w:w="4561"/>
            <w:shd w:val="clear" w:color="auto" w:fill="FFFFFF"/>
          </w:tcPr>
          <w:p>
            <w:r>
              <w:rPr>
                <w:rFonts w:ascii="Aptos" w:hAnsi="Aptos" w:cs="Aptos" w:eastAsia="Aptos"/>
                <w:b w:val="0"/>
                <w:i w:val="0"/>
                <w:color w:val="444444"/>
                <w:sz w:val="20"/>
              </w:rPr>
              <w:t>iOS, Web (not in scope for current project)</w:t>
            </w:r>
          </w:p>
        </w:tc>
      </w:tr>
    </w:tbl>
    <w:p/>
    <w:p>
      <w:pPr>
        <w:spacing w:before="360" w:after="80"/>
      </w:pPr>
      <w:r>
        <w:rPr>
          <w:rFonts w:ascii="Aptos" w:hAnsi="Aptos" w:cs="Aptos" w:eastAsia="Aptos"/>
          <w:b/>
          <w:i w:val="0"/>
          <w:color w:val="1A1A2E"/>
          <w:sz w:val="40"/>
        </w:rPr>
        <w:t>2. Support Scope</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The support covered under this SLA includes the identification and remediation of defects discovered in the delivered application, guidance on operating the Admin Dashboard, assistance with Firebase Console operations, and advisory support for security findings escalated from the Security Disclosure Document.</w:t>
      </w:r>
    </w:p>
    <w:p>
      <w:pPr>
        <w:spacing w:before="280" w:after="60"/>
      </w:pPr>
      <w:r>
        <w:rPr>
          <w:rFonts w:ascii="Aptos" w:hAnsi="Aptos" w:cs="Aptos" w:eastAsia="Aptos"/>
          <w:b/>
          <w:i w:val="0"/>
          <w:color w:val="1A1A2E"/>
          <w:sz w:val="30"/>
        </w:rPr>
        <w:t>2.1 Included in Scope</w:t>
      </w:r>
    </w:p>
    <w:p>
      <w:pPr>
        <w:pStyle w:val="ListBullet"/>
        <w:spacing w:after="80"/>
        <w:ind w:left="432"/>
      </w:pPr>
      <w:r>
        <w:rPr>
          <w:rFonts w:ascii="Aptos" w:hAnsi="Aptos" w:cs="Aptos" w:eastAsia="Aptos"/>
          <w:b w:val="0"/>
          <w:i w:val="0"/>
          <w:color w:val="444444"/>
          <w:sz w:val="24"/>
        </w:rPr>
        <w:t>Bug fixes for defects reproducible in the delivered codebase.</w:t>
      </w:r>
    </w:p>
    <w:p>
      <w:pPr>
        <w:pStyle w:val="ListBullet"/>
        <w:spacing w:after="80"/>
        <w:ind w:left="432"/>
      </w:pPr>
      <w:r>
        <w:rPr>
          <w:rFonts w:ascii="Aptos" w:hAnsi="Aptos" w:cs="Aptos" w:eastAsia="Aptos"/>
          <w:b w:val="0"/>
          <w:i w:val="0"/>
          <w:color w:val="444444"/>
          <w:sz w:val="24"/>
        </w:rPr>
        <w:t>Firebase configuration assistance (rules deployment, user management guidance).</w:t>
      </w:r>
    </w:p>
    <w:p>
      <w:pPr>
        <w:pStyle w:val="ListBullet"/>
        <w:spacing w:after="80"/>
        <w:ind w:left="432"/>
      </w:pPr>
      <w:r>
        <w:rPr>
          <w:rFonts w:ascii="Aptos" w:hAnsi="Aptos" w:cs="Aptos" w:eastAsia="Aptos"/>
          <w:b w:val="0"/>
          <w:i w:val="0"/>
          <w:color w:val="444444"/>
          <w:sz w:val="24"/>
        </w:rPr>
        <w:t>Minor feature adjustments (e.g., changing text, adjusting limits, color changes).</w:t>
      </w:r>
    </w:p>
    <w:p>
      <w:pPr>
        <w:pStyle w:val="ListBullet"/>
        <w:spacing w:after="80"/>
        <w:ind w:left="432"/>
      </w:pPr>
      <w:r>
        <w:rPr>
          <w:rFonts w:ascii="Aptos" w:hAnsi="Aptos" w:cs="Aptos" w:eastAsia="Aptos"/>
          <w:b w:val="0"/>
          <w:i w:val="0"/>
          <w:color w:val="444444"/>
          <w:sz w:val="24"/>
        </w:rPr>
        <w:t>Deployment assistance for production releases and hotfixes.</w:t>
      </w:r>
    </w:p>
    <w:p>
      <w:pPr>
        <w:pStyle w:val="ListBullet"/>
        <w:spacing w:after="80"/>
        <w:ind w:left="432"/>
      </w:pPr>
      <w:r>
        <w:rPr>
          <w:rFonts w:ascii="Aptos" w:hAnsi="Aptos" w:cs="Aptos" w:eastAsia="Aptos"/>
          <w:b w:val="0"/>
          <w:i w:val="0"/>
          <w:color w:val="444444"/>
          <w:sz w:val="24"/>
        </w:rPr>
        <w:t>Code review and guidance for any internal technical team working on the project.</w:t>
      </w:r>
    </w:p>
    <w:p>
      <w:pPr>
        <w:pStyle w:val="ListBullet"/>
        <w:spacing w:after="80"/>
        <w:ind w:left="432"/>
      </w:pPr>
      <w:r>
        <w:rPr>
          <w:rFonts w:ascii="Aptos" w:hAnsi="Aptos" w:cs="Aptos" w:eastAsia="Aptos"/>
          <w:b w:val="0"/>
          <w:i w:val="0"/>
          <w:color w:val="444444"/>
          <w:sz w:val="24"/>
        </w:rPr>
        <w:t>Security advisory for residual VAPT findings (consultation, not full remediation).</w:t>
      </w:r>
    </w:p>
    <w:p>
      <w:pPr>
        <w:spacing w:before="280" w:after="60"/>
      </w:pPr>
      <w:r>
        <w:rPr>
          <w:rFonts w:ascii="Aptos" w:hAnsi="Aptos" w:cs="Aptos" w:eastAsia="Aptos"/>
          <w:b/>
          <w:i w:val="0"/>
          <w:color w:val="1A1A2E"/>
          <w:sz w:val="30"/>
        </w:rPr>
        <w:t>2.2 Excluded from Scope (Covered Under Separate Engagement)</w:t>
      </w:r>
    </w:p>
    <w:p>
      <w:pPr>
        <w:pStyle w:val="ListBullet"/>
        <w:spacing w:after="80"/>
        <w:ind w:left="432"/>
      </w:pPr>
      <w:r>
        <w:rPr>
          <w:rFonts w:ascii="Aptos" w:hAnsi="Aptos" w:cs="Aptos" w:eastAsia="Aptos"/>
          <w:b w:val="0"/>
          <w:i w:val="0"/>
          <w:color w:val="444444"/>
          <w:sz w:val="24"/>
        </w:rPr>
        <w:t>New feature development not present in the delivered application.</w:t>
      </w:r>
    </w:p>
    <w:p>
      <w:pPr>
        <w:pStyle w:val="ListBullet"/>
        <w:spacing w:after="80"/>
        <w:ind w:left="432"/>
      </w:pPr>
      <w:r>
        <w:rPr>
          <w:rFonts w:ascii="Aptos" w:hAnsi="Aptos" w:cs="Aptos" w:eastAsia="Aptos"/>
          <w:b w:val="0"/>
          <w:i w:val="0"/>
          <w:color w:val="444444"/>
          <w:sz w:val="24"/>
        </w:rPr>
        <w:t>iOS or web platform development.</w:t>
      </w:r>
    </w:p>
    <w:p>
      <w:pPr>
        <w:pStyle w:val="ListBullet"/>
        <w:spacing w:after="80"/>
        <w:ind w:left="432"/>
      </w:pPr>
      <w:r>
        <w:rPr>
          <w:rFonts w:ascii="Aptos" w:hAnsi="Aptos" w:cs="Aptos" w:eastAsia="Aptos"/>
          <w:b w:val="0"/>
          <w:i w:val="0"/>
          <w:color w:val="444444"/>
          <w:sz w:val="24"/>
        </w:rPr>
        <w:t>Integration with third-party ERP, inventory, or payment systems.</w:t>
      </w:r>
    </w:p>
    <w:p>
      <w:pPr>
        <w:pStyle w:val="ListBullet"/>
        <w:spacing w:after="80"/>
        <w:ind w:left="432"/>
      </w:pPr>
      <w:r>
        <w:rPr>
          <w:rFonts w:ascii="Aptos" w:hAnsi="Aptos" w:cs="Aptos" w:eastAsia="Aptos"/>
          <w:b w:val="0"/>
          <w:i w:val="0"/>
          <w:color w:val="444444"/>
          <w:sz w:val="24"/>
        </w:rPr>
        <w:t>Defects caused by client modifications to the source code after handover.</w:t>
      </w:r>
    </w:p>
    <w:p>
      <w:pPr>
        <w:pStyle w:val="ListBullet"/>
        <w:spacing w:after="80"/>
        <w:ind w:left="432"/>
      </w:pPr>
      <w:r>
        <w:rPr>
          <w:rFonts w:ascii="Aptos" w:hAnsi="Aptos" w:cs="Aptos" w:eastAsia="Aptos"/>
          <w:b w:val="0"/>
          <w:i w:val="0"/>
          <w:color w:val="444444"/>
          <w:sz w:val="24"/>
        </w:rPr>
        <w:t>Infrastructure outages attributable to Firebase or Google Cloud platform issues.</w:t>
      </w:r>
    </w:p>
    <w:p>
      <w:pPr>
        <w:spacing w:before="360" w:after="80"/>
      </w:pPr>
      <w:r>
        <w:rPr>
          <w:rFonts w:ascii="Aptos" w:hAnsi="Aptos" w:cs="Aptos" w:eastAsia="Aptos"/>
          <w:b/>
          <w:i w:val="0"/>
          <w:color w:val="1A1A2E"/>
          <w:sz w:val="40"/>
        </w:rPr>
        <w:t>3. Support Tiers &amp; Issue Classification</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All issues raised by the client will be classified upon receipt according to the following severity tiers. Classification will be performed by the Support Provider in consultation with the client, taking into account business impact and user exposure.</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A1A2E"/>
          </w:tcPr>
          <w:p>
            <w:pPr>
              <w:jc w:val="center"/>
            </w:pPr>
            <w:r>
              <w:rPr>
                <w:rFonts w:ascii="Aptos" w:hAnsi="Aptos" w:cs="Aptos" w:eastAsia="Aptos"/>
                <w:b/>
                <w:i w:val="0"/>
                <w:color w:val="FFFFFF"/>
                <w:sz w:val="22"/>
              </w:rPr>
              <w:t>Severity</w:t>
            </w:r>
          </w:p>
        </w:tc>
        <w:tc>
          <w:tcPr>
            <w:tcW w:type="dxa" w:w="3041"/>
            <w:shd w:val="clear" w:color="auto" w:fill="1A1A2E"/>
          </w:tcPr>
          <w:p>
            <w:pPr>
              <w:jc w:val="center"/>
            </w:pPr>
            <w:r>
              <w:rPr>
                <w:rFonts w:ascii="Aptos" w:hAnsi="Aptos" w:cs="Aptos" w:eastAsia="Aptos"/>
                <w:b/>
                <w:i w:val="0"/>
                <w:color w:val="FFFFFF"/>
                <w:sz w:val="22"/>
              </w:rPr>
              <w:t>Definition</w:t>
            </w:r>
          </w:p>
        </w:tc>
        <w:tc>
          <w:tcPr>
            <w:tcW w:type="dxa" w:w="3041"/>
            <w:shd w:val="clear" w:color="auto" w:fill="1A1A2E"/>
          </w:tcPr>
          <w:p>
            <w:pPr>
              <w:jc w:val="center"/>
            </w:pPr>
            <w:r>
              <w:rPr>
                <w:rFonts w:ascii="Aptos" w:hAnsi="Aptos" w:cs="Aptos" w:eastAsia="Aptos"/>
                <w:b/>
                <w:i w:val="0"/>
                <w:color w:val="FFFFFF"/>
                <w:sz w:val="22"/>
              </w:rPr>
              <w:t>Example</w:t>
            </w:r>
          </w:p>
        </w:tc>
      </w:tr>
      <w:tr>
        <w:tc>
          <w:tcPr>
            <w:tcW w:type="dxa" w:w="3041"/>
            <w:shd w:val="clear" w:color="auto" w:fill="F5F5F5"/>
          </w:tcPr>
          <w:p>
            <w:r>
              <w:rPr>
                <w:rFonts w:ascii="Aptos" w:hAnsi="Aptos" w:cs="Aptos" w:eastAsia="Aptos"/>
                <w:b w:val="0"/>
                <w:i w:val="0"/>
                <w:color w:val="444444"/>
                <w:sz w:val="20"/>
              </w:rPr>
              <w:t>P1 — Critical</w:t>
            </w:r>
          </w:p>
        </w:tc>
        <w:tc>
          <w:tcPr>
            <w:tcW w:type="dxa" w:w="3041"/>
            <w:shd w:val="clear" w:color="auto" w:fill="F5F5F5"/>
          </w:tcPr>
          <w:p>
            <w:r>
              <w:rPr>
                <w:rFonts w:ascii="Aptos" w:hAnsi="Aptos" w:cs="Aptos" w:eastAsia="Aptos"/>
                <w:b w:val="0"/>
                <w:i w:val="0"/>
                <w:color w:val="444444"/>
                <w:sz w:val="20"/>
              </w:rPr>
              <w:t>Application unusable; major data loss or security breach in progress</w:t>
            </w:r>
          </w:p>
        </w:tc>
        <w:tc>
          <w:tcPr>
            <w:tcW w:type="dxa" w:w="3041"/>
            <w:shd w:val="clear" w:color="auto" w:fill="F5F5F5"/>
          </w:tcPr>
          <w:p>
            <w:r>
              <w:rPr>
                <w:rFonts w:ascii="Aptos" w:hAnsi="Aptos" w:cs="Aptos" w:eastAsia="Aptos"/>
                <w:b w:val="0"/>
                <w:i w:val="0"/>
                <w:color w:val="444444"/>
                <w:sz w:val="20"/>
              </w:rPr>
              <w:t>Authentication completely broken for all users; Firestore data exposed</w:t>
            </w:r>
          </w:p>
        </w:tc>
      </w:tr>
      <w:tr>
        <w:tc>
          <w:tcPr>
            <w:tcW w:type="dxa" w:w="3041"/>
            <w:shd w:val="clear" w:color="auto" w:fill="FFFFFF"/>
          </w:tcPr>
          <w:p>
            <w:r>
              <w:rPr>
                <w:rFonts w:ascii="Aptos" w:hAnsi="Aptos" w:cs="Aptos" w:eastAsia="Aptos"/>
                <w:b w:val="0"/>
                <w:i w:val="0"/>
                <w:color w:val="444444"/>
                <w:sz w:val="20"/>
              </w:rPr>
              <w:t>P2 — High</w:t>
            </w:r>
          </w:p>
        </w:tc>
        <w:tc>
          <w:tcPr>
            <w:tcW w:type="dxa" w:w="3041"/>
            <w:shd w:val="clear" w:color="auto" w:fill="FFFFFF"/>
          </w:tcPr>
          <w:p>
            <w:r>
              <w:rPr>
                <w:rFonts w:ascii="Aptos" w:hAnsi="Aptos" w:cs="Aptos" w:eastAsia="Aptos"/>
                <w:b w:val="0"/>
                <w:i w:val="0"/>
                <w:color w:val="444444"/>
                <w:sz w:val="20"/>
              </w:rPr>
              <w:t>Major feature non-functional; significant business impact</w:t>
            </w:r>
          </w:p>
        </w:tc>
        <w:tc>
          <w:tcPr>
            <w:tcW w:type="dxa" w:w="3041"/>
            <w:shd w:val="clear" w:color="auto" w:fill="FFFFFF"/>
          </w:tcPr>
          <w:p>
            <w:r>
              <w:rPr>
                <w:rFonts w:ascii="Aptos" w:hAnsi="Aptos" w:cs="Aptos" w:eastAsia="Aptos"/>
                <w:b w:val="0"/>
                <w:i w:val="0"/>
                <w:color w:val="444444"/>
                <w:sz w:val="20"/>
              </w:rPr>
              <w:t>Cart fails to save for all Wholesalers; Admin login non-functional</w:t>
            </w:r>
          </w:p>
        </w:tc>
      </w:tr>
      <w:tr>
        <w:tc>
          <w:tcPr>
            <w:tcW w:type="dxa" w:w="3041"/>
            <w:shd w:val="clear" w:color="auto" w:fill="F5F5F5"/>
          </w:tcPr>
          <w:p>
            <w:r>
              <w:rPr>
                <w:rFonts w:ascii="Aptos" w:hAnsi="Aptos" w:cs="Aptos" w:eastAsia="Aptos"/>
                <w:b w:val="0"/>
                <w:i w:val="0"/>
                <w:color w:val="444444"/>
                <w:sz w:val="20"/>
              </w:rPr>
              <w:t>P3 — Medium</w:t>
            </w:r>
          </w:p>
        </w:tc>
        <w:tc>
          <w:tcPr>
            <w:tcW w:type="dxa" w:w="3041"/>
            <w:shd w:val="clear" w:color="auto" w:fill="F5F5F5"/>
          </w:tcPr>
          <w:p>
            <w:r>
              <w:rPr>
                <w:rFonts w:ascii="Aptos" w:hAnsi="Aptos" w:cs="Aptos" w:eastAsia="Aptos"/>
                <w:b w:val="0"/>
                <w:i w:val="0"/>
                <w:color w:val="444444"/>
                <w:sz w:val="20"/>
              </w:rPr>
              <w:t>Feature degraded but workaround exists; moderate impact</w:t>
            </w:r>
          </w:p>
        </w:tc>
        <w:tc>
          <w:tcPr>
            <w:tcW w:type="dxa" w:w="3041"/>
            <w:shd w:val="clear" w:color="auto" w:fill="F5F5F5"/>
          </w:tcPr>
          <w:p>
            <w:r>
              <w:rPr>
                <w:rFonts w:ascii="Aptos" w:hAnsi="Aptos" w:cs="Aptos" w:eastAsia="Aptos"/>
                <w:b w:val="0"/>
                <w:i w:val="0"/>
                <w:color w:val="444444"/>
                <w:sz w:val="20"/>
              </w:rPr>
              <w:t>Push notifications not delivered; images load slowly</w:t>
            </w:r>
          </w:p>
        </w:tc>
      </w:tr>
      <w:tr>
        <w:tc>
          <w:tcPr>
            <w:tcW w:type="dxa" w:w="3041"/>
            <w:shd w:val="clear" w:color="auto" w:fill="FFFFFF"/>
          </w:tcPr>
          <w:p>
            <w:r>
              <w:rPr>
                <w:rFonts w:ascii="Aptos" w:hAnsi="Aptos" w:cs="Aptos" w:eastAsia="Aptos"/>
                <w:b w:val="0"/>
                <w:i w:val="0"/>
                <w:color w:val="444444"/>
                <w:sz w:val="20"/>
              </w:rPr>
              <w:t>P4 — Low</w:t>
            </w:r>
          </w:p>
        </w:tc>
        <w:tc>
          <w:tcPr>
            <w:tcW w:type="dxa" w:w="3041"/>
            <w:shd w:val="clear" w:color="auto" w:fill="FFFFFF"/>
          </w:tcPr>
          <w:p>
            <w:r>
              <w:rPr>
                <w:rFonts w:ascii="Aptos" w:hAnsi="Aptos" w:cs="Aptos" w:eastAsia="Aptos"/>
                <w:b w:val="0"/>
                <w:i w:val="0"/>
                <w:color w:val="444444"/>
                <w:sz w:val="20"/>
              </w:rPr>
              <w:t>Minor issue; no significant business impact</w:t>
            </w:r>
          </w:p>
        </w:tc>
        <w:tc>
          <w:tcPr>
            <w:tcW w:type="dxa" w:w="3041"/>
            <w:shd w:val="clear" w:color="auto" w:fill="FFFFFF"/>
          </w:tcPr>
          <w:p>
            <w:r>
              <w:rPr>
                <w:rFonts w:ascii="Aptos" w:hAnsi="Aptos" w:cs="Aptos" w:eastAsia="Aptos"/>
                <w:b w:val="0"/>
                <w:i w:val="0"/>
                <w:color w:val="444444"/>
                <w:sz w:val="20"/>
              </w:rPr>
              <w:t>Minor UI misalignment; typo in system text; cosmetic issue</w:t>
            </w:r>
          </w:p>
        </w:tc>
      </w:tr>
    </w:tbl>
    <w:p/>
    <w:p>
      <w:pPr>
        <w:spacing w:before="360" w:after="80"/>
      </w:pPr>
      <w:r>
        <w:rPr>
          <w:rFonts w:ascii="Aptos" w:hAnsi="Aptos" w:cs="Aptos" w:eastAsia="Aptos"/>
          <w:b/>
          <w:i w:val="0"/>
          <w:color w:val="1A1A2E"/>
          <w:sz w:val="40"/>
        </w:rPr>
        <w:t>4. Response &amp; Resolution Commitments</w:t>
      </w:r>
    </w:p>
    <w:p>
      <w:pPr>
        <w:spacing w:before="40" w:after="40"/>
        <w:pBdr>
          <w:bottom w:val="single" w:sz="8" w:space="1" w:color="D4AF37"/>
        </w:pBdr>
      </w:pP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A1A2E"/>
          </w:tcPr>
          <w:p>
            <w:pPr>
              <w:jc w:val="center"/>
            </w:pPr>
            <w:r>
              <w:rPr>
                <w:rFonts w:ascii="Aptos" w:hAnsi="Aptos" w:cs="Aptos" w:eastAsia="Aptos"/>
                <w:b/>
                <w:i w:val="0"/>
                <w:color w:val="FFFFFF"/>
                <w:sz w:val="22"/>
              </w:rPr>
              <w:t>Severity</w:t>
            </w:r>
          </w:p>
        </w:tc>
        <w:tc>
          <w:tcPr>
            <w:tcW w:type="dxa" w:w="2280"/>
            <w:shd w:val="clear" w:color="auto" w:fill="1A1A2E"/>
          </w:tcPr>
          <w:p>
            <w:pPr>
              <w:jc w:val="center"/>
            </w:pPr>
            <w:r>
              <w:rPr>
                <w:rFonts w:ascii="Aptos" w:hAnsi="Aptos" w:cs="Aptos" w:eastAsia="Aptos"/>
                <w:b/>
                <w:i w:val="0"/>
                <w:color w:val="FFFFFF"/>
                <w:sz w:val="22"/>
              </w:rPr>
              <w:t>Initial Response</w:t>
            </w:r>
          </w:p>
        </w:tc>
        <w:tc>
          <w:tcPr>
            <w:tcW w:type="dxa" w:w="2280"/>
            <w:shd w:val="clear" w:color="auto" w:fill="1A1A2E"/>
          </w:tcPr>
          <w:p>
            <w:pPr>
              <w:jc w:val="center"/>
            </w:pPr>
            <w:r>
              <w:rPr>
                <w:rFonts w:ascii="Aptos" w:hAnsi="Aptos" w:cs="Aptos" w:eastAsia="Aptos"/>
                <w:b/>
                <w:i w:val="0"/>
                <w:color w:val="FFFFFF"/>
                <w:sz w:val="22"/>
              </w:rPr>
              <w:t>Root Cause Analysis</w:t>
            </w:r>
          </w:p>
        </w:tc>
        <w:tc>
          <w:tcPr>
            <w:tcW w:type="dxa" w:w="2280"/>
            <w:shd w:val="clear" w:color="auto" w:fill="1A1A2E"/>
          </w:tcPr>
          <w:p>
            <w:pPr>
              <w:jc w:val="center"/>
            </w:pPr>
            <w:r>
              <w:rPr>
                <w:rFonts w:ascii="Aptos" w:hAnsi="Aptos" w:cs="Aptos" w:eastAsia="Aptos"/>
                <w:b/>
                <w:i w:val="0"/>
                <w:color w:val="FFFFFF"/>
                <w:sz w:val="22"/>
              </w:rPr>
              <w:t>Resolution / Fix Deployment</w:t>
            </w:r>
          </w:p>
        </w:tc>
      </w:tr>
      <w:tr>
        <w:tc>
          <w:tcPr>
            <w:tcW w:type="dxa" w:w="2280"/>
            <w:shd w:val="clear" w:color="auto" w:fill="F5F5F5"/>
          </w:tcPr>
          <w:p>
            <w:r>
              <w:rPr>
                <w:rFonts w:ascii="Aptos" w:hAnsi="Aptos" w:cs="Aptos" w:eastAsia="Aptos"/>
                <w:b w:val="0"/>
                <w:i w:val="0"/>
                <w:color w:val="444444"/>
                <w:sz w:val="20"/>
              </w:rPr>
              <w:t>P1 — Critical</w:t>
            </w:r>
          </w:p>
        </w:tc>
        <w:tc>
          <w:tcPr>
            <w:tcW w:type="dxa" w:w="2280"/>
            <w:shd w:val="clear" w:color="auto" w:fill="F5F5F5"/>
          </w:tcPr>
          <w:p>
            <w:r>
              <w:rPr>
                <w:rFonts w:ascii="Aptos" w:hAnsi="Aptos" w:cs="Aptos" w:eastAsia="Aptos"/>
                <w:b w:val="0"/>
                <w:i w:val="0"/>
                <w:color w:val="444444"/>
                <w:sz w:val="20"/>
              </w:rPr>
              <w:t>2 business hours</w:t>
            </w:r>
          </w:p>
        </w:tc>
        <w:tc>
          <w:tcPr>
            <w:tcW w:type="dxa" w:w="2280"/>
            <w:shd w:val="clear" w:color="auto" w:fill="F5F5F5"/>
          </w:tcPr>
          <w:p>
            <w:r>
              <w:rPr>
                <w:rFonts w:ascii="Aptos" w:hAnsi="Aptos" w:cs="Aptos" w:eastAsia="Aptos"/>
                <w:b w:val="0"/>
                <w:i w:val="0"/>
                <w:color w:val="444444"/>
                <w:sz w:val="20"/>
              </w:rPr>
              <w:t>4 business hours</w:t>
            </w:r>
          </w:p>
        </w:tc>
        <w:tc>
          <w:tcPr>
            <w:tcW w:type="dxa" w:w="2280"/>
            <w:shd w:val="clear" w:color="auto" w:fill="F5F5F5"/>
          </w:tcPr>
          <w:p>
            <w:r>
              <w:rPr>
                <w:rFonts w:ascii="Aptos" w:hAnsi="Aptos" w:cs="Aptos" w:eastAsia="Aptos"/>
                <w:b w:val="0"/>
                <w:i w:val="0"/>
                <w:color w:val="444444"/>
                <w:sz w:val="20"/>
              </w:rPr>
              <w:t>24 hours (hotfix deployment)</w:t>
            </w:r>
          </w:p>
        </w:tc>
      </w:tr>
      <w:tr>
        <w:tc>
          <w:tcPr>
            <w:tcW w:type="dxa" w:w="2280"/>
            <w:shd w:val="clear" w:color="auto" w:fill="FFFFFF"/>
          </w:tcPr>
          <w:p>
            <w:r>
              <w:rPr>
                <w:rFonts w:ascii="Aptos" w:hAnsi="Aptos" w:cs="Aptos" w:eastAsia="Aptos"/>
                <w:b w:val="0"/>
                <w:i w:val="0"/>
                <w:color w:val="444444"/>
                <w:sz w:val="20"/>
              </w:rPr>
              <w:t>P2 — High</w:t>
            </w:r>
          </w:p>
        </w:tc>
        <w:tc>
          <w:tcPr>
            <w:tcW w:type="dxa" w:w="2280"/>
            <w:shd w:val="clear" w:color="auto" w:fill="FFFFFF"/>
          </w:tcPr>
          <w:p>
            <w:r>
              <w:rPr>
                <w:rFonts w:ascii="Aptos" w:hAnsi="Aptos" w:cs="Aptos" w:eastAsia="Aptos"/>
                <w:b w:val="0"/>
                <w:i w:val="0"/>
                <w:color w:val="444444"/>
                <w:sz w:val="20"/>
              </w:rPr>
              <w:t>4 business hours</w:t>
            </w:r>
          </w:p>
        </w:tc>
        <w:tc>
          <w:tcPr>
            <w:tcW w:type="dxa" w:w="2280"/>
            <w:shd w:val="clear" w:color="auto" w:fill="FFFFFF"/>
          </w:tcPr>
          <w:p>
            <w:r>
              <w:rPr>
                <w:rFonts w:ascii="Aptos" w:hAnsi="Aptos" w:cs="Aptos" w:eastAsia="Aptos"/>
                <w:b w:val="0"/>
                <w:i w:val="0"/>
                <w:color w:val="444444"/>
                <w:sz w:val="20"/>
              </w:rPr>
              <w:t>1 business day</w:t>
            </w:r>
          </w:p>
        </w:tc>
        <w:tc>
          <w:tcPr>
            <w:tcW w:type="dxa" w:w="2280"/>
            <w:shd w:val="clear" w:color="auto" w:fill="FFFFFF"/>
          </w:tcPr>
          <w:p>
            <w:r>
              <w:rPr>
                <w:rFonts w:ascii="Aptos" w:hAnsi="Aptos" w:cs="Aptos" w:eastAsia="Aptos"/>
                <w:b w:val="0"/>
                <w:i w:val="0"/>
                <w:color w:val="444444"/>
                <w:sz w:val="20"/>
              </w:rPr>
              <w:t>3 business days</w:t>
            </w:r>
          </w:p>
        </w:tc>
      </w:tr>
      <w:tr>
        <w:tc>
          <w:tcPr>
            <w:tcW w:type="dxa" w:w="2280"/>
            <w:shd w:val="clear" w:color="auto" w:fill="F5F5F5"/>
          </w:tcPr>
          <w:p>
            <w:r>
              <w:rPr>
                <w:rFonts w:ascii="Aptos" w:hAnsi="Aptos" w:cs="Aptos" w:eastAsia="Aptos"/>
                <w:b w:val="0"/>
                <w:i w:val="0"/>
                <w:color w:val="444444"/>
                <w:sz w:val="20"/>
              </w:rPr>
              <w:t>P3 — Medium</w:t>
            </w:r>
          </w:p>
        </w:tc>
        <w:tc>
          <w:tcPr>
            <w:tcW w:type="dxa" w:w="2280"/>
            <w:shd w:val="clear" w:color="auto" w:fill="F5F5F5"/>
          </w:tcPr>
          <w:p>
            <w:r>
              <w:rPr>
                <w:rFonts w:ascii="Aptos" w:hAnsi="Aptos" w:cs="Aptos" w:eastAsia="Aptos"/>
                <w:b w:val="0"/>
                <w:i w:val="0"/>
                <w:color w:val="444444"/>
                <w:sz w:val="20"/>
              </w:rPr>
              <w:t>1 business day</w:t>
            </w:r>
          </w:p>
        </w:tc>
        <w:tc>
          <w:tcPr>
            <w:tcW w:type="dxa" w:w="2280"/>
            <w:shd w:val="clear" w:color="auto" w:fill="F5F5F5"/>
          </w:tcPr>
          <w:p>
            <w:r>
              <w:rPr>
                <w:rFonts w:ascii="Aptos" w:hAnsi="Aptos" w:cs="Aptos" w:eastAsia="Aptos"/>
                <w:b w:val="0"/>
                <w:i w:val="0"/>
                <w:color w:val="444444"/>
                <w:sz w:val="20"/>
              </w:rPr>
              <w:t>2 business days</w:t>
            </w:r>
          </w:p>
        </w:tc>
        <w:tc>
          <w:tcPr>
            <w:tcW w:type="dxa" w:w="2280"/>
            <w:shd w:val="clear" w:color="auto" w:fill="F5F5F5"/>
          </w:tcPr>
          <w:p>
            <w:r>
              <w:rPr>
                <w:rFonts w:ascii="Aptos" w:hAnsi="Aptos" w:cs="Aptos" w:eastAsia="Aptos"/>
                <w:b w:val="0"/>
                <w:i w:val="0"/>
                <w:color w:val="444444"/>
                <w:sz w:val="20"/>
              </w:rPr>
              <w:t>7 business days</w:t>
            </w:r>
          </w:p>
        </w:tc>
      </w:tr>
      <w:tr>
        <w:tc>
          <w:tcPr>
            <w:tcW w:type="dxa" w:w="2280"/>
            <w:shd w:val="clear" w:color="auto" w:fill="FFFFFF"/>
          </w:tcPr>
          <w:p>
            <w:r>
              <w:rPr>
                <w:rFonts w:ascii="Aptos" w:hAnsi="Aptos" w:cs="Aptos" w:eastAsia="Aptos"/>
                <w:b w:val="0"/>
                <w:i w:val="0"/>
                <w:color w:val="444444"/>
                <w:sz w:val="20"/>
              </w:rPr>
              <w:t>P4 — Low</w:t>
            </w:r>
          </w:p>
        </w:tc>
        <w:tc>
          <w:tcPr>
            <w:tcW w:type="dxa" w:w="2280"/>
            <w:shd w:val="clear" w:color="auto" w:fill="FFFFFF"/>
          </w:tcPr>
          <w:p>
            <w:r>
              <w:rPr>
                <w:rFonts w:ascii="Aptos" w:hAnsi="Aptos" w:cs="Aptos" w:eastAsia="Aptos"/>
                <w:b w:val="0"/>
                <w:i w:val="0"/>
                <w:color w:val="444444"/>
                <w:sz w:val="20"/>
              </w:rPr>
              <w:t>2 business days</w:t>
            </w:r>
          </w:p>
        </w:tc>
        <w:tc>
          <w:tcPr>
            <w:tcW w:type="dxa" w:w="2280"/>
            <w:shd w:val="clear" w:color="auto" w:fill="FFFFFF"/>
          </w:tcPr>
          <w:p>
            <w:r>
              <w:rPr>
                <w:rFonts w:ascii="Aptos" w:hAnsi="Aptos" w:cs="Aptos" w:eastAsia="Aptos"/>
                <w:b w:val="0"/>
                <w:i w:val="0"/>
                <w:color w:val="444444"/>
                <w:sz w:val="20"/>
              </w:rPr>
              <w:t>5 business days</w:t>
            </w:r>
          </w:p>
        </w:tc>
        <w:tc>
          <w:tcPr>
            <w:tcW w:type="dxa" w:w="2280"/>
            <w:shd w:val="clear" w:color="auto" w:fill="FFFFFF"/>
          </w:tcPr>
          <w:p>
            <w:r>
              <w:rPr>
                <w:rFonts w:ascii="Aptos" w:hAnsi="Aptos" w:cs="Aptos" w:eastAsia="Aptos"/>
                <w:b w:val="0"/>
                <w:i w:val="0"/>
                <w:color w:val="444444"/>
                <w:sz w:val="20"/>
              </w:rPr>
              <w:t>Next scheduled maintenance release</w:t>
            </w:r>
          </w:p>
        </w:tc>
      </w:tr>
    </w:tbl>
    <w:p/>
    <w:p>
      <w:pPr>
        <w:spacing w:after="160"/>
        <w:ind w:firstLine="0"/>
        <w:jc w:val="both"/>
      </w:pPr>
      <w:r>
        <w:rPr>
          <w:rFonts w:ascii="Aptos" w:hAnsi="Aptos" w:cs="Aptos" w:eastAsia="Aptos"/>
          <w:b w:val="0"/>
          <w:i w:val="0"/>
          <w:color w:val="444444"/>
          <w:sz w:val="24"/>
        </w:rPr>
        <w:t>Response times are measured from the time the client submits a support ticket during business hours. Tickets raised outside business hours will be treated as received at the start of the next business day (except P1 issues, for which an emergency contact protocol is in effect, as described in Section 7).</w:t>
      </w:r>
    </w:p>
    <w:p>
      <w:pPr>
        <w:spacing w:before="360" w:after="80"/>
      </w:pPr>
      <w:r>
        <w:rPr>
          <w:rFonts w:ascii="Aptos" w:hAnsi="Aptos" w:cs="Aptos" w:eastAsia="Aptos"/>
          <w:b/>
          <w:i w:val="0"/>
          <w:color w:val="1A1A2E"/>
          <w:sz w:val="40"/>
        </w:rPr>
        <w:t>5. Support Channels &amp; Hours</w:t>
      </w:r>
    </w:p>
    <w:p>
      <w:pPr>
        <w:spacing w:before="40" w:after="40"/>
        <w:pBdr>
          <w:bottom w:val="single" w:sz="8" w:space="1" w:color="D4AF37"/>
        </w:pBdr>
      </w:pPr>
    </w:p>
    <w:p>
      <w:pPr>
        <w:spacing w:before="280" w:after="60"/>
      </w:pPr>
      <w:r>
        <w:rPr>
          <w:rFonts w:ascii="Aptos" w:hAnsi="Aptos" w:cs="Aptos" w:eastAsia="Aptos"/>
          <w:b/>
          <w:i w:val="0"/>
          <w:color w:val="1A1A2E"/>
          <w:sz w:val="30"/>
        </w:rPr>
        <w:t>5.1 Business Hours</w:t>
      </w:r>
    </w:p>
    <w:p>
      <w:pPr>
        <w:spacing w:after="160"/>
        <w:ind w:firstLine="0"/>
        <w:jc w:val="both"/>
      </w:pPr>
      <w:r>
        <w:rPr>
          <w:rFonts w:ascii="Aptos" w:hAnsi="Aptos" w:cs="Aptos" w:eastAsia="Aptos"/>
          <w:b w:val="0"/>
          <w:i w:val="0"/>
          <w:color w:val="444444"/>
          <w:sz w:val="24"/>
        </w:rPr>
        <w:t>Monday through Saturday, 10:00 AM to 7:00 PM IST (UTC+5:30). Public holidays observed.</w:t>
      </w:r>
    </w:p>
    <w:p>
      <w:pPr>
        <w:spacing w:before="280" w:after="60"/>
      </w:pPr>
      <w:r>
        <w:rPr>
          <w:rFonts w:ascii="Aptos" w:hAnsi="Aptos" w:cs="Aptos" w:eastAsia="Aptos"/>
          <w:b/>
          <w:i w:val="0"/>
          <w:color w:val="1A1A2E"/>
          <w:sz w:val="30"/>
        </w:rPr>
        <w:t>5.2 Contact Channels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A1A2E"/>
          </w:tcPr>
          <w:p>
            <w:pPr>
              <w:jc w:val="center"/>
            </w:pPr>
            <w:r>
              <w:rPr>
                <w:rFonts w:ascii="Aptos" w:hAnsi="Aptos" w:cs="Aptos" w:eastAsia="Aptos"/>
                <w:b/>
                <w:i w:val="0"/>
                <w:color w:val="FFFFFF"/>
                <w:sz w:val="22"/>
              </w:rPr>
              <w:t>Channel</w:t>
            </w:r>
          </w:p>
        </w:tc>
        <w:tc>
          <w:tcPr>
            <w:tcW w:type="dxa" w:w="3041"/>
            <w:shd w:val="clear" w:color="auto" w:fill="1A1A2E"/>
          </w:tcPr>
          <w:p>
            <w:pPr>
              <w:jc w:val="center"/>
            </w:pPr>
            <w:r>
              <w:rPr>
                <w:rFonts w:ascii="Aptos" w:hAnsi="Aptos" w:cs="Aptos" w:eastAsia="Aptos"/>
                <w:b/>
                <w:i w:val="0"/>
                <w:color w:val="FFFFFF"/>
                <w:sz w:val="22"/>
              </w:rPr>
              <w:t>Use Case</w:t>
            </w:r>
          </w:p>
        </w:tc>
        <w:tc>
          <w:tcPr>
            <w:tcW w:type="dxa" w:w="3041"/>
            <w:shd w:val="clear" w:color="auto" w:fill="1A1A2E"/>
          </w:tcPr>
          <w:p>
            <w:pPr>
              <w:jc w:val="center"/>
            </w:pPr>
            <w:r>
              <w:rPr>
                <w:rFonts w:ascii="Aptos" w:hAnsi="Aptos" w:cs="Aptos" w:eastAsia="Aptos"/>
                <w:b/>
                <w:i w:val="0"/>
                <w:color w:val="FFFFFF"/>
                <w:sz w:val="22"/>
              </w:rPr>
              <w:t>Priority</w:t>
            </w:r>
          </w:p>
        </w:tc>
      </w:tr>
      <w:tr>
        <w:tc>
          <w:tcPr>
            <w:tcW w:type="dxa" w:w="3041"/>
            <w:shd w:val="clear" w:color="auto" w:fill="F5F5F5"/>
          </w:tcPr>
          <w:p>
            <w:r>
              <w:rPr>
                <w:rFonts w:ascii="Aptos" w:hAnsi="Aptos" w:cs="Aptos" w:eastAsia="Aptos"/>
                <w:b w:val="0"/>
                <w:i w:val="0"/>
                <w:color w:val="444444"/>
                <w:sz w:val="20"/>
              </w:rPr>
              <w:t>WhatsApp Business (designated number)</w:t>
            </w:r>
          </w:p>
        </w:tc>
        <w:tc>
          <w:tcPr>
            <w:tcW w:type="dxa" w:w="3041"/>
            <w:shd w:val="clear" w:color="auto" w:fill="F5F5F5"/>
          </w:tcPr>
          <w:p>
            <w:r>
              <w:rPr>
                <w:rFonts w:ascii="Aptos" w:hAnsi="Aptos" w:cs="Aptos" w:eastAsia="Aptos"/>
                <w:b w:val="0"/>
                <w:i w:val="0"/>
                <w:color w:val="444444"/>
                <w:sz w:val="20"/>
              </w:rPr>
              <w:t>Primary contact for all issues</w:t>
            </w:r>
          </w:p>
        </w:tc>
        <w:tc>
          <w:tcPr>
            <w:tcW w:type="dxa" w:w="3041"/>
            <w:shd w:val="clear" w:color="auto" w:fill="F5F5F5"/>
          </w:tcPr>
          <w:p>
            <w:r>
              <w:rPr>
                <w:rFonts w:ascii="Aptos" w:hAnsi="Aptos" w:cs="Aptos" w:eastAsia="Aptos"/>
                <w:b w:val="0"/>
                <w:i w:val="0"/>
                <w:color w:val="444444"/>
                <w:sz w:val="20"/>
              </w:rPr>
              <w:t>All severities</w:t>
            </w:r>
          </w:p>
        </w:tc>
      </w:tr>
      <w:tr>
        <w:tc>
          <w:tcPr>
            <w:tcW w:type="dxa" w:w="3041"/>
            <w:shd w:val="clear" w:color="auto" w:fill="FFFFFF"/>
          </w:tcPr>
          <w:p>
            <w:r>
              <w:rPr>
                <w:rFonts w:ascii="Aptos" w:hAnsi="Aptos" w:cs="Aptos" w:eastAsia="Aptos"/>
                <w:b w:val="0"/>
                <w:i w:val="0"/>
                <w:color w:val="444444"/>
                <w:sz w:val="20"/>
              </w:rPr>
              <w:t>Email (designated address)</w:t>
            </w:r>
          </w:p>
        </w:tc>
        <w:tc>
          <w:tcPr>
            <w:tcW w:type="dxa" w:w="3041"/>
            <w:shd w:val="clear" w:color="auto" w:fill="FFFFFF"/>
          </w:tcPr>
          <w:p>
            <w:r>
              <w:rPr>
                <w:rFonts w:ascii="Aptos" w:hAnsi="Aptos" w:cs="Aptos" w:eastAsia="Aptos"/>
                <w:b w:val="0"/>
                <w:i w:val="0"/>
                <w:color w:val="444444"/>
                <w:sz w:val="20"/>
              </w:rPr>
              <w:t>Formal bug reports, change requests</w:t>
            </w:r>
          </w:p>
        </w:tc>
        <w:tc>
          <w:tcPr>
            <w:tcW w:type="dxa" w:w="3041"/>
            <w:shd w:val="clear" w:color="auto" w:fill="FFFFFF"/>
          </w:tcPr>
          <w:p>
            <w:r>
              <w:rPr>
                <w:rFonts w:ascii="Aptos" w:hAnsi="Aptos" w:cs="Aptos" w:eastAsia="Aptos"/>
                <w:b w:val="0"/>
                <w:i w:val="0"/>
                <w:color w:val="444444"/>
                <w:sz w:val="20"/>
              </w:rPr>
              <w:t>P3, P4</w:t>
            </w:r>
          </w:p>
        </w:tc>
      </w:tr>
      <w:tr>
        <w:tc>
          <w:tcPr>
            <w:tcW w:type="dxa" w:w="3041"/>
            <w:shd w:val="clear" w:color="auto" w:fill="F5F5F5"/>
          </w:tcPr>
          <w:p>
            <w:r>
              <w:rPr>
                <w:rFonts w:ascii="Aptos" w:hAnsi="Aptos" w:cs="Aptos" w:eastAsia="Aptos"/>
                <w:b w:val="0"/>
                <w:i w:val="0"/>
                <w:color w:val="444444"/>
                <w:sz w:val="20"/>
              </w:rPr>
              <w:t>Emergency Phone (designated number)</w:t>
            </w:r>
          </w:p>
        </w:tc>
        <w:tc>
          <w:tcPr>
            <w:tcW w:type="dxa" w:w="3041"/>
            <w:shd w:val="clear" w:color="auto" w:fill="F5F5F5"/>
          </w:tcPr>
          <w:p>
            <w:r>
              <w:rPr>
                <w:rFonts w:ascii="Aptos" w:hAnsi="Aptos" w:cs="Aptos" w:eastAsia="Aptos"/>
                <w:b w:val="0"/>
                <w:i w:val="0"/>
                <w:color w:val="444444"/>
                <w:sz w:val="20"/>
              </w:rPr>
              <w:t>P1/P2 issues outside business hours</w:t>
            </w:r>
          </w:p>
        </w:tc>
        <w:tc>
          <w:tcPr>
            <w:tcW w:type="dxa" w:w="3041"/>
            <w:shd w:val="clear" w:color="auto" w:fill="F5F5F5"/>
          </w:tcPr>
          <w:p>
            <w:r>
              <w:rPr>
                <w:rFonts w:ascii="Aptos" w:hAnsi="Aptos" w:cs="Aptos" w:eastAsia="Aptos"/>
                <w:b w:val="0"/>
                <w:i w:val="0"/>
                <w:color w:val="444444"/>
                <w:sz w:val="20"/>
              </w:rPr>
              <w:t>P1, P2 only</w:t>
            </w:r>
          </w:p>
        </w:tc>
      </w:tr>
    </w:tbl>
    <w:p/>
    <w:p>
      <w:pPr>
        <w:spacing w:before="120" w:after="120"/>
        <w:jc w:val="both"/>
      </w:pPr>
      <w:r>
        <w:rPr>
          <w:rFonts w:ascii="Aptos" w:hAnsi="Aptos" w:cs="Aptos" w:eastAsia="Aptos"/>
          <w:b/>
          <w:i w:val="0"/>
          <w:color w:val="D4AF37"/>
          <w:sz w:val="24"/>
        </w:rPr>
        <w:t xml:space="preserve">Note: </w:t>
      </w:r>
      <w:r>
        <w:rPr>
          <w:rFonts w:ascii="Aptos" w:hAnsi="Aptos" w:cs="Aptos" w:eastAsia="Aptos"/>
          <w:b w:val="0"/>
          <w:i w:val="0"/>
          <w:color w:val="444444"/>
          <w:sz w:val="24"/>
        </w:rPr>
        <w:t>Issue details and reproduction steps MUST be provided in writing (WhatsApp or email) even for phone-reported issues. Verbal-only reports cannot be acted upon.</w:t>
      </w:r>
    </w:p>
    <w:p>
      <w:pPr>
        <w:spacing w:before="360" w:after="80"/>
      </w:pPr>
      <w:r>
        <w:rPr>
          <w:rFonts w:ascii="Aptos" w:hAnsi="Aptos" w:cs="Aptos" w:eastAsia="Aptos"/>
          <w:b/>
          <w:i w:val="0"/>
          <w:color w:val="1A1A2E"/>
          <w:sz w:val="40"/>
        </w:rPr>
        <w:t>6. Out-of-Scope Items</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The following items are explicitly excluded from this SLA and will be quoted separately as new work engagements if the client wishes to pursue them.</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Pr>
          <w:p>
            <w:pPr>
              <w:jc w:val="center"/>
            </w:pPr>
            <w:r>
              <w:rPr>
                <w:rFonts w:ascii="Aptos" w:hAnsi="Aptos" w:cs="Aptos" w:eastAsia="Aptos"/>
                <w:b/>
                <w:i w:val="0"/>
                <w:color w:val="FFFFFF"/>
                <w:sz w:val="22"/>
              </w:rPr>
              <w:t>Item</w:t>
            </w:r>
          </w:p>
        </w:tc>
        <w:tc>
          <w:tcPr>
            <w:tcW w:type="dxa" w:w="4561"/>
            <w:shd w:val="clear" w:color="auto" w:fill="1A1A2E"/>
          </w:tcPr>
          <w:p>
            <w:pPr>
              <w:jc w:val="center"/>
            </w:pPr>
            <w:r>
              <w:rPr>
                <w:rFonts w:ascii="Aptos" w:hAnsi="Aptos" w:cs="Aptos" w:eastAsia="Aptos"/>
                <w:b/>
                <w:i w:val="0"/>
                <w:color w:val="FFFFFF"/>
                <w:sz w:val="22"/>
              </w:rPr>
              <w:t>Reason</w:t>
            </w:r>
          </w:p>
        </w:tc>
      </w:tr>
      <w:tr>
        <w:tc>
          <w:tcPr>
            <w:tcW w:type="dxa" w:w="4561"/>
            <w:shd w:val="clear" w:color="auto" w:fill="F5F5F5"/>
          </w:tcPr>
          <w:p>
            <w:r>
              <w:rPr>
                <w:rFonts w:ascii="Aptos" w:hAnsi="Aptos" w:cs="Aptos" w:eastAsia="Aptos"/>
                <w:b w:val="0"/>
                <w:i w:val="0"/>
                <w:color w:val="444444"/>
                <w:sz w:val="20"/>
              </w:rPr>
              <w:t>New feature development</w:t>
            </w:r>
          </w:p>
        </w:tc>
        <w:tc>
          <w:tcPr>
            <w:tcW w:type="dxa" w:w="4561"/>
            <w:shd w:val="clear" w:color="auto" w:fill="F5F5F5"/>
          </w:tcPr>
          <w:p>
            <w:r>
              <w:rPr>
                <w:rFonts w:ascii="Aptos" w:hAnsi="Aptos" w:cs="Aptos" w:eastAsia="Aptos"/>
                <w:b w:val="0"/>
                <w:i w:val="0"/>
                <w:color w:val="444444"/>
                <w:sz w:val="20"/>
              </w:rPr>
              <w:t>Beyond original project scope</w:t>
            </w:r>
          </w:p>
        </w:tc>
      </w:tr>
      <w:tr>
        <w:tc>
          <w:tcPr>
            <w:tcW w:type="dxa" w:w="4561"/>
            <w:shd w:val="clear" w:color="auto" w:fill="FFFFFF"/>
          </w:tcPr>
          <w:p>
            <w:r>
              <w:rPr>
                <w:rFonts w:ascii="Aptos" w:hAnsi="Aptos" w:cs="Aptos" w:eastAsia="Aptos"/>
                <w:b w:val="0"/>
                <w:i w:val="0"/>
                <w:color w:val="444444"/>
                <w:sz w:val="20"/>
              </w:rPr>
              <w:t>iOS application</w:t>
            </w:r>
          </w:p>
        </w:tc>
        <w:tc>
          <w:tcPr>
            <w:tcW w:type="dxa" w:w="4561"/>
            <w:shd w:val="clear" w:color="auto" w:fill="FFFFFF"/>
          </w:tcPr>
          <w:p>
            <w:r>
              <w:rPr>
                <w:rFonts w:ascii="Aptos" w:hAnsi="Aptos" w:cs="Aptos" w:eastAsia="Aptos"/>
                <w:b w:val="0"/>
                <w:i w:val="0"/>
                <w:color w:val="444444"/>
                <w:sz w:val="20"/>
              </w:rPr>
              <w:t>Not in scope; requires separate Flutter build</w:t>
            </w:r>
          </w:p>
        </w:tc>
      </w:tr>
      <w:tr>
        <w:tc>
          <w:tcPr>
            <w:tcW w:type="dxa" w:w="4561"/>
            <w:shd w:val="clear" w:color="auto" w:fill="F5F5F5"/>
          </w:tcPr>
          <w:p>
            <w:r>
              <w:rPr>
                <w:rFonts w:ascii="Aptos" w:hAnsi="Aptos" w:cs="Aptos" w:eastAsia="Aptos"/>
                <w:b w:val="0"/>
                <w:i w:val="0"/>
                <w:color w:val="444444"/>
                <w:sz w:val="20"/>
              </w:rPr>
              <w:t>Performance optimizations (major)</w:t>
            </w:r>
          </w:p>
        </w:tc>
        <w:tc>
          <w:tcPr>
            <w:tcW w:type="dxa" w:w="4561"/>
            <w:shd w:val="clear" w:color="auto" w:fill="F5F5F5"/>
          </w:tcPr>
          <w:p>
            <w:r>
              <w:rPr>
                <w:rFonts w:ascii="Aptos" w:hAnsi="Aptos" w:cs="Aptos" w:eastAsia="Aptos"/>
                <w:b w:val="0"/>
                <w:i w:val="0"/>
                <w:color w:val="444444"/>
                <w:sz w:val="20"/>
              </w:rPr>
              <w:t>Requires architectural changes</w:t>
            </w:r>
          </w:p>
        </w:tc>
      </w:tr>
      <w:tr>
        <w:tc>
          <w:tcPr>
            <w:tcW w:type="dxa" w:w="4561"/>
            <w:shd w:val="clear" w:color="auto" w:fill="FFFFFF"/>
          </w:tcPr>
          <w:p>
            <w:r>
              <w:rPr>
                <w:rFonts w:ascii="Aptos" w:hAnsi="Aptos" w:cs="Aptos" w:eastAsia="Aptos"/>
                <w:b w:val="0"/>
                <w:i w:val="0"/>
                <w:color w:val="444444"/>
                <w:sz w:val="20"/>
              </w:rPr>
              <w:t>Third-party API integrations</w:t>
            </w:r>
          </w:p>
        </w:tc>
        <w:tc>
          <w:tcPr>
            <w:tcW w:type="dxa" w:w="4561"/>
            <w:shd w:val="clear" w:color="auto" w:fill="FFFFFF"/>
          </w:tcPr>
          <w:p>
            <w:r>
              <w:rPr>
                <w:rFonts w:ascii="Aptos" w:hAnsi="Aptos" w:cs="Aptos" w:eastAsia="Aptos"/>
                <w:b w:val="0"/>
                <w:i w:val="0"/>
                <w:color w:val="444444"/>
                <w:sz w:val="20"/>
              </w:rPr>
              <w:t>New scope and billing required</w:t>
            </w:r>
          </w:p>
        </w:tc>
      </w:tr>
      <w:tr>
        <w:tc>
          <w:tcPr>
            <w:tcW w:type="dxa" w:w="4561"/>
            <w:shd w:val="clear" w:color="auto" w:fill="F5F5F5"/>
          </w:tcPr>
          <w:p>
            <w:r>
              <w:rPr>
                <w:rFonts w:ascii="Aptos" w:hAnsi="Aptos" w:cs="Aptos" w:eastAsia="Aptos"/>
                <w:b w:val="0"/>
                <w:i w:val="0"/>
                <w:color w:val="444444"/>
                <w:sz w:val="20"/>
              </w:rPr>
              <w:t>Client-side code errors (post-handover)</w:t>
            </w:r>
          </w:p>
        </w:tc>
        <w:tc>
          <w:tcPr>
            <w:tcW w:type="dxa" w:w="4561"/>
            <w:shd w:val="clear" w:color="auto" w:fill="F5F5F5"/>
          </w:tcPr>
          <w:p>
            <w:r>
              <w:rPr>
                <w:rFonts w:ascii="Aptos" w:hAnsi="Aptos" w:cs="Aptos" w:eastAsia="Aptos"/>
                <w:b w:val="0"/>
                <w:i w:val="0"/>
                <w:color w:val="444444"/>
                <w:sz w:val="20"/>
              </w:rPr>
              <w:t>Client assumes responsibility for modifications</w:t>
            </w:r>
          </w:p>
        </w:tc>
      </w:tr>
    </w:tbl>
    <w:p/>
    <w:p>
      <w:pPr>
        <w:spacing w:before="360" w:after="80"/>
      </w:pPr>
      <w:r>
        <w:rPr>
          <w:rFonts w:ascii="Aptos" w:hAnsi="Aptos" w:cs="Aptos" w:eastAsia="Aptos"/>
          <w:b/>
          <w:i w:val="0"/>
          <w:color w:val="1A1A2E"/>
          <w:sz w:val="40"/>
        </w:rPr>
        <w:t>7. Escalation Procedure</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If the client believes that a support issue is not being progressed in accordance with the commitments in this SLA, the following escalation path should be followed.</w:t>
      </w:r>
    </w:p>
    <w:p>
      <w:pPr>
        <w:pStyle w:val="ListNumber"/>
        <w:spacing w:after="80"/>
      </w:pPr>
      <w:r>
        <w:rPr>
          <w:rFonts w:ascii="Aptos" w:hAnsi="Aptos" w:cs="Aptos" w:eastAsia="Aptos"/>
          <w:b w:val="0"/>
          <w:i w:val="0"/>
          <w:color w:val="444444"/>
          <w:sz w:val="24"/>
        </w:rPr>
        <w:t>Level 1: Contact the assigned support engineer directly via WhatsApp and reference the open ticket ID.</w:t>
      </w:r>
    </w:p>
    <w:p>
      <w:pPr>
        <w:pStyle w:val="ListNumber"/>
        <w:spacing w:after="80"/>
      </w:pPr>
      <w:r>
        <w:rPr>
          <w:rFonts w:ascii="Aptos" w:hAnsi="Aptos" w:cs="Aptos" w:eastAsia="Aptos"/>
          <w:b w:val="0"/>
          <w:i w:val="0"/>
          <w:color w:val="444444"/>
          <w:sz w:val="24"/>
        </w:rPr>
        <w:t>Level 2 (if unresolved after 24 hours): Contact the Engineering Team Project Manager directly.</w:t>
      </w:r>
    </w:p>
    <w:p>
      <w:pPr>
        <w:pStyle w:val="ListNumber"/>
        <w:spacing w:after="80"/>
      </w:pPr>
      <w:r>
        <w:rPr>
          <w:rFonts w:ascii="Aptos" w:hAnsi="Aptos" w:cs="Aptos" w:eastAsia="Aptos"/>
          <w:b w:val="0"/>
          <w:i w:val="0"/>
          <w:color w:val="444444"/>
          <w:sz w:val="24"/>
        </w:rPr>
        <w:t>Level 3 (formal escalation): Submit a formal written complaint via email to the managing director of the Support Provider.</w:t>
      </w:r>
    </w:p>
    <w:p>
      <w:pPr>
        <w:spacing w:before="360" w:after="80"/>
      </w:pPr>
      <w:r>
        <w:rPr>
          <w:rFonts w:ascii="Aptos" w:hAnsi="Aptos" w:cs="Aptos" w:eastAsia="Aptos"/>
          <w:b/>
          <w:i w:val="0"/>
          <w:color w:val="1A1A2E"/>
          <w:sz w:val="40"/>
        </w:rPr>
        <w:t>8. SLA Review</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This SLA will be reviewed by both parties at the 3-month mark and at each renewal point. Either party may request amendments in writing with 30 days' notice. The SLA remains in force until formally terminated by either party with 30 days' written notice.</w:t>
      </w:r>
    </w:p>
    <w:p/>
    <w:p>
      <w:pPr>
        <w:spacing w:before="280" w:after="60"/>
      </w:pPr>
      <w:r>
        <w:rPr>
          <w:rFonts w:ascii="Aptos" w:hAnsi="Aptos" w:cs="Aptos" w:eastAsia="Aptos"/>
          <w:b/>
          <w:i w:val="0"/>
          <w:color w:val="1A1A2E"/>
          <w:sz w:val="30"/>
        </w:rPr>
        <w:t>Authorization &amp; Sign-Off</w:t>
      </w:r>
    </w:p>
    <w:p>
      <w:pPr>
        <w:spacing w:after="160"/>
        <w:ind w:firstLine="0"/>
        <w:jc w:val="both"/>
      </w:pPr>
      <w:r>
        <w:rPr>
          <w:rFonts w:ascii="Aptos" w:hAnsi="Aptos" w:cs="Aptos" w:eastAsia="Aptos"/>
          <w:b w:val="0"/>
          <w:i w:val="0"/>
          <w:color w:val="444444"/>
          <w:sz w:val="24"/>
        </w:rPr>
        <w:t>The undersigned parties confirm that they have reviewed the contents of this document and agree to its terms and findings.</w:t>
      </w:r>
    </w:p>
    <w:p/>
    <w:tbl>
      <w:tblPr>
        <w:tblW w:type="auto" w:w="0"/>
        <w:jc w:val="center"/>
        <w:tblLook w:firstColumn="1" w:firstRow="1" w:lastColumn="0" w:lastRow="0" w:noHBand="0" w:noVBand="1" w:val="04A0"/>
      </w:tblPr>
      <w:tblGrid>
        <w:gridCol w:w="4561"/>
        <w:gridCol w:w="4561"/>
      </w:tblGrid>
      <w:tr>
        <w:tc>
          <w:tcPr>
            <w:tcW w:type="dxa" w:w="4561"/>
          </w:tcPr>
          <w:p>
            <w:r>
              <w:rPr>
                <w:rFonts w:ascii="Aptos" w:hAnsi="Aptos" w:cs="Aptos" w:eastAsia="Aptos"/>
                <w:b/>
                <w:i w:val="0"/>
                <w:sz w:val="20"/>
              </w:rPr>
              <w:t>Name:</w:t>
            </w:r>
          </w:p>
        </w:tc>
        <w:tc>
          <w:tcPr>
            <w:tcW w:type="dxa" w:w="4561"/>
          </w:tcPr>
          <w:p>
            <w:r>
              <w:rPr>
                <w:rFonts w:ascii="Aptos" w:hAnsi="Aptos" w:cs="Aptos" w:eastAsia="Aptos"/>
                <w:b w:val="0"/>
                <w:i w:val="0"/>
                <w:color w:val="444444"/>
                <w:sz w:val="20"/>
              </w:rPr>
              <w:t>________________________________________</w:t>
            </w:r>
          </w:p>
        </w:tc>
      </w:tr>
      <w:tr>
        <w:tc>
          <w:tcPr>
            <w:tcW w:type="dxa" w:w="4561"/>
          </w:tcPr>
          <w:p>
            <w:r>
              <w:rPr>
                <w:rFonts w:ascii="Aptos" w:hAnsi="Aptos" w:cs="Aptos" w:eastAsia="Aptos"/>
                <w:b/>
                <w:i w:val="0"/>
                <w:sz w:val="20"/>
              </w:rPr>
              <w:t>Signature:</w:t>
            </w:r>
          </w:p>
        </w:tc>
        <w:tc>
          <w:tcPr>
            <w:tcW w:type="dxa" w:w="4561"/>
          </w:tcPr>
          <w:p>
            <w:r>
              <w:rPr>
                <w:rFonts w:ascii="Aptos" w:hAnsi="Aptos" w:cs="Aptos" w:eastAsia="Aptos"/>
                <w:b w:val="0"/>
                <w:i w:val="0"/>
                <w:color w:val="444444"/>
                <w:sz w:val="20"/>
              </w:rPr>
              <w:t>________________________________________</w:t>
            </w:r>
          </w:p>
        </w:tc>
      </w:tr>
      <w:tr>
        <w:tc>
          <w:tcPr>
            <w:tcW w:type="dxa" w:w="4561"/>
          </w:tcPr>
          <w:p>
            <w:r>
              <w:rPr>
                <w:rFonts w:ascii="Aptos" w:hAnsi="Aptos" w:cs="Aptos" w:eastAsia="Aptos"/>
                <w:b/>
                <w:i w:val="0"/>
                <w:sz w:val="20"/>
              </w:rPr>
              <w:t>Date:</w:t>
            </w:r>
          </w:p>
        </w:tc>
        <w:tc>
          <w:tcPr>
            <w:tcW w:type="dxa" w:w="4561"/>
          </w:tcPr>
          <w:p>
            <w:r>
              <w:rPr>
                <w:rFonts w:ascii="Aptos" w:hAnsi="Aptos" w:cs="Aptos" w:eastAsia="Aptos"/>
                <w:b w:val="0"/>
                <w:i w:val="0"/>
                <w:color w:val="444444"/>
                <w:sz w:val="20"/>
              </w:rPr>
              <w:t>________________________________________</w:t>
            </w:r>
          </w:p>
        </w:tc>
      </w:tr>
    </w:tbl>
    <w:p>
      <w:r>
        <w:rPr>
          <w:rFonts w:ascii="Aptos" w:hAnsi="Aptos" w:cs="Aptos" w:eastAsia="Aptos"/>
          <w:b w:val="0"/>
          <w:i/>
          <w:color w:val="444444"/>
          <w:sz w:val="20"/>
        </w:rPr>
        <w:t>Client Representative  |  Vishal Gold</w:t>
      </w:r>
    </w:p>
    <w:p/>
    <w:tbl>
      <w:tblPr>
        <w:tblW w:type="auto" w:w="0"/>
        <w:jc w:val="center"/>
        <w:tblLook w:firstColumn="1" w:firstRow="1" w:lastColumn="0" w:lastRow="0" w:noHBand="0" w:noVBand="1" w:val="04A0"/>
      </w:tblPr>
      <w:tblGrid>
        <w:gridCol w:w="4561"/>
        <w:gridCol w:w="4561"/>
      </w:tblGrid>
      <w:tr>
        <w:tc>
          <w:tcPr>
            <w:tcW w:type="dxa" w:w="4561"/>
          </w:tcPr>
          <w:p>
            <w:r>
              <w:rPr>
                <w:rFonts w:ascii="Aptos" w:hAnsi="Aptos" w:cs="Aptos" w:eastAsia="Aptos"/>
                <w:b/>
                <w:i w:val="0"/>
                <w:sz w:val="20"/>
              </w:rPr>
              <w:t>Name:</w:t>
            </w:r>
          </w:p>
        </w:tc>
        <w:tc>
          <w:tcPr>
            <w:tcW w:type="dxa" w:w="4561"/>
          </w:tcPr>
          <w:p>
            <w:r>
              <w:rPr>
                <w:rFonts w:ascii="Aptos" w:hAnsi="Aptos" w:cs="Aptos" w:eastAsia="Aptos"/>
                <w:b w:val="0"/>
                <w:i w:val="0"/>
                <w:color w:val="444444"/>
                <w:sz w:val="20"/>
              </w:rPr>
              <w:t>________________________________________</w:t>
            </w:r>
          </w:p>
        </w:tc>
      </w:tr>
      <w:tr>
        <w:tc>
          <w:tcPr>
            <w:tcW w:type="dxa" w:w="4561"/>
          </w:tcPr>
          <w:p>
            <w:r>
              <w:rPr>
                <w:rFonts w:ascii="Aptos" w:hAnsi="Aptos" w:cs="Aptos" w:eastAsia="Aptos"/>
                <w:b/>
                <w:i w:val="0"/>
                <w:sz w:val="20"/>
              </w:rPr>
              <w:t>Signature:</w:t>
            </w:r>
          </w:p>
        </w:tc>
        <w:tc>
          <w:tcPr>
            <w:tcW w:type="dxa" w:w="4561"/>
          </w:tcPr>
          <w:p>
            <w:r>
              <w:rPr>
                <w:rFonts w:ascii="Aptos" w:hAnsi="Aptos" w:cs="Aptos" w:eastAsia="Aptos"/>
                <w:b w:val="0"/>
                <w:i w:val="0"/>
                <w:color w:val="444444"/>
                <w:sz w:val="20"/>
              </w:rPr>
              <w:t>________________________________________</w:t>
            </w:r>
          </w:p>
        </w:tc>
      </w:tr>
      <w:tr>
        <w:tc>
          <w:tcPr>
            <w:tcW w:type="dxa" w:w="4561"/>
          </w:tcPr>
          <w:p>
            <w:r>
              <w:rPr>
                <w:rFonts w:ascii="Aptos" w:hAnsi="Aptos" w:cs="Aptos" w:eastAsia="Aptos"/>
                <w:b/>
                <w:i w:val="0"/>
                <w:sz w:val="20"/>
              </w:rPr>
              <w:t>Date:</w:t>
            </w:r>
          </w:p>
        </w:tc>
        <w:tc>
          <w:tcPr>
            <w:tcW w:type="dxa" w:w="4561"/>
          </w:tcPr>
          <w:p>
            <w:r>
              <w:rPr>
                <w:rFonts w:ascii="Aptos" w:hAnsi="Aptos" w:cs="Aptos" w:eastAsia="Aptos"/>
                <w:b w:val="0"/>
                <w:i w:val="0"/>
                <w:color w:val="444444"/>
                <w:sz w:val="20"/>
              </w:rPr>
              <w:t>________________________________________</w:t>
            </w:r>
          </w:p>
        </w:tc>
      </w:tr>
    </w:tbl>
    <w:p>
      <w:r>
        <w:rPr>
          <w:rFonts w:ascii="Aptos" w:hAnsi="Aptos" w:cs="Aptos" w:eastAsia="Aptos"/>
          <w:b w:val="0"/>
          <w:i/>
          <w:color w:val="444444"/>
          <w:sz w:val="20"/>
        </w:rPr>
        <w:t>Support Provider Lead  |  Engineering Delivery Team</w:t>
      </w:r>
    </w:p>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