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BC44" w14:textId="77777777" w:rsidR="003846A6" w:rsidRDefault="00000000">
      <w:pPr>
        <w:spacing w:after="40"/>
      </w:pPr>
      <w:r>
        <w:rPr>
          <w:b/>
          <w:bCs/>
          <w:color w:val="111827"/>
          <w:sz w:val="44"/>
          <w:szCs w:val="44"/>
        </w:rPr>
        <w:t>UPI Fraud, Failure and Control Review</w:t>
      </w:r>
    </w:p>
    <w:p w14:paraId="24A074AA" w14:textId="11A4315C" w:rsidR="003846A6" w:rsidRDefault="00000000">
      <w:pPr>
        <w:spacing w:after="160" w:line="276" w:lineRule="auto"/>
      </w:pPr>
      <w:r>
        <w:rPr>
          <w:color w:val="6B7280"/>
          <w:sz w:val="20"/>
          <w:szCs w:val="20"/>
        </w:rPr>
        <w:t>Executive report (Step 9) Prepared by Akshay</w:t>
      </w:r>
    </w:p>
    <w:p w14:paraId="3AA87041" w14:textId="42FED64E" w:rsidR="003846A6" w:rsidRDefault="00000000">
      <w:pPr>
        <w:spacing w:after="60" w:line="276" w:lineRule="auto"/>
      </w:pPr>
      <w:r>
        <w:rPr>
          <w:b/>
          <w:bCs/>
          <w:color w:val="0F8B8D"/>
        </w:rPr>
        <w:t xml:space="preserve">Summary. </w:t>
      </w:r>
      <w:r>
        <w:rPr>
          <w:color w:val="111827"/>
        </w:rPr>
        <w:t>We analy</w:t>
      </w:r>
      <w:r w:rsidR="00CE1E59">
        <w:rPr>
          <w:color w:val="111827"/>
        </w:rPr>
        <w:t>zed</w:t>
      </w:r>
      <w:r>
        <w:rPr>
          <w:color w:val="111827"/>
        </w:rPr>
        <w:t xml:space="preserve"> 100,000 UPI transactions (Oct 2020 to 6 Aug 2025). Fraud is 2.00% and failures are 5.87%. One factor clearly drives fraud: rooted devices. Risk scores and other segments do not explain it. The main operational risks are control gaps and slow alert closure.</w:t>
      </w:r>
    </w:p>
    <w:p w14:paraId="6AE746ED" w14:textId="77777777" w:rsidR="003846A6" w:rsidRDefault="00000000">
      <w:pPr>
        <w:keepNext/>
        <w:pBdr>
          <w:bottom w:val="single" w:sz="6" w:space="3" w:color="0F8B8D"/>
        </w:pBdr>
        <w:spacing w:before="160" w:after="100" w:line="276" w:lineRule="auto"/>
      </w:pPr>
      <w:r>
        <w:rPr>
          <w:b/>
          <w:bCs/>
          <w:color w:val="0F8B8D"/>
          <w:sz w:val="28"/>
          <w:szCs w:val="28"/>
        </w:rPr>
        <w:t>Top 5 insights</w:t>
      </w:r>
    </w:p>
    <w:p w14:paraId="4598DFB8" w14:textId="77777777" w:rsidR="003846A6" w:rsidRDefault="00000000">
      <w:pPr>
        <w:keepNext/>
        <w:spacing w:before="100" w:after="20" w:line="276" w:lineRule="auto"/>
      </w:pPr>
      <w:r>
        <w:rPr>
          <w:b/>
          <w:bCs/>
          <w:color w:val="111827"/>
          <w:sz w:val="24"/>
          <w:szCs w:val="24"/>
        </w:rPr>
        <w:t>1.  Rooted devices are the main fraud risk</w:t>
      </w:r>
    </w:p>
    <w:p w14:paraId="14CB65CC" w14:textId="77777777" w:rsidR="003846A6" w:rsidRDefault="00000000">
      <w:pPr>
        <w:spacing w:after="60" w:line="276" w:lineRule="auto"/>
        <w:ind w:left="360"/>
      </w:pPr>
      <w:r>
        <w:rPr>
          <w:color w:val="111827"/>
        </w:rPr>
        <w:t>They are 3.2% of transactions but 32.8% of all fraud. The fraud rate is 20.7% on rooted devices and 1.39% on other devices (14.9 times higher).</w:t>
      </w:r>
    </w:p>
    <w:p w14:paraId="5A0CEF51" w14:textId="77777777" w:rsidR="003846A6" w:rsidRDefault="00000000">
      <w:pPr>
        <w:keepNext/>
        <w:spacing w:before="100" w:after="20" w:line="276" w:lineRule="auto"/>
      </w:pPr>
      <w:r>
        <w:rPr>
          <w:b/>
          <w:bCs/>
          <w:color w:val="111827"/>
          <w:sz w:val="24"/>
          <w:szCs w:val="24"/>
        </w:rPr>
        <w:t>2.  Risk scores and other segments do not predict fraud</w:t>
      </w:r>
    </w:p>
    <w:p w14:paraId="3D45D6B6" w14:textId="77777777" w:rsidR="003846A6" w:rsidRDefault="00000000">
      <w:pPr>
        <w:spacing w:after="60" w:line="276" w:lineRule="auto"/>
        <w:ind w:left="360"/>
      </w:pPr>
      <w:r>
        <w:rPr>
          <w:color w:val="111827"/>
        </w:rPr>
        <w:t>Fraud stays between 1.8% and 2.2% in every device type, channel, region and merchant category. Customer and merchant risk scores are no better than chance, and no merchant category under-performs.</w:t>
      </w:r>
    </w:p>
    <w:p w14:paraId="3B4AC741" w14:textId="77777777" w:rsidR="003846A6" w:rsidRDefault="00000000">
      <w:pPr>
        <w:keepNext/>
        <w:spacing w:before="100" w:after="20" w:line="276" w:lineRule="auto"/>
      </w:pPr>
      <w:r>
        <w:rPr>
          <w:b/>
          <w:bCs/>
          <w:color w:val="111827"/>
          <w:sz w:val="24"/>
          <w:szCs w:val="24"/>
        </w:rPr>
        <w:t>3.  Failures have no single cause</w:t>
      </w:r>
    </w:p>
    <w:p w14:paraId="3ECAD8DD" w14:textId="77777777" w:rsidR="003846A6" w:rsidRDefault="00000000">
      <w:pPr>
        <w:spacing w:after="60" w:line="276" w:lineRule="auto"/>
        <w:ind w:left="360"/>
      </w:pPr>
      <w:r>
        <w:rPr>
          <w:color w:val="111827"/>
        </w:rPr>
        <w:t>5.87% of transactions fail, evenly across all segments. The four reasons (incorrect PIN, network error, account blocked, bank down) are each about 25%.</w:t>
      </w:r>
    </w:p>
    <w:p w14:paraId="06EE5E5F" w14:textId="77777777" w:rsidR="003846A6" w:rsidRDefault="00000000">
      <w:pPr>
        <w:keepNext/>
        <w:spacing w:before="100" w:after="20" w:line="276" w:lineRule="auto"/>
      </w:pPr>
      <w:r>
        <w:rPr>
          <w:b/>
          <w:bCs/>
          <w:color w:val="111827"/>
          <w:sz w:val="24"/>
          <w:szCs w:val="24"/>
        </w:rPr>
        <w:t>4.  Control gaps exist</w:t>
      </w:r>
    </w:p>
    <w:p w14:paraId="01A70BF4" w14:textId="77777777" w:rsidR="003846A6" w:rsidRDefault="00000000">
      <w:pPr>
        <w:spacing w:after="60" w:line="276" w:lineRule="auto"/>
        <w:ind w:left="360"/>
      </w:pPr>
      <w:r>
        <w:rPr>
          <w:color w:val="111827"/>
        </w:rPr>
        <w:t>7,115 transactions (7.1%) came from blocked or suspended UPI accounts and 92% still succeeded. 3,818 transactions are dated before the merchant was onboarded. Account status may be a snapshot, so audit first.</w:t>
      </w:r>
    </w:p>
    <w:p w14:paraId="00822DEA" w14:textId="77777777" w:rsidR="003846A6" w:rsidRDefault="00000000">
      <w:pPr>
        <w:keepNext/>
        <w:spacing w:before="100" w:after="20" w:line="276" w:lineRule="auto"/>
      </w:pPr>
      <w:r>
        <w:rPr>
          <w:b/>
          <w:bCs/>
          <w:color w:val="111827"/>
          <w:sz w:val="24"/>
          <w:szCs w:val="24"/>
        </w:rPr>
        <w:t>5.  Alerts are closed slowly</w:t>
      </w:r>
    </w:p>
    <w:p w14:paraId="1D282C2C" w14:textId="77777777" w:rsidR="003846A6" w:rsidRDefault="00000000">
      <w:pPr>
        <w:spacing w:after="60" w:line="276" w:lineRule="auto"/>
        <w:ind w:left="360"/>
      </w:pPr>
      <w:r>
        <w:rPr>
          <w:color w:val="111827"/>
        </w:rPr>
        <w:t>248 fraud alerts (12.4%) are still open, and resolution takes 35.4 hours on average (64% take over 24 hours). 63% of all fraud happened in 2025, so cases grow with volume.</w:t>
      </w:r>
    </w:p>
    <w:p w14:paraId="293361DF" w14:textId="77777777" w:rsidR="003846A6" w:rsidRDefault="00000000">
      <w:pPr>
        <w:keepNext/>
        <w:pBdr>
          <w:bottom w:val="single" w:sz="6" w:space="3" w:color="0F8B8D"/>
        </w:pBdr>
        <w:spacing w:before="260" w:after="100" w:line="276" w:lineRule="auto"/>
      </w:pPr>
      <w:r>
        <w:rPr>
          <w:b/>
          <w:bCs/>
          <w:color w:val="0F8B8D"/>
          <w:sz w:val="28"/>
          <w:szCs w:val="28"/>
        </w:rPr>
        <w:t>Statistical results (Python, Step 7)</w:t>
      </w:r>
    </w:p>
    <w:p w14:paraId="333E76F3" w14:textId="77777777" w:rsidR="003846A6" w:rsidRDefault="00000000">
      <w:pPr>
        <w:spacing w:after="70" w:line="276" w:lineRule="auto"/>
        <w:ind w:left="360"/>
      </w:pPr>
      <w:r>
        <w:rPr>
          <w:b/>
          <w:bCs/>
          <w:color w:val="111827"/>
        </w:rPr>
        <w:t xml:space="preserve">T-test, amount by device type: </w:t>
      </w:r>
      <w:r>
        <w:rPr>
          <w:color w:val="111827"/>
        </w:rPr>
        <w:t>average amounts were 42.22 and 42.54 (p = 0.2856). No significant difference.</w:t>
      </w:r>
    </w:p>
    <w:p w14:paraId="7E661CAE" w14:textId="77777777" w:rsidR="003846A6" w:rsidRDefault="00000000">
      <w:pPr>
        <w:spacing w:after="70" w:line="276" w:lineRule="auto"/>
        <w:ind w:left="360"/>
      </w:pPr>
      <w:r>
        <w:rPr>
          <w:b/>
          <w:bCs/>
          <w:color w:val="111827"/>
        </w:rPr>
        <w:t xml:space="preserve">Confidence interval, average amount: </w:t>
      </w:r>
      <w:r>
        <w:rPr>
          <w:color w:val="111827"/>
        </w:rPr>
        <w:t>42.42, with a 95% interval of 42.21 to 42.63.</w:t>
      </w:r>
    </w:p>
    <w:p w14:paraId="2E6743F3" w14:textId="77777777" w:rsidR="003846A6" w:rsidRDefault="00000000">
      <w:pPr>
        <w:spacing w:after="70" w:line="276" w:lineRule="auto"/>
        <w:ind w:left="360"/>
      </w:pPr>
      <w:r>
        <w:rPr>
          <w:b/>
          <w:bCs/>
          <w:color w:val="111827"/>
        </w:rPr>
        <w:t xml:space="preserve">ANOVA, fraud by merchant type: </w:t>
      </w:r>
      <w:r>
        <w:rPr>
          <w:color w:val="111827"/>
        </w:rPr>
        <w:t>p = 0.6283. No significant difference between merchant types.</w:t>
      </w:r>
    </w:p>
    <w:p w14:paraId="4AA67F64" w14:textId="77777777" w:rsidR="003846A6" w:rsidRDefault="00000000">
      <w:pPr>
        <w:spacing w:after="70" w:line="276" w:lineRule="auto"/>
        <w:ind w:left="360"/>
      </w:pPr>
      <w:r>
        <w:rPr>
          <w:b/>
          <w:bCs/>
          <w:color w:val="111827"/>
        </w:rPr>
        <w:t xml:space="preserve">Chi-square, fraud vs channel: </w:t>
      </w:r>
      <w:r>
        <w:rPr>
          <w:color w:val="111827"/>
        </w:rPr>
        <w:t>p = 0.1434. No significant link between channel and fraud.</w:t>
      </w:r>
    </w:p>
    <w:p w14:paraId="70720F6B" w14:textId="77777777" w:rsidR="003846A6" w:rsidRDefault="00000000">
      <w:pPr>
        <w:spacing w:after="70" w:line="276" w:lineRule="auto"/>
        <w:ind w:left="360"/>
      </w:pPr>
      <w:r>
        <w:rPr>
          <w:b/>
          <w:bCs/>
          <w:color w:val="111827"/>
        </w:rPr>
        <w:t xml:space="preserve">Correlation, customer risk score vs fraud: </w:t>
      </w:r>
      <w:r>
        <w:rPr>
          <w:color w:val="111827"/>
        </w:rPr>
        <w:t>r = 0.002, p = 0.8842. Virtually no relationship.</w:t>
      </w:r>
    </w:p>
    <w:p w14:paraId="62C671E2" w14:textId="77777777" w:rsidR="003846A6" w:rsidRDefault="00000000">
      <w:pPr>
        <w:spacing w:after="70" w:line="276" w:lineRule="auto"/>
        <w:ind w:left="360"/>
      </w:pPr>
      <w:r>
        <w:rPr>
          <w:b/>
          <w:bCs/>
          <w:color w:val="111827"/>
        </w:rPr>
        <w:t xml:space="preserve">Overall fraud rate: </w:t>
      </w:r>
      <w:r>
        <w:rPr>
          <w:color w:val="111827"/>
        </w:rPr>
        <w:t>2,000 of 100,000 transactions (2.00%), 95% interval 1.92% to 2.09%.</w:t>
      </w:r>
    </w:p>
    <w:p w14:paraId="720BC83C" w14:textId="77777777" w:rsidR="003846A6" w:rsidRDefault="00000000">
      <w:pPr>
        <w:spacing w:after="70" w:line="276" w:lineRule="auto"/>
        <w:ind w:left="360"/>
      </w:pPr>
      <w:r>
        <w:rPr>
          <w:b/>
          <w:bCs/>
          <w:color w:val="111827"/>
        </w:rPr>
        <w:t xml:space="preserve">Added for this report, rooted devices vs fraud: </w:t>
      </w:r>
      <w:r>
        <w:rPr>
          <w:color w:val="111827"/>
        </w:rPr>
        <w:t>chi-square p &lt; 0.001. This is the one strong and significant link we found.</w:t>
      </w:r>
    </w:p>
    <w:p w14:paraId="490D9D88" w14:textId="77777777" w:rsidR="003846A6" w:rsidRDefault="00000000">
      <w:pPr>
        <w:keepNext/>
        <w:pBdr>
          <w:bottom w:val="single" w:sz="6" w:space="3" w:color="0F8B8D"/>
        </w:pBdr>
        <w:spacing w:before="240" w:after="100" w:line="276" w:lineRule="auto"/>
      </w:pPr>
      <w:r>
        <w:rPr>
          <w:b/>
          <w:bCs/>
          <w:color w:val="0F8B8D"/>
          <w:sz w:val="28"/>
          <w:szCs w:val="28"/>
        </w:rPr>
        <w:t>Supporting visualizations</w:t>
      </w:r>
    </w:p>
    <w:p w14:paraId="2A614E70" w14:textId="77777777" w:rsidR="003846A6" w:rsidRDefault="00000000">
      <w:pPr>
        <w:pStyle w:val="ListParagraph"/>
        <w:numPr>
          <w:ilvl w:val="0"/>
          <w:numId w:val="2"/>
        </w:numPr>
        <w:spacing w:after="50" w:line="270" w:lineRule="auto"/>
      </w:pPr>
      <w:r>
        <w:rPr>
          <w:b/>
          <w:bCs/>
          <w:color w:val="111827"/>
        </w:rPr>
        <w:t xml:space="preserve">Python (Step 6 and 7): </w:t>
      </w:r>
      <w:r>
        <w:rPr>
          <w:color w:val="111827"/>
        </w:rPr>
        <w:t>boxplot of amount by device type, amount histogram, fraud by merchant type bar chart, channel vs fraud heatmap, risk score vs fraud scatterplot, legitimate vs fraud bar chart.</w:t>
      </w:r>
    </w:p>
    <w:p w14:paraId="720AE4F8" w14:textId="77777777" w:rsidR="003846A6" w:rsidRDefault="00000000">
      <w:pPr>
        <w:pStyle w:val="ListParagraph"/>
        <w:numPr>
          <w:ilvl w:val="0"/>
          <w:numId w:val="2"/>
        </w:numPr>
        <w:spacing w:after="50" w:line="270" w:lineRule="auto"/>
      </w:pPr>
      <w:r>
        <w:rPr>
          <w:b/>
          <w:bCs/>
          <w:color w:val="111827"/>
        </w:rPr>
        <w:t xml:space="preserve">Power BI: </w:t>
      </w:r>
      <w:r>
        <w:rPr>
          <w:color w:val="111827"/>
        </w:rPr>
        <w:t>Executive Dashboard (KPIs, transaction type, device, region, merchant) and Fraud and Operations Dashboard (fraud amount, open alerts, alerts by type, fraud by device).</w:t>
      </w:r>
    </w:p>
    <w:p w14:paraId="26FEE679" w14:textId="77777777" w:rsidR="003846A6" w:rsidRDefault="00000000">
      <w:pPr>
        <w:keepNext/>
        <w:pageBreakBefore/>
        <w:pBdr>
          <w:bottom w:val="single" w:sz="6" w:space="3" w:color="0F8B8D"/>
        </w:pBdr>
        <w:spacing w:after="100" w:line="276" w:lineRule="auto"/>
      </w:pPr>
      <w:r>
        <w:rPr>
          <w:b/>
          <w:bCs/>
          <w:color w:val="0F8B8D"/>
          <w:sz w:val="28"/>
          <w:szCs w:val="28"/>
        </w:rPr>
        <w:lastRenderedPageBreak/>
        <w:t>Recommendations</w:t>
      </w:r>
    </w:p>
    <w:p w14:paraId="1BDC647C" w14:textId="77777777" w:rsidR="003846A6" w:rsidRDefault="00000000">
      <w:pPr>
        <w:keepNext/>
        <w:spacing w:before="100" w:after="20" w:line="276" w:lineRule="auto"/>
      </w:pPr>
      <w:r>
        <w:rPr>
          <w:b/>
          <w:bCs/>
          <w:color w:val="111827"/>
          <w:sz w:val="24"/>
          <w:szCs w:val="24"/>
        </w:rPr>
        <w:t>1.  Add extra checks for rooted devices</w:t>
      </w:r>
    </w:p>
    <w:p w14:paraId="7107A92F" w14:textId="77777777" w:rsidR="003846A6" w:rsidRDefault="00000000">
      <w:pPr>
        <w:keepNext/>
        <w:spacing w:after="20" w:line="276" w:lineRule="auto"/>
        <w:ind w:left="360"/>
      </w:pPr>
      <w:r>
        <w:rPr>
          <w:b/>
          <w:bCs/>
          <w:color w:val="0F8B8D"/>
        </w:rPr>
        <w:t xml:space="preserve">Why: </w:t>
      </w:r>
      <w:r>
        <w:rPr>
          <w:color w:val="111827"/>
        </w:rPr>
        <w:t>3.2% of transactions carry 32.8% of fraud.</w:t>
      </w:r>
    </w:p>
    <w:p w14:paraId="4DF25C7F" w14:textId="77777777" w:rsidR="003846A6" w:rsidRDefault="00000000">
      <w:pPr>
        <w:spacing w:after="60" w:line="276" w:lineRule="auto"/>
        <w:ind w:left="360"/>
      </w:pPr>
      <w:r>
        <w:rPr>
          <w:b/>
          <w:bCs/>
          <w:color w:val="0F8B8D"/>
        </w:rPr>
        <w:t xml:space="preserve">Impact: </w:t>
      </w:r>
      <w:r>
        <w:rPr>
          <w:color w:val="111827"/>
        </w:rPr>
        <w:t>If the checks stop half of rooted-device fraud, the last 12 months would have had about 219 fewer fraud transactions (15.5% less) and the fraud rate would fall from 1.97% to 1.67%.</w:t>
      </w:r>
    </w:p>
    <w:p w14:paraId="65D347AE" w14:textId="77777777" w:rsidR="003846A6" w:rsidRDefault="00000000">
      <w:pPr>
        <w:keepNext/>
        <w:spacing w:before="100" w:after="20" w:line="276" w:lineRule="auto"/>
      </w:pPr>
      <w:r>
        <w:rPr>
          <w:b/>
          <w:bCs/>
          <w:color w:val="111827"/>
          <w:sz w:val="24"/>
          <w:szCs w:val="24"/>
        </w:rPr>
        <w:t>2.  Rebuild the risk score using device signals</w:t>
      </w:r>
    </w:p>
    <w:p w14:paraId="7571CC5A" w14:textId="77777777" w:rsidR="003846A6" w:rsidRDefault="00000000">
      <w:pPr>
        <w:keepNext/>
        <w:spacing w:after="20" w:line="276" w:lineRule="auto"/>
        <w:ind w:left="360"/>
      </w:pPr>
      <w:r>
        <w:rPr>
          <w:b/>
          <w:bCs/>
          <w:color w:val="0F8B8D"/>
        </w:rPr>
        <w:t xml:space="preserve">Why: </w:t>
      </w:r>
      <w:r>
        <w:rPr>
          <w:color w:val="111827"/>
        </w:rPr>
        <w:t>Current risk scores are no better than chance (AUC about 0.50); the rooted flag alone reaches 0.65.</w:t>
      </w:r>
    </w:p>
    <w:p w14:paraId="29B99959" w14:textId="77777777" w:rsidR="003846A6" w:rsidRDefault="00000000">
      <w:pPr>
        <w:spacing w:after="60" w:line="276" w:lineRule="auto"/>
        <w:ind w:left="360"/>
      </w:pPr>
      <w:r>
        <w:rPr>
          <w:b/>
          <w:bCs/>
          <w:color w:val="0F8B8D"/>
        </w:rPr>
        <w:t xml:space="preserve">Impact: </w:t>
      </w:r>
      <w:r>
        <w:rPr>
          <w:color w:val="111827"/>
        </w:rPr>
        <w:t>Analysts can focus on the 3% of transactions that hold a third of fraud (about 10 times the average fraud rate).</w:t>
      </w:r>
    </w:p>
    <w:p w14:paraId="503CC086" w14:textId="77777777" w:rsidR="003846A6" w:rsidRDefault="00000000">
      <w:pPr>
        <w:keepNext/>
        <w:spacing w:before="100" w:after="20" w:line="276" w:lineRule="auto"/>
      </w:pPr>
      <w:r>
        <w:rPr>
          <w:b/>
          <w:bCs/>
          <w:color w:val="111827"/>
          <w:sz w:val="24"/>
          <w:szCs w:val="24"/>
        </w:rPr>
        <w:t>3.  Enforce account status and merchant onboarding checks (after an audit)</w:t>
      </w:r>
    </w:p>
    <w:p w14:paraId="45B2C2AD" w14:textId="77777777" w:rsidR="003846A6" w:rsidRDefault="00000000">
      <w:pPr>
        <w:keepNext/>
        <w:spacing w:after="20" w:line="276" w:lineRule="auto"/>
        <w:ind w:left="360"/>
      </w:pPr>
      <w:r>
        <w:rPr>
          <w:b/>
          <w:bCs/>
          <w:color w:val="0F8B8D"/>
        </w:rPr>
        <w:t xml:space="preserve">Why: </w:t>
      </w:r>
      <w:r>
        <w:rPr>
          <w:color w:val="111827"/>
        </w:rPr>
        <w:t>7,115 transactions on blocked or suspended accounts and 3,818 before onboarding.</w:t>
      </w:r>
    </w:p>
    <w:p w14:paraId="75E33332" w14:textId="77777777" w:rsidR="003846A6" w:rsidRDefault="00000000">
      <w:pPr>
        <w:spacing w:after="60" w:line="276" w:lineRule="auto"/>
        <w:ind w:left="360"/>
      </w:pPr>
      <w:r>
        <w:rPr>
          <w:b/>
          <w:bCs/>
          <w:color w:val="0F8B8D"/>
        </w:rPr>
        <w:t xml:space="preserve">Impact: </w:t>
      </w:r>
      <w:r>
        <w:rPr>
          <w:color w:val="111827"/>
        </w:rPr>
        <w:t>If account status is correct, up to ₹274,754 of successful transactions (6.5% of total value) would have been blocked.</w:t>
      </w:r>
    </w:p>
    <w:p w14:paraId="283008E4" w14:textId="77777777" w:rsidR="003846A6" w:rsidRDefault="00000000">
      <w:pPr>
        <w:keepNext/>
        <w:spacing w:before="100" w:after="20" w:line="276" w:lineRule="auto"/>
      </w:pPr>
      <w:r>
        <w:rPr>
          <w:b/>
          <w:bCs/>
          <w:color w:val="111827"/>
          <w:sz w:val="24"/>
          <w:szCs w:val="24"/>
        </w:rPr>
        <w:t>4.  Set a 24-hour alert deadline and clear the 248 open alerts</w:t>
      </w:r>
    </w:p>
    <w:p w14:paraId="55D1D2E4" w14:textId="77777777" w:rsidR="003846A6" w:rsidRDefault="00000000">
      <w:pPr>
        <w:keepNext/>
        <w:spacing w:after="20" w:line="276" w:lineRule="auto"/>
        <w:ind w:left="360"/>
      </w:pPr>
      <w:r>
        <w:rPr>
          <w:b/>
          <w:bCs/>
          <w:color w:val="0F8B8D"/>
        </w:rPr>
        <w:t xml:space="preserve">Why: </w:t>
      </w:r>
      <w:r>
        <w:rPr>
          <w:color w:val="111827"/>
        </w:rPr>
        <w:t>Alerts take 35.4 hours on average to resolve.</w:t>
      </w:r>
    </w:p>
    <w:p w14:paraId="6D945A47" w14:textId="77777777" w:rsidR="003846A6" w:rsidRDefault="00000000">
      <w:pPr>
        <w:spacing w:after="60" w:line="276" w:lineRule="auto"/>
        <w:ind w:left="360"/>
      </w:pPr>
      <w:r>
        <w:rPr>
          <w:b/>
          <w:bCs/>
          <w:color w:val="0F8B8D"/>
        </w:rPr>
        <w:t xml:space="preserve">Impact: </w:t>
      </w:r>
      <w:r>
        <w:rPr>
          <w:color w:val="111827"/>
        </w:rPr>
        <w:t>The average would fall to 19.7 hours (44% faster).</w:t>
      </w:r>
    </w:p>
    <w:p w14:paraId="6F5853BF" w14:textId="77777777" w:rsidR="003846A6" w:rsidRDefault="00000000">
      <w:pPr>
        <w:keepNext/>
        <w:spacing w:before="100" w:after="20" w:line="276" w:lineRule="auto"/>
      </w:pPr>
      <w:r>
        <w:rPr>
          <w:b/>
          <w:bCs/>
          <w:color w:val="111827"/>
          <w:sz w:val="24"/>
          <w:szCs w:val="24"/>
        </w:rPr>
        <w:t>5.  Run a customer education drive on PIN errors</w:t>
      </w:r>
    </w:p>
    <w:p w14:paraId="2A91AD44" w14:textId="77777777" w:rsidR="003846A6" w:rsidRDefault="00000000">
      <w:pPr>
        <w:keepNext/>
        <w:spacing w:after="20" w:line="276" w:lineRule="auto"/>
        <w:ind w:left="360"/>
      </w:pPr>
      <w:r>
        <w:rPr>
          <w:b/>
          <w:bCs/>
          <w:color w:val="0F8B8D"/>
        </w:rPr>
        <w:t xml:space="preserve">Why: </w:t>
      </w:r>
      <w:r>
        <w:rPr>
          <w:color w:val="111827"/>
        </w:rPr>
        <w:t>Incorrect PIN causes 25.7% of failures.</w:t>
      </w:r>
    </w:p>
    <w:p w14:paraId="31B0CC51" w14:textId="77777777" w:rsidR="003846A6" w:rsidRDefault="00000000">
      <w:pPr>
        <w:spacing w:after="60" w:line="276" w:lineRule="auto"/>
        <w:ind w:left="360"/>
      </w:pPr>
      <w:r>
        <w:rPr>
          <w:b/>
          <w:bCs/>
          <w:color w:val="0F8B8D"/>
        </w:rPr>
        <w:t xml:space="preserve">Impact: </w:t>
      </w:r>
      <w:r>
        <w:rPr>
          <w:color w:val="111827"/>
        </w:rPr>
        <w:t>If guidance cuts these failures by 30%, the failure rate would fall from 5.87% to 5.42% (453 fewer failed transactions).</w:t>
      </w:r>
    </w:p>
    <w:p w14:paraId="669B0542" w14:textId="77777777" w:rsidR="003846A6" w:rsidRDefault="00000000">
      <w:pPr>
        <w:keepNext/>
        <w:pBdr>
          <w:bottom w:val="single" w:sz="6" w:space="3" w:color="0F8B8D"/>
        </w:pBdr>
        <w:spacing w:before="260" w:after="100" w:line="276" w:lineRule="auto"/>
      </w:pPr>
      <w:r>
        <w:rPr>
          <w:b/>
          <w:bCs/>
          <w:color w:val="0F8B8D"/>
          <w:sz w:val="28"/>
          <w:szCs w:val="28"/>
        </w:rPr>
        <w:t>Limits</w:t>
      </w:r>
    </w:p>
    <w:p w14:paraId="642599E7" w14:textId="77777777" w:rsidR="003846A6" w:rsidRDefault="00000000">
      <w:pPr>
        <w:pStyle w:val="ListParagraph"/>
        <w:numPr>
          <w:ilvl w:val="0"/>
          <w:numId w:val="2"/>
        </w:numPr>
        <w:spacing w:after="50" w:line="270" w:lineRule="auto"/>
      </w:pPr>
      <w:r>
        <w:rPr>
          <w:color w:val="111827"/>
        </w:rPr>
        <w:t>A p-value above 0.05 does not prove there is no difference. The results show association, not cause.</w:t>
      </w:r>
    </w:p>
    <w:p w14:paraId="118E2676" w14:textId="77777777" w:rsidR="003846A6" w:rsidRDefault="00000000">
      <w:pPr>
        <w:pStyle w:val="ListParagraph"/>
        <w:numPr>
          <w:ilvl w:val="0"/>
          <w:numId w:val="2"/>
        </w:numPr>
        <w:spacing w:after="50" w:line="270" w:lineRule="auto"/>
      </w:pPr>
      <w:r>
        <w:rPr>
          <w:color w:val="111827"/>
        </w:rPr>
        <w:t>ANOVA on a yes/no fraud flag is only a rough check; chi-square is better for comparing fraud rates. Amounts may contain outliers.</w:t>
      </w:r>
    </w:p>
    <w:p w14:paraId="156633CB" w14:textId="77777777" w:rsidR="003846A6" w:rsidRDefault="00000000">
      <w:pPr>
        <w:pStyle w:val="ListParagraph"/>
        <w:numPr>
          <w:ilvl w:val="0"/>
          <w:numId w:val="2"/>
        </w:numPr>
        <w:spacing w:after="50" w:line="270" w:lineRule="auto"/>
      </w:pPr>
      <w:r>
        <w:rPr>
          <w:color w:val="111827"/>
        </w:rPr>
        <w:t>Impact numbers are estimates based on the assumptions stated, not forecasts. "Last 12 months" means Aug 2024 to Jul 2025.</w:t>
      </w:r>
    </w:p>
    <w:p w14:paraId="0CDDABB2" w14:textId="77777777" w:rsidR="003846A6" w:rsidRDefault="00000000">
      <w:pPr>
        <w:keepNext/>
        <w:pBdr>
          <w:bottom w:val="single" w:sz="6" w:space="3" w:color="0F8B8D"/>
        </w:pBdr>
        <w:spacing w:before="220" w:after="100" w:line="276" w:lineRule="auto"/>
      </w:pPr>
      <w:r>
        <w:rPr>
          <w:b/>
          <w:bCs/>
          <w:color w:val="0F8B8D"/>
          <w:sz w:val="28"/>
          <w:szCs w:val="28"/>
        </w:rPr>
        <w:t>Conclusion</w:t>
      </w:r>
    </w:p>
    <w:p w14:paraId="2F1080F0" w14:textId="77777777" w:rsidR="003846A6" w:rsidRDefault="00000000">
      <w:pPr>
        <w:spacing w:line="276" w:lineRule="auto"/>
      </w:pPr>
      <w:r>
        <w:rPr>
          <w:color w:val="111827"/>
        </w:rPr>
        <w:t>Fraud is low and, apart from rooted devices, is spread evenly. The best actions are to add checks on rooted devices, fix account and onboarding controls, close alerts faster, and cut avoidable PIN failures.</w:t>
      </w:r>
    </w:p>
    <w:sectPr w:rsidR="003846A6">
      <w:pgSz w:w="11906" w:h="16838"/>
      <w:pgMar w:top="90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176B2"/>
    <w:multiLevelType w:val="hybridMultilevel"/>
    <w:tmpl w:val="ABC0648C"/>
    <w:lvl w:ilvl="0" w:tplc="D4429250">
      <w:start w:val="1"/>
      <w:numFmt w:val="bullet"/>
      <w:lvlText w:val="•"/>
      <w:lvlJc w:val="left"/>
      <w:pPr>
        <w:ind w:left="540" w:hanging="270"/>
      </w:pPr>
    </w:lvl>
    <w:lvl w:ilvl="1" w:tplc="7848CC02">
      <w:numFmt w:val="decimal"/>
      <w:lvlText w:val=""/>
      <w:lvlJc w:val="left"/>
    </w:lvl>
    <w:lvl w:ilvl="2" w:tplc="FC328E7A">
      <w:numFmt w:val="decimal"/>
      <w:lvlText w:val=""/>
      <w:lvlJc w:val="left"/>
    </w:lvl>
    <w:lvl w:ilvl="3" w:tplc="431868E0">
      <w:numFmt w:val="decimal"/>
      <w:lvlText w:val=""/>
      <w:lvlJc w:val="left"/>
    </w:lvl>
    <w:lvl w:ilvl="4" w:tplc="C9A68B84">
      <w:numFmt w:val="decimal"/>
      <w:lvlText w:val=""/>
      <w:lvlJc w:val="left"/>
    </w:lvl>
    <w:lvl w:ilvl="5" w:tplc="BCB4DD2A">
      <w:numFmt w:val="decimal"/>
      <w:lvlText w:val=""/>
      <w:lvlJc w:val="left"/>
    </w:lvl>
    <w:lvl w:ilvl="6" w:tplc="15AE0900">
      <w:numFmt w:val="decimal"/>
      <w:lvlText w:val=""/>
      <w:lvlJc w:val="left"/>
    </w:lvl>
    <w:lvl w:ilvl="7" w:tplc="A9468136">
      <w:numFmt w:val="decimal"/>
      <w:lvlText w:val=""/>
      <w:lvlJc w:val="left"/>
    </w:lvl>
    <w:lvl w:ilvl="8" w:tplc="644E83CA">
      <w:numFmt w:val="decimal"/>
      <w:lvlText w:val=""/>
      <w:lvlJc w:val="left"/>
    </w:lvl>
  </w:abstractNum>
  <w:abstractNum w:abstractNumId="1" w15:restartNumberingAfterBreak="0">
    <w:nsid w:val="73E7326E"/>
    <w:multiLevelType w:val="hybridMultilevel"/>
    <w:tmpl w:val="AA283438"/>
    <w:lvl w:ilvl="0" w:tplc="BB02B35E">
      <w:start w:val="1"/>
      <w:numFmt w:val="bullet"/>
      <w:lvlText w:val="●"/>
      <w:lvlJc w:val="left"/>
      <w:pPr>
        <w:ind w:left="720" w:hanging="360"/>
      </w:pPr>
    </w:lvl>
    <w:lvl w:ilvl="1" w:tplc="9DE01828">
      <w:start w:val="1"/>
      <w:numFmt w:val="bullet"/>
      <w:lvlText w:val="○"/>
      <w:lvlJc w:val="left"/>
      <w:pPr>
        <w:ind w:left="1440" w:hanging="360"/>
      </w:pPr>
    </w:lvl>
    <w:lvl w:ilvl="2" w:tplc="297A7F32">
      <w:start w:val="1"/>
      <w:numFmt w:val="bullet"/>
      <w:lvlText w:val="■"/>
      <w:lvlJc w:val="left"/>
      <w:pPr>
        <w:ind w:left="2160" w:hanging="360"/>
      </w:pPr>
    </w:lvl>
    <w:lvl w:ilvl="3" w:tplc="324A9F66">
      <w:start w:val="1"/>
      <w:numFmt w:val="bullet"/>
      <w:lvlText w:val="●"/>
      <w:lvlJc w:val="left"/>
      <w:pPr>
        <w:ind w:left="2880" w:hanging="360"/>
      </w:pPr>
    </w:lvl>
    <w:lvl w:ilvl="4" w:tplc="99049B06">
      <w:start w:val="1"/>
      <w:numFmt w:val="bullet"/>
      <w:lvlText w:val="○"/>
      <w:lvlJc w:val="left"/>
      <w:pPr>
        <w:ind w:left="3600" w:hanging="360"/>
      </w:pPr>
    </w:lvl>
    <w:lvl w:ilvl="5" w:tplc="E0001A44">
      <w:start w:val="1"/>
      <w:numFmt w:val="bullet"/>
      <w:lvlText w:val="■"/>
      <w:lvlJc w:val="left"/>
      <w:pPr>
        <w:ind w:left="4320" w:hanging="360"/>
      </w:pPr>
    </w:lvl>
    <w:lvl w:ilvl="6" w:tplc="13DA01A2">
      <w:start w:val="1"/>
      <w:numFmt w:val="bullet"/>
      <w:lvlText w:val="●"/>
      <w:lvlJc w:val="left"/>
      <w:pPr>
        <w:ind w:left="5040" w:hanging="360"/>
      </w:pPr>
    </w:lvl>
    <w:lvl w:ilvl="7" w:tplc="ED28D20E">
      <w:start w:val="1"/>
      <w:numFmt w:val="bullet"/>
      <w:lvlText w:val="●"/>
      <w:lvlJc w:val="left"/>
      <w:pPr>
        <w:ind w:left="5760" w:hanging="360"/>
      </w:pPr>
    </w:lvl>
    <w:lvl w:ilvl="8" w:tplc="DD44F360">
      <w:start w:val="1"/>
      <w:numFmt w:val="bullet"/>
      <w:lvlText w:val="●"/>
      <w:lvlJc w:val="left"/>
      <w:pPr>
        <w:ind w:left="6480" w:hanging="360"/>
      </w:pPr>
    </w:lvl>
  </w:abstractNum>
  <w:num w:numId="1" w16cid:durableId="285426691">
    <w:abstractNumId w:val="1"/>
    <w:lvlOverride w:ilvl="0">
      <w:startOverride w:val="1"/>
    </w:lvlOverride>
  </w:num>
  <w:num w:numId="2" w16cid:durableId="855072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6A6"/>
    <w:rsid w:val="003846A6"/>
    <w:rsid w:val="007C6D18"/>
    <w:rsid w:val="00CE1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9656"/>
  <w15:docId w15:val="{3F08AD97-1E2B-4002-B3CE-57953BD6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UPI Fraud, Failure and Control Review</dc:title>
  <dc:creator>Akshay</dc:creator>
  <cp:lastModifiedBy>dell</cp:lastModifiedBy>
  <cp:revision>2</cp:revision>
  <dcterms:created xsi:type="dcterms:W3CDTF">2026-10-21T04:29:00Z</dcterms:created>
  <dcterms:modified xsi:type="dcterms:W3CDTF">2026-10-21T04:29:00Z</dcterms:modified>
</cp:coreProperties>
</file>