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EASTERN COALFIELDS LIMITED (ECL)</w:t>
      </w:r>
    </w:p>
    <w:p>
      <w:pPr>
        <w:pStyle w:val="Heading2"/>
      </w:pPr>
      <w:r>
        <w:t>ANNUAL MINE SAFETY AUDIT REPORT - 2023-24</w:t>
      </w:r>
    </w:p>
    <w:p>
      <w:r>
        <w:t>This report summarizes the statutory occupational safety and DGMS compliance inspection conducted across the underground and opencast mines of the Raniganj coalfield.</w:t>
      </w:r>
    </w:p>
    <w:p>
      <w:pPr>
        <w:pStyle w:val="Heading3"/>
      </w:pPr>
      <w:r>
        <w:t>Statutory DGMS Compliance Review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Inspection Area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DGMS Benchmark</w:t>
            </w:r>
          </w:p>
        </w:tc>
        <w:tc>
          <w:tcPr>
            <w:tcW w:type="dxa" w:w="1728"/>
          </w:tcPr>
          <w:p>
            <w:r>
              <w:t>Observed Value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Sripur Colliery</w:t>
            </w:r>
          </w:p>
        </w:tc>
        <w:tc>
          <w:tcPr>
            <w:tcW w:type="dxa" w:w="1728"/>
          </w:tcPr>
          <w:p>
            <w:r>
              <w:t>Methane Concentration</w:t>
            </w:r>
          </w:p>
        </w:tc>
        <w:tc>
          <w:tcPr>
            <w:tcW w:type="dxa" w:w="1728"/>
          </w:tcPr>
          <w:p>
            <w:r>
              <w:t>&lt; 0.5%</w:t>
            </w:r>
          </w:p>
        </w:tc>
        <w:tc>
          <w:tcPr>
            <w:tcW w:type="dxa" w:w="1728"/>
          </w:tcPr>
          <w:p>
            <w:r>
              <w:t>0.12%</w:t>
            </w:r>
          </w:p>
        </w:tc>
        <w:tc>
          <w:tcPr>
            <w:tcW w:type="dxa" w:w="1728"/>
          </w:tcPr>
          <w:p>
            <w:r>
              <w:t>COMPLIANT</w:t>
            </w:r>
          </w:p>
        </w:tc>
      </w:tr>
      <w:tr>
        <w:tc>
          <w:tcPr>
            <w:tcW w:type="dxa" w:w="1728"/>
          </w:tcPr>
          <w:p>
            <w:r>
              <w:t>Satgram Incline</w:t>
            </w:r>
          </w:p>
        </w:tc>
        <w:tc>
          <w:tcPr>
            <w:tcW w:type="dxa" w:w="1728"/>
          </w:tcPr>
          <w:p>
            <w:r>
              <w:t>Air Velocity (m/min)</w:t>
            </w:r>
          </w:p>
        </w:tc>
        <w:tc>
          <w:tcPr>
            <w:tcW w:type="dxa" w:w="1728"/>
          </w:tcPr>
          <w:p>
            <w:r>
              <w:t>&gt; 30</w:t>
            </w:r>
          </w:p>
        </w:tc>
        <w:tc>
          <w:tcPr>
            <w:tcW w:type="dxa" w:w="1728"/>
          </w:tcPr>
          <w:p>
            <w:r>
              <w:t>45.2</w:t>
            </w:r>
          </w:p>
        </w:tc>
        <w:tc>
          <w:tcPr>
            <w:tcW w:type="dxa" w:w="1728"/>
          </w:tcPr>
          <w:p>
            <w:r>
              <w:t>COMPLIANT</w:t>
            </w:r>
          </w:p>
        </w:tc>
      </w:tr>
      <w:tr>
        <w:tc>
          <w:tcPr>
            <w:tcW w:type="dxa" w:w="1728"/>
          </w:tcPr>
          <w:p>
            <w:r>
              <w:t>Jhanjra Project</w:t>
            </w:r>
          </w:p>
        </w:tc>
        <w:tc>
          <w:tcPr>
            <w:tcW w:type="dxa" w:w="1728"/>
          </w:tcPr>
          <w:p>
            <w:r>
              <w:t>Support Resistance (t/m2)</w:t>
            </w:r>
          </w:p>
        </w:tc>
        <w:tc>
          <w:tcPr>
            <w:tcW w:type="dxa" w:w="1728"/>
          </w:tcPr>
          <w:p>
            <w:r>
              <w:t>&gt; 15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  <w:tc>
          <w:tcPr>
            <w:tcW w:type="dxa" w:w="1728"/>
          </w:tcPr>
          <w:p>
            <w:r>
              <w:t>COMPLIANT</w:t>
            </w:r>
          </w:p>
        </w:tc>
      </w:tr>
      <w:tr>
        <w:tc>
          <w:tcPr>
            <w:tcW w:type="dxa" w:w="1728"/>
          </w:tcPr>
          <w:p>
            <w:r>
              <w:t>Ningah Seam</w:t>
            </w:r>
          </w:p>
        </w:tc>
        <w:tc>
          <w:tcPr>
            <w:tcW w:type="dxa" w:w="1728"/>
          </w:tcPr>
          <w:p>
            <w:r>
              <w:t>Dust Sampling (mg/m3)</w:t>
            </w:r>
          </w:p>
        </w:tc>
        <w:tc>
          <w:tcPr>
            <w:tcW w:type="dxa" w:w="1728"/>
          </w:tcPr>
          <w:p>
            <w:r>
              <w:t>&lt; 2.0</w:t>
            </w:r>
          </w:p>
        </w:tc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