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52"/>
        </w:rPr>
        <w:t>GL-003 UNIFIEDSTEAM</w:t>
        <w:br/>
        <w:t>SteamSystemOptimizer</w:t>
      </w:r>
    </w:p>
    <w:p>
      <w:pPr>
        <w:jc w:val="center"/>
      </w:pPr>
      <w:r>
        <w:rPr>
          <w:rFonts w:ascii="Calibri" w:hAnsi="Calibri" w:eastAsia="Calibri"/>
          <w:sz w:val="24"/>
        </w:rPr>
        <w:t>Unified steam optimizer with IAPWS-IF97 thermodynamics, optimization, explainability, causal root-cause analysis, trap diagnostics, and uncertainty quantification.</w:t>
      </w:r>
    </w:p>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Calibri" w:hAnsi="Calibri" w:eastAsia="Calibri"/>
                <w:b/>
                <w:sz w:val="20"/>
              </w:rPr>
              <w:t>Agent ID</w:t>
            </w:r>
          </w:p>
        </w:tc>
        <w:tc>
          <w:tcPr>
            <w:tcW w:type="dxa" w:w="4320"/>
            <w:vAlign w:val="center"/>
          </w:tcPr>
          <w:p>
            <w:r>
              <w:rPr>
                <w:rFonts w:ascii="Calibri" w:hAnsi="Calibri" w:eastAsia="Calibri"/>
                <w:b/>
                <w:sz w:val="20"/>
              </w:rPr>
              <w:t>GL-003</w:t>
            </w:r>
          </w:p>
        </w:tc>
      </w:tr>
      <w:tr>
        <w:tc>
          <w:tcPr>
            <w:tcW w:type="dxa" w:w="4320"/>
            <w:vAlign w:val="center"/>
          </w:tcPr>
          <w:p>
            <w:r>
              <w:rPr>
                <w:rFonts w:ascii="Calibri" w:hAnsi="Calibri" w:eastAsia="Calibri"/>
                <w:b/>
                <w:sz w:val="20"/>
              </w:rPr>
              <w:t>Codename</w:t>
            </w:r>
          </w:p>
        </w:tc>
        <w:tc>
          <w:tcPr>
            <w:tcW w:type="dxa" w:w="4320"/>
            <w:vAlign w:val="center"/>
          </w:tcPr>
          <w:p>
            <w:r>
              <w:rPr>
                <w:rFonts w:ascii="Calibri" w:hAnsi="Calibri" w:eastAsia="Calibri"/>
                <w:sz w:val="20"/>
              </w:rPr>
              <w:t>UNIFIEDSTEAM</w:t>
            </w:r>
          </w:p>
        </w:tc>
      </w:tr>
      <w:tr>
        <w:tc>
          <w:tcPr>
            <w:tcW w:type="dxa" w:w="4320"/>
            <w:vAlign w:val="center"/>
          </w:tcPr>
          <w:p>
            <w:r>
              <w:rPr>
                <w:rFonts w:ascii="Calibri" w:hAnsi="Calibri" w:eastAsia="Calibri"/>
                <w:b/>
                <w:sz w:val="20"/>
              </w:rPr>
              <w:t>Domain</w:t>
            </w:r>
          </w:p>
        </w:tc>
        <w:tc>
          <w:tcPr>
            <w:tcW w:type="dxa" w:w="4320"/>
            <w:vAlign w:val="center"/>
          </w:tcPr>
          <w:p>
            <w:r>
              <w:rPr>
                <w:rFonts w:ascii="Calibri" w:hAnsi="Calibri" w:eastAsia="Calibri"/>
                <w:sz w:val="20"/>
              </w:rPr>
              <w:t>Steam Systems</w:t>
            </w:r>
          </w:p>
        </w:tc>
      </w:tr>
      <w:tr>
        <w:tc>
          <w:tcPr>
            <w:tcW w:type="dxa" w:w="4320"/>
            <w:vAlign w:val="center"/>
          </w:tcPr>
          <w:p>
            <w:r>
              <w:rPr>
                <w:rFonts w:ascii="Calibri" w:hAnsi="Calibri" w:eastAsia="Calibri"/>
                <w:b/>
                <w:sz w:val="20"/>
              </w:rPr>
              <w:t>Type</w:t>
            </w:r>
          </w:p>
        </w:tc>
        <w:tc>
          <w:tcPr>
            <w:tcW w:type="dxa" w:w="4320"/>
            <w:vAlign w:val="center"/>
          </w:tcPr>
          <w:p>
            <w:r>
              <w:rPr>
                <w:rFonts w:ascii="Calibri" w:hAnsi="Calibri" w:eastAsia="Calibri"/>
                <w:sz w:val="20"/>
              </w:rPr>
              <w:t>Optimizer / Advisory + Control Support</w:t>
            </w:r>
          </w:p>
        </w:tc>
      </w:tr>
      <w:tr>
        <w:tc>
          <w:tcPr>
            <w:tcW w:type="dxa" w:w="4320"/>
            <w:vAlign w:val="center"/>
          </w:tcPr>
          <w:p>
            <w:r>
              <w:rPr>
                <w:rFonts w:ascii="Calibri" w:hAnsi="Calibri" w:eastAsia="Calibri"/>
                <w:b/>
                <w:sz w:val="20"/>
              </w:rPr>
              <w:t>Priority</w:t>
            </w:r>
          </w:p>
        </w:tc>
        <w:tc>
          <w:tcPr>
            <w:tcW w:type="dxa" w:w="4320"/>
            <w:vAlign w:val="center"/>
          </w:tcPr>
          <w:p>
            <w:r>
              <w:rPr>
                <w:rFonts w:ascii="Calibri" w:hAnsi="Calibri" w:eastAsia="Calibri"/>
                <w:sz w:val="20"/>
              </w:rPr>
              <w:t>High (P1)</w:t>
            </w:r>
          </w:p>
        </w:tc>
      </w:tr>
      <w:tr>
        <w:tc>
          <w:tcPr>
            <w:tcW w:type="dxa" w:w="4320"/>
            <w:vAlign w:val="center"/>
          </w:tcPr>
          <w:p>
            <w:r>
              <w:rPr>
                <w:rFonts w:ascii="Calibri" w:hAnsi="Calibri" w:eastAsia="Calibri"/>
                <w:b/>
                <w:sz w:val="20"/>
              </w:rPr>
              <w:t>Business Value (portfolio)</w:t>
            </w:r>
          </w:p>
        </w:tc>
        <w:tc>
          <w:tcPr>
            <w:tcW w:type="dxa" w:w="4320"/>
            <w:vAlign w:val="center"/>
          </w:tcPr>
          <w:p>
            <w:r>
              <w:rPr>
                <w:rFonts w:ascii="Calibri" w:hAnsi="Calibri" w:eastAsia="Calibri"/>
                <w:sz w:val="20"/>
              </w:rPr>
              <w:t>$14B (as provided)</w:t>
            </w:r>
          </w:p>
        </w:tc>
      </w:tr>
      <w:tr>
        <w:tc>
          <w:tcPr>
            <w:tcW w:type="dxa" w:w="4320"/>
            <w:vAlign w:val="center"/>
          </w:tcPr>
          <w:p>
            <w:r>
              <w:rPr>
                <w:rFonts w:ascii="Calibri" w:hAnsi="Calibri" w:eastAsia="Calibri"/>
                <w:b/>
                <w:sz w:val="20"/>
              </w:rPr>
              <w:t>Target Quarter</w:t>
            </w:r>
          </w:p>
        </w:tc>
        <w:tc>
          <w:tcPr>
            <w:tcW w:type="dxa" w:w="4320"/>
            <w:vAlign w:val="center"/>
          </w:tcPr>
          <w:p>
            <w:r>
              <w:rPr>
                <w:rFonts w:ascii="Calibri" w:hAnsi="Calibri" w:eastAsia="Calibri"/>
                <w:sz w:val="20"/>
              </w:rPr>
              <w:t>Q1 2026 (as provided)</w:t>
            </w:r>
          </w:p>
        </w:tc>
      </w:tr>
    </w:tbl>
    <w:p/>
    <w:p>
      <w:pPr>
        <w:jc w:val="center"/>
      </w:pPr>
      <w:r>
        <w:rPr>
          <w:sz w:val="20"/>
        </w:rPr>
        <w:t>Document version: 1.1   |   Date: December 17, 2025   |   Status: Implemented (baseline) + cross-team enablement plan</w:t>
      </w:r>
    </w:p>
    <w:p>
      <w:r>
        <w:br w:type="page"/>
      </w:r>
    </w:p>
    <w:p>
      <w:pPr>
        <w:pStyle w:val="Heading1"/>
      </w:pPr>
      <w:r>
        <w:t>How to use this document</w:t>
      </w:r>
    </w:p>
    <w:p>
      <w:r>
        <w:t>This document aligns all teams (AI/ML, software development, data engineering, intelligence/analytics, thermal engineering, controls/OT, reliability/maintenance, and climate intelligence) on what GL-003 is, what it must deliver, and what each team must do to deploy, operate, and scale it.</w:t>
      </w:r>
    </w:p>
    <w:p>
      <w:r>
        <w:t>It is intentionally action-oriented: each section explains the technical requirements and ends with concrete deliverables and acceptance criteria.</w:t>
      </w:r>
    </w:p>
    <w:p>
      <w:pPr>
        <w:pStyle w:val="Heading1"/>
      </w:pPr>
      <w:r>
        <w:t>1. Executive summary</w:t>
      </w:r>
    </w:p>
    <w:p>
      <w:r>
        <w:t>GL-003 (UNIFIEDSTEAM) is a unified steam-system optimization agent that combines first-principles thermodynamic calculations (IAPWS-IF97), operational optimization, and AI-driven diagnostics into one deployable capability for industrial steam networks.</w:t>
      </w:r>
    </w:p>
    <w:p>
      <w:r>
        <w:t>It consolidates capabilities previously delivered as GL-008, GL-012, and GL-017 into a single platform service, so that users receive a consistent, explainable recommendation set across steam generation, distribution, use, and condensate recovery.</w:t>
      </w:r>
    </w:p>
    <w:p>
      <w:pPr>
        <w:pStyle w:val="Heading2"/>
      </w:pPr>
      <w:r>
        <w:t>What GL-003 does in production</w:t>
      </w:r>
    </w:p>
    <w:p>
      <w:pPr>
        <w:pStyle w:val="ListBullet"/>
      </w:pPr>
      <w:r>
        <w:t>Computes real-time steam properties (enthalpy, entropy, density, quality, superheat) using IAPWS-IF97 from pressure/temperature/quality inputs.</w:t>
      </w:r>
    </w:p>
    <w:p>
      <w:pPr>
        <w:pStyle w:val="ListBullet"/>
      </w:pPr>
      <w:r>
        <w:t>Performs enthalpy and mass balances across steam headers, desuperheaters, process users, condensate return, and condensers to identify losses and constraints.</w:t>
      </w:r>
    </w:p>
    <w:p>
      <w:pPr>
        <w:pStyle w:val="ListBullet"/>
      </w:pPr>
      <w:r>
        <w:t>Optimizes desuperheater operation to maintain steam quality/temperature with minimal spray water and minimal risk of wet steam / erosion.</w:t>
      </w:r>
    </w:p>
    <w:p>
      <w:pPr>
        <w:pStyle w:val="ListBullet"/>
      </w:pPr>
      <w:r>
        <w:t>Monitors steam quality and distribution health, including steam trap condition (predictive failure) using acoustics + process context.</w:t>
      </w:r>
    </w:p>
    <w:p>
      <w:pPr>
        <w:pStyle w:val="ListBullet"/>
      </w:pPr>
      <w:r>
        <w:t>Performs causal root-cause analysis (RCA) to attribute deviations (e.g., low header pressure, poor quality, low condensate return) to the most likely upstream causes.</w:t>
      </w:r>
    </w:p>
    <w:p>
      <w:pPr>
        <w:pStyle w:val="ListBullet"/>
      </w:pPr>
      <w:r>
        <w:t>Generates recommendations with explainability (SHAP/LIME for ML components + physics-based traces for thermodynamics) and uncertainty bounds.</w:t>
      </w:r>
    </w:p>
    <w:p>
      <w:pPr>
        <w:pStyle w:val="ListBullet"/>
      </w:pPr>
      <w:r>
        <w:t>Produces climate/energy impact estimates (fuel, cost, CO2e) for each recommendation and for realized savings.</w:t>
      </w:r>
    </w:p>
    <w:p>
      <w:pPr>
        <w:pStyle w:val="Heading2"/>
      </w:pPr>
      <w:r>
        <w:t>Core inputs and outputs (at-a-glance)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Key inputs (from OT/IT)</w:t>
            </w:r>
          </w:p>
        </w:tc>
        <w:tc>
          <w:tcPr>
            <w:tcW w:type="dxa" w:w="4320"/>
          </w:tcPr>
          <w:p>
            <w:r>
              <w:rPr>
                <w:rFonts w:ascii="Calibri" w:hAnsi="Calibri" w:eastAsia="Calibri"/>
                <w:b/>
                <w:sz w:val="20"/>
              </w:rPr>
              <w:t>Key outputs (to users / systems)</w:t>
            </w:r>
          </w:p>
        </w:tc>
      </w:tr>
      <w:tr>
        <w:tc>
          <w:tcPr>
            <w:tcW w:type="dxa" w:w="4320"/>
          </w:tcPr>
          <w:p>
            <w:r>
              <w:rPr>
                <w:rFonts w:ascii="Calibri" w:hAnsi="Calibri" w:eastAsia="Calibri"/>
                <w:sz w:val="20"/>
              </w:rPr>
              <w:t>• Steam pressure</w:t>
              <w:br/>
              <w:t>• Steam temperature</w:t>
              <w:br/>
              <w:t>• Steam flow (mass preferred)</w:t>
              <w:br/>
              <w:t>• Steam quality (dryness fraction) or quality surrogate</w:t>
              <w:br/>
              <w:t>• Condensate return flow + temperature</w:t>
              <w:br/>
              <w:t>• Water chemistry (conductivity, pH, dissolved oxygen, silica, etc.)</w:t>
              <w:br/>
              <w:t>• Steam trap acoustics (edge features)</w:t>
              <w:br/>
              <w:t>• Condenser vacuum (if applicable)</w:t>
              <w:br/>
              <w:t>• Cooling water temperature (if applicable)</w:t>
              <w:br/>
              <w:t>• Operational context: boiler load, PRV status, valve positions, setpoints, maintenance events</w:t>
            </w:r>
          </w:p>
        </w:tc>
        <w:tc>
          <w:tcPr>
            <w:tcW w:type="dxa" w:w="4320"/>
          </w:tcPr>
          <w:p>
            <w:r>
              <w:rPr>
                <w:rFonts w:ascii="Calibri" w:hAnsi="Calibri" w:eastAsia="Calibri"/>
                <w:sz w:val="20"/>
              </w:rPr>
              <w:t>• Steam quality metrics + alarms</w:t>
              <w:br/>
              <w:t>• Desuperheater spray-water setpoint recommendations</w:t>
              <w:br/>
              <w:t>• Enthalpy-balance dashboards (losses, heat rate, KPIs)</w:t>
              <w:br/>
              <w:t>• Optimization recommendations (operational + maintenance)</w:t>
              <w:br/>
              <w:t>• Explainability reports (why + contributing signals)</w:t>
              <w:br/>
              <w:t>• Causal analysis (ranked root causes + counterfactuals)</w:t>
              <w:br/>
              <w:t>• Uncertainty bounds for key computed metrics</w:t>
              <w:br/>
              <w:t>• Trap failure predictions + maintenance priority list</w:t>
            </w:r>
          </w:p>
        </w:tc>
      </w:tr>
    </w:tbl>
    <w:p>
      <w:pPr>
        <w:pStyle w:val="Heading1"/>
      </w:pPr>
      <w:r>
        <w:t>2. Scope and system boundaries</w:t>
      </w:r>
    </w:p>
    <w:p>
      <w:r>
        <w:t>GL-003 is designed for industrial steam networks where steam is generated (boilers), conditioned (PRVs, attemperators/desuperheaters), distributed (headers), used in processes, and partially recovered via condensate return and/or surface condensers.</w:t>
      </w:r>
    </w:p>
    <w:p>
      <w:pPr>
        <w:pStyle w:val="Heading2"/>
      </w:pPr>
      <w:r>
        <w:t>2.1 In-scope equipment and sub-systems</w:t>
      </w:r>
    </w:p>
    <w:p>
      <w:pPr>
        <w:pStyle w:val="ListBullet"/>
      </w:pPr>
      <w:r>
        <w:t>Boilers and/or HRSG steam generation signals (monitoring in-scope even if control is out-of-scope)</w:t>
      </w:r>
    </w:p>
    <w:p>
      <w:pPr>
        <w:pStyle w:val="ListBullet"/>
      </w:pPr>
      <w:r>
        <w:t>Steam headers and distribution, including PRVs, control valves, and isolation valves (where instrumented)</w:t>
      </w:r>
    </w:p>
    <w:p>
      <w:pPr>
        <w:pStyle w:val="ListBullet"/>
      </w:pPr>
      <w:r>
        <w:t>Desuperheaters / attemperators (spray-water injection systems)</w:t>
      </w:r>
    </w:p>
    <w:p>
      <w:pPr>
        <w:pStyle w:val="ListBullet"/>
      </w:pPr>
      <w:r>
        <w:t>Steam users (heat exchangers, turbines, reboilers, dryers) when pressure/temperature/flow metering exists</w:t>
      </w:r>
    </w:p>
    <w:p>
      <w:pPr>
        <w:pStyle w:val="ListBullet"/>
      </w:pPr>
      <w:r>
        <w:t>Steam traps and condensate return network</w:t>
      </w:r>
    </w:p>
    <w:p>
      <w:pPr>
        <w:pStyle w:val="ListBullet"/>
      </w:pPr>
      <w:r>
        <w:t>Condensers and cooling water systems (where steam is condensed under vacuum)</w:t>
      </w:r>
    </w:p>
    <w:p>
      <w:pPr>
        <w:pStyle w:val="ListBullet"/>
      </w:pPr>
      <w:r>
        <w:t>Water chemistry / blowdown drivers that materially impact steam quality and heat rate</w:t>
      </w:r>
    </w:p>
    <w:p>
      <w:pPr>
        <w:pStyle w:val="Heading2"/>
      </w:pPr>
      <w:r>
        <w:t>2.2 Out-of-scope (unless explicitly added)</w:t>
      </w:r>
    </w:p>
    <w:p>
      <w:pPr>
        <w:pStyle w:val="ListBullet"/>
      </w:pPr>
      <w:r>
        <w:t>Closed-loop automatic control authority without an approved OT change management process (GL-003 may recommend setpoints; autonomous actuation requires explicit enablement).</w:t>
      </w:r>
    </w:p>
    <w:p>
      <w:pPr>
        <w:pStyle w:val="ListBullet"/>
      </w:pPr>
      <w:r>
        <w:t>Mechanical design changes (e.g., re-piping) beyond providing engineered recommendations and business cases.</w:t>
      </w:r>
    </w:p>
    <w:p>
      <w:pPr>
        <w:pStyle w:val="ListBullet"/>
      </w:pPr>
      <w:r>
        <w:t>Boiler combustion optimization (covered by other agents) except for reporting steam demand and efficiency impacts.</w:t>
      </w:r>
    </w:p>
    <w:p>
      <w:pPr>
        <w:pStyle w:val="ListBullet"/>
      </w:pPr>
      <w:r>
        <w:t>Safety instrumented function (SIF) logic changes (GL-003 must respect existing safety envelopes).</w:t>
      </w:r>
    </w:p>
    <w:p>
      <w:pPr>
        <w:pStyle w:val="Heading1"/>
      </w:pPr>
      <w:r>
        <w:t>3. Absorbed capabilities (GL-008, GL-012, GL-017) and unified module map</w:t>
      </w:r>
    </w:p>
    <w:p>
      <w:r>
        <w:t>GL-003 unifies and standardizes previously separate feature sets so the platform produces one coherent set of diagnoses and recommendations. The mapping below is used for code ownership and backlog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b/>
                <w:sz w:val="20"/>
              </w:rPr>
              <w:t>Legacy feature set</w:t>
            </w:r>
          </w:p>
        </w:tc>
        <w:tc>
          <w:tcPr>
            <w:tcW w:type="dxa" w:w="2160"/>
          </w:tcPr>
          <w:p>
            <w:r>
              <w:rPr>
                <w:rFonts w:ascii="Calibri" w:hAnsi="Calibri" w:eastAsia="Calibri"/>
                <w:b/>
                <w:sz w:val="20"/>
              </w:rPr>
              <w:t>What it covered</w:t>
            </w:r>
          </w:p>
        </w:tc>
        <w:tc>
          <w:tcPr>
            <w:tcW w:type="dxa" w:w="2160"/>
          </w:tcPr>
          <w:p>
            <w:r>
              <w:rPr>
                <w:rFonts w:ascii="Calibri" w:hAnsi="Calibri" w:eastAsia="Calibri"/>
                <w:b/>
                <w:sz w:val="20"/>
              </w:rPr>
              <w:t>GL-003 unified module</w:t>
            </w:r>
          </w:p>
        </w:tc>
        <w:tc>
          <w:tcPr>
            <w:tcW w:type="dxa" w:w="2160"/>
          </w:tcPr>
          <w:p>
            <w:r>
              <w:rPr>
                <w:rFonts w:ascii="Calibri" w:hAnsi="Calibri" w:eastAsia="Calibri"/>
                <w:b/>
                <w:sz w:val="20"/>
              </w:rPr>
              <w:t>Primary outputs</w:t>
            </w:r>
          </w:p>
        </w:tc>
      </w:tr>
      <w:tr>
        <w:tc>
          <w:tcPr>
            <w:tcW w:type="dxa" w:w="2160"/>
          </w:tcPr>
          <w:p>
            <w:r>
              <w:rPr>
                <w:rFonts w:ascii="Calibri" w:hAnsi="Calibri" w:eastAsia="Calibri"/>
                <w:sz w:val="20"/>
              </w:rPr>
              <w:t>GL-008 (absorbed)</w:t>
            </w:r>
          </w:p>
        </w:tc>
        <w:tc>
          <w:tcPr>
            <w:tcW w:type="dxa" w:w="2160"/>
          </w:tcPr>
          <w:p>
            <w:r>
              <w:rPr>
                <w:rFonts w:ascii="Calibri" w:hAnsi="Calibri" w:eastAsia="Calibri"/>
                <w:sz w:val="20"/>
              </w:rPr>
              <w:t>Steam trap diagnostics + loss estimation</w:t>
            </w:r>
          </w:p>
        </w:tc>
        <w:tc>
          <w:tcPr>
            <w:tcW w:type="dxa" w:w="2160"/>
          </w:tcPr>
          <w:p>
            <w:r>
              <w:rPr>
                <w:rFonts w:ascii="Calibri" w:hAnsi="Calibri" w:eastAsia="Calibri"/>
                <w:sz w:val="20"/>
              </w:rPr>
              <w:t>Trap Diagnostics Service</w:t>
            </w:r>
          </w:p>
        </w:tc>
        <w:tc>
          <w:tcPr>
            <w:tcW w:type="dxa" w:w="2160"/>
          </w:tcPr>
          <w:p>
            <w:r>
              <w:rPr>
                <w:rFonts w:ascii="Calibri" w:hAnsi="Calibri" w:eastAsia="Calibri"/>
                <w:sz w:val="20"/>
              </w:rPr>
              <w:t>Trap failure probability, loss rate estimate, maintenance priority</w:t>
            </w:r>
          </w:p>
        </w:tc>
      </w:tr>
      <w:tr>
        <w:tc>
          <w:tcPr>
            <w:tcW w:type="dxa" w:w="2160"/>
          </w:tcPr>
          <w:p>
            <w:r>
              <w:rPr>
                <w:rFonts w:ascii="Calibri" w:hAnsi="Calibri" w:eastAsia="Calibri"/>
                <w:sz w:val="20"/>
              </w:rPr>
              <w:t>GL-012 (absorbed)</w:t>
            </w:r>
          </w:p>
        </w:tc>
        <w:tc>
          <w:tcPr>
            <w:tcW w:type="dxa" w:w="2160"/>
          </w:tcPr>
          <w:p>
            <w:r>
              <w:rPr>
                <w:rFonts w:ascii="Calibri" w:hAnsi="Calibri" w:eastAsia="Calibri"/>
                <w:sz w:val="20"/>
              </w:rPr>
              <w:t>Desuperheater optimization + steam conditioning</w:t>
            </w:r>
          </w:p>
        </w:tc>
        <w:tc>
          <w:tcPr>
            <w:tcW w:type="dxa" w:w="2160"/>
          </w:tcPr>
          <w:p>
            <w:r>
              <w:rPr>
                <w:rFonts w:ascii="Calibri" w:hAnsi="Calibri" w:eastAsia="Calibri"/>
                <w:sz w:val="20"/>
              </w:rPr>
              <w:t>Desuperheater Optimizer</w:t>
            </w:r>
          </w:p>
        </w:tc>
        <w:tc>
          <w:tcPr>
            <w:tcW w:type="dxa" w:w="2160"/>
          </w:tcPr>
          <w:p>
            <w:r>
              <w:rPr>
                <w:rFonts w:ascii="Calibri" w:hAnsi="Calibri" w:eastAsia="Calibri"/>
                <w:sz w:val="20"/>
              </w:rPr>
              <w:t>Spray-water recommendation, superheat/quality alarms, valve/nozzle performance flags</w:t>
            </w:r>
          </w:p>
        </w:tc>
      </w:tr>
      <w:tr>
        <w:tc>
          <w:tcPr>
            <w:tcW w:type="dxa" w:w="2160"/>
          </w:tcPr>
          <w:p>
            <w:r>
              <w:rPr>
                <w:rFonts w:ascii="Calibri" w:hAnsi="Calibri" w:eastAsia="Calibri"/>
                <w:sz w:val="20"/>
              </w:rPr>
              <w:t>GL-017 (absorbed)</w:t>
            </w:r>
          </w:p>
        </w:tc>
        <w:tc>
          <w:tcPr>
            <w:tcW w:type="dxa" w:w="2160"/>
          </w:tcPr>
          <w:p>
            <w:r>
              <w:rPr>
                <w:rFonts w:ascii="Calibri" w:hAnsi="Calibri" w:eastAsia="Calibri"/>
                <w:sz w:val="20"/>
              </w:rPr>
              <w:t>Condensate recovery optimization + return KPIs</w:t>
            </w:r>
          </w:p>
        </w:tc>
        <w:tc>
          <w:tcPr>
            <w:tcW w:type="dxa" w:w="2160"/>
          </w:tcPr>
          <w:p>
            <w:r>
              <w:rPr>
                <w:rFonts w:ascii="Calibri" w:hAnsi="Calibri" w:eastAsia="Calibri"/>
                <w:sz w:val="20"/>
              </w:rPr>
              <w:t>Condensate Recovery Optimizer</w:t>
            </w:r>
          </w:p>
        </w:tc>
        <w:tc>
          <w:tcPr>
            <w:tcW w:type="dxa" w:w="2160"/>
          </w:tcPr>
          <w:p>
            <w:r>
              <w:rPr>
                <w:rFonts w:ascii="Calibri" w:hAnsi="Calibri" w:eastAsia="Calibri"/>
                <w:sz w:val="20"/>
              </w:rPr>
              <w:t>Return-rate KPI, flash/vent losses, pump/receiver constraints, recovery recommendations</w:t>
            </w:r>
          </w:p>
        </w:tc>
      </w:tr>
      <w:tr>
        <w:tc>
          <w:tcPr>
            <w:tcW w:type="dxa" w:w="2160"/>
          </w:tcPr>
          <w:p>
            <w:r>
              <w:rPr>
                <w:rFonts w:ascii="Calibri" w:hAnsi="Calibri" w:eastAsia="Calibri"/>
                <w:sz w:val="20"/>
              </w:rPr>
              <w:t>GL-003 (native)</w:t>
            </w:r>
          </w:p>
        </w:tc>
        <w:tc>
          <w:tcPr>
            <w:tcW w:type="dxa" w:w="2160"/>
          </w:tcPr>
          <w:p>
            <w:r>
              <w:rPr>
                <w:rFonts w:ascii="Calibri" w:hAnsi="Calibri" w:eastAsia="Calibri"/>
                <w:sz w:val="20"/>
              </w:rPr>
              <w:t>Thermo engine + enthalpy balance + causal RCA + uncertainty quantification</w:t>
            </w:r>
          </w:p>
        </w:tc>
        <w:tc>
          <w:tcPr>
            <w:tcW w:type="dxa" w:w="2160"/>
          </w:tcPr>
          <w:p>
            <w:r>
              <w:rPr>
                <w:rFonts w:ascii="Calibri" w:hAnsi="Calibri" w:eastAsia="Calibri"/>
                <w:sz w:val="20"/>
              </w:rPr>
              <w:t>Thermo/Balance + Causal/UQ Core</w:t>
            </w:r>
          </w:p>
        </w:tc>
        <w:tc>
          <w:tcPr>
            <w:tcW w:type="dxa" w:w="2160"/>
          </w:tcPr>
          <w:p>
            <w:r>
              <w:rPr>
                <w:rFonts w:ascii="Calibri" w:hAnsi="Calibri" w:eastAsia="Calibri"/>
                <w:sz w:val="20"/>
              </w:rPr>
              <w:t>Computed steam properties, heat balance, root-cause ranking, uncertainty bands, explainability package</w:t>
            </w:r>
          </w:p>
        </w:tc>
      </w:tr>
    </w:tbl>
    <w:p>
      <w:pPr>
        <w:pStyle w:val="Heading1"/>
      </w:pPr>
      <w:r>
        <w:t>4. Data requirements and instrumentation</w:t>
      </w:r>
    </w:p>
    <w:p>
      <w:r>
        <w:t>GL-003 is only as reliable as the instrumentation feeding it. This section defines required signals, recommended sensor specifications, sampling rates, and how data must be transported into the platform.</w:t>
      </w:r>
    </w:p>
    <w:p>
      <w:pPr>
        <w:pStyle w:val="Heading2"/>
      </w:pPr>
      <w:r>
        <w:t>4.1 Required measurements (minimum viable deployment)</w:t>
      </w:r>
    </w:p>
    <w:p>
      <w:r>
        <w:t>At minimum, each optimized steam segment requires: (1) pressure, (2) temperature, (3) flow, and either (4a) a steam quality measurement or (4b) enough context to infer quality and superheat reliably. A detailed instrumentation table is provided on the next page in landscape format.</w:t>
      </w:r>
    </w:p>
    <w:p>
      <w:pPr>
        <w:sectPr>
          <w:pgSz w:w="12240" w:h="15840"/>
          <w:pgMar w:top="1440" w:right="1800" w:bottom="1440" w:left="1800" w:header="720" w:footer="720" w:gutter="0"/>
          <w:cols w:space="720"/>
          <w:docGrid w:linePitch="360"/>
        </w:sectPr>
      </w:pPr>
    </w:p>
    <w:p>
      <w:pPr>
        <w:pStyle w:val="Heading2"/>
      </w:pPr>
      <w:r>
        <w:t>4.1 Required measurements table (instrumentation specs)</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584"/>
            <w:vAlign w:val="center"/>
          </w:tcPr>
          <w:p>
            <w:r>
              <w:rPr>
                <w:rFonts w:ascii="Calibri" w:hAnsi="Calibri" w:eastAsia="Calibri"/>
                <w:b/>
                <w:sz w:val="18"/>
              </w:rPr>
              <w:t>Signal</w:t>
            </w:r>
          </w:p>
        </w:tc>
        <w:tc>
          <w:tcPr>
            <w:tcW w:type="dxa" w:w="2448"/>
            <w:vAlign w:val="center"/>
          </w:tcPr>
          <w:p>
            <w:r>
              <w:rPr>
                <w:rFonts w:ascii="Calibri" w:hAnsi="Calibri" w:eastAsia="Calibri"/>
                <w:b/>
                <w:sz w:val="18"/>
              </w:rPr>
              <w:t>Typical location</w:t>
            </w:r>
          </w:p>
        </w:tc>
        <w:tc>
          <w:tcPr>
            <w:tcW w:type="dxa" w:w="1728"/>
            <w:vAlign w:val="center"/>
          </w:tcPr>
          <w:p>
            <w:r>
              <w:rPr>
                <w:rFonts w:ascii="Calibri" w:hAnsi="Calibri" w:eastAsia="Calibri"/>
                <w:b/>
                <w:sz w:val="18"/>
              </w:rPr>
              <w:t>Units</w:t>
            </w:r>
          </w:p>
        </w:tc>
        <w:tc>
          <w:tcPr>
            <w:tcW w:type="dxa" w:w="2016"/>
            <w:vAlign w:val="center"/>
          </w:tcPr>
          <w:p>
            <w:r>
              <w:rPr>
                <w:rFonts w:ascii="Calibri" w:hAnsi="Calibri" w:eastAsia="Calibri"/>
                <w:b/>
                <w:sz w:val="18"/>
              </w:rPr>
              <w:t>Typical range (site-specific)</w:t>
            </w:r>
          </w:p>
        </w:tc>
        <w:tc>
          <w:tcPr>
            <w:tcW w:type="dxa" w:w="1440"/>
            <w:vAlign w:val="center"/>
          </w:tcPr>
          <w:p>
            <w:r>
              <w:rPr>
                <w:rFonts w:ascii="Calibri" w:hAnsi="Calibri" w:eastAsia="Calibri"/>
                <w:b/>
                <w:sz w:val="18"/>
              </w:rPr>
              <w:t>Min. sample rate</w:t>
            </w:r>
          </w:p>
        </w:tc>
        <w:tc>
          <w:tcPr>
            <w:tcW w:type="dxa" w:w="1584"/>
            <w:vAlign w:val="center"/>
          </w:tcPr>
          <w:p>
            <w:r>
              <w:rPr>
                <w:rFonts w:ascii="Calibri" w:hAnsi="Calibri" w:eastAsia="Calibri"/>
                <w:b/>
                <w:sz w:val="18"/>
              </w:rPr>
              <w:t>Rec. accuracy</w:t>
            </w:r>
          </w:p>
        </w:tc>
        <w:tc>
          <w:tcPr>
            <w:tcW w:type="dxa" w:w="5616"/>
            <w:vAlign w:val="center"/>
          </w:tcPr>
          <w:p>
            <w:r>
              <w:rPr>
                <w:rFonts w:ascii="Calibri" w:hAnsi="Calibri" w:eastAsia="Calibri"/>
                <w:b/>
                <w:sz w:val="18"/>
              </w:rPr>
              <w:t>Engineering notes</w:t>
            </w:r>
          </w:p>
        </w:tc>
      </w:tr>
      <w:tr>
        <w:tc>
          <w:tcPr>
            <w:tcW w:type="dxa" w:w="1584"/>
            <w:vAlign w:val="top"/>
          </w:tcPr>
          <w:p>
            <w:r>
              <w:rPr>
                <w:rFonts w:ascii="Calibri" w:hAnsi="Calibri" w:eastAsia="Calibri"/>
                <w:sz w:val="18"/>
              </w:rPr>
              <w:t>Steam pressure</w:t>
            </w:r>
          </w:p>
        </w:tc>
        <w:tc>
          <w:tcPr>
            <w:tcW w:type="dxa" w:w="2448"/>
            <w:vAlign w:val="top"/>
          </w:tcPr>
          <w:p>
            <w:r>
              <w:rPr>
                <w:rFonts w:ascii="Calibri" w:hAnsi="Calibri" w:eastAsia="Calibri"/>
                <w:sz w:val="18"/>
              </w:rPr>
              <w:t>Header / user inlet</w:t>
            </w:r>
          </w:p>
        </w:tc>
        <w:tc>
          <w:tcPr>
            <w:tcW w:type="dxa" w:w="1728"/>
            <w:vAlign w:val="top"/>
          </w:tcPr>
          <w:p>
            <w:r>
              <w:rPr>
                <w:rFonts w:ascii="Calibri" w:hAnsi="Calibri" w:eastAsia="Calibri"/>
                <w:sz w:val="18"/>
              </w:rPr>
              <w:t>kPa(g) or bar(g)</w:t>
            </w:r>
          </w:p>
        </w:tc>
        <w:tc>
          <w:tcPr>
            <w:tcW w:type="dxa" w:w="2016"/>
            <w:vAlign w:val="top"/>
          </w:tcPr>
          <w:p>
            <w:r>
              <w:rPr>
                <w:rFonts w:ascii="Calibri" w:hAnsi="Calibri" w:eastAsia="Calibri"/>
                <w:sz w:val="18"/>
              </w:rPr>
              <w:t>200–4,000 kPa(g)</w:t>
            </w:r>
          </w:p>
        </w:tc>
        <w:tc>
          <w:tcPr>
            <w:tcW w:type="dxa" w:w="1440"/>
            <w:vAlign w:val="top"/>
          </w:tcPr>
          <w:p>
            <w:r>
              <w:rPr>
                <w:rFonts w:ascii="Calibri" w:hAnsi="Calibri" w:eastAsia="Calibri"/>
                <w:sz w:val="18"/>
              </w:rPr>
              <w:t>1–5 s</w:t>
            </w:r>
          </w:p>
        </w:tc>
        <w:tc>
          <w:tcPr>
            <w:tcW w:type="dxa" w:w="1584"/>
            <w:vAlign w:val="top"/>
          </w:tcPr>
          <w:p>
            <w:r>
              <w:rPr>
                <w:rFonts w:ascii="Calibri" w:hAnsi="Calibri" w:eastAsia="Calibri"/>
                <w:sz w:val="18"/>
              </w:rPr>
              <w:t>±0.25% FS</w:t>
            </w:r>
          </w:p>
        </w:tc>
        <w:tc>
          <w:tcPr>
            <w:tcW w:type="dxa" w:w="5616"/>
            <w:vAlign w:val="top"/>
          </w:tcPr>
          <w:p>
            <w:r>
              <w:rPr>
                <w:rFonts w:ascii="Calibri" w:hAnsi="Calibri" w:eastAsia="Calibri"/>
                <w:sz w:val="18"/>
              </w:rPr>
              <w:t>Use temperature-compensated transmitters where needed; annual calibration recommended.</w:t>
            </w:r>
          </w:p>
        </w:tc>
      </w:tr>
      <w:tr>
        <w:tc>
          <w:tcPr>
            <w:tcW w:type="dxa" w:w="1584"/>
            <w:vAlign w:val="top"/>
          </w:tcPr>
          <w:p>
            <w:r>
              <w:rPr>
                <w:rFonts w:ascii="Calibri" w:hAnsi="Calibri" w:eastAsia="Calibri"/>
                <w:sz w:val="18"/>
              </w:rPr>
              <w:t>Steam temperature</w:t>
            </w:r>
          </w:p>
        </w:tc>
        <w:tc>
          <w:tcPr>
            <w:tcW w:type="dxa" w:w="2448"/>
            <w:vAlign w:val="top"/>
          </w:tcPr>
          <w:p>
            <w:r>
              <w:rPr>
                <w:rFonts w:ascii="Calibri" w:hAnsi="Calibri" w:eastAsia="Calibri"/>
                <w:sz w:val="18"/>
              </w:rPr>
              <w:t>Header / user inlet / post-desuperheater</w:t>
            </w:r>
          </w:p>
        </w:tc>
        <w:tc>
          <w:tcPr>
            <w:tcW w:type="dxa" w:w="1728"/>
            <w:vAlign w:val="top"/>
          </w:tcPr>
          <w:p>
            <w:r>
              <w:rPr>
                <w:rFonts w:ascii="Calibri" w:hAnsi="Calibri" w:eastAsia="Calibri"/>
                <w:sz w:val="18"/>
              </w:rPr>
              <w:t>°C</w:t>
            </w:r>
          </w:p>
        </w:tc>
        <w:tc>
          <w:tcPr>
            <w:tcW w:type="dxa" w:w="2016"/>
            <w:vAlign w:val="top"/>
          </w:tcPr>
          <w:p>
            <w:r>
              <w:rPr>
                <w:rFonts w:ascii="Calibri" w:hAnsi="Calibri" w:eastAsia="Calibri"/>
                <w:sz w:val="18"/>
              </w:rPr>
              <w:t>120–600 °C</w:t>
            </w:r>
          </w:p>
        </w:tc>
        <w:tc>
          <w:tcPr>
            <w:tcW w:type="dxa" w:w="1440"/>
            <w:vAlign w:val="top"/>
          </w:tcPr>
          <w:p>
            <w:r>
              <w:rPr>
                <w:rFonts w:ascii="Calibri" w:hAnsi="Calibri" w:eastAsia="Calibri"/>
                <w:sz w:val="18"/>
              </w:rPr>
              <w:t>1–5 s</w:t>
            </w:r>
          </w:p>
        </w:tc>
        <w:tc>
          <w:tcPr>
            <w:tcW w:type="dxa" w:w="1584"/>
            <w:vAlign w:val="top"/>
          </w:tcPr>
          <w:p>
            <w:r>
              <w:rPr>
                <w:rFonts w:ascii="Calibri" w:hAnsi="Calibri" w:eastAsia="Calibri"/>
                <w:sz w:val="18"/>
              </w:rPr>
              <w:t>±0.5 °C (RTD) / ±1 °C (TC)</w:t>
            </w:r>
          </w:p>
        </w:tc>
        <w:tc>
          <w:tcPr>
            <w:tcW w:type="dxa" w:w="5616"/>
            <w:vAlign w:val="top"/>
          </w:tcPr>
          <w:p>
            <w:r>
              <w:rPr>
                <w:rFonts w:ascii="Calibri" w:hAnsi="Calibri" w:eastAsia="Calibri"/>
                <w:sz w:val="18"/>
              </w:rPr>
              <w:t>Thermowell response time and placement drive accuracy; validate for superheated steam.</w:t>
            </w:r>
          </w:p>
        </w:tc>
      </w:tr>
      <w:tr>
        <w:tc>
          <w:tcPr>
            <w:tcW w:type="dxa" w:w="1584"/>
            <w:vAlign w:val="top"/>
          </w:tcPr>
          <w:p>
            <w:r>
              <w:rPr>
                <w:rFonts w:ascii="Calibri" w:hAnsi="Calibri" w:eastAsia="Calibri"/>
                <w:sz w:val="18"/>
              </w:rPr>
              <w:t>Steam flow</w:t>
            </w:r>
          </w:p>
        </w:tc>
        <w:tc>
          <w:tcPr>
            <w:tcW w:type="dxa" w:w="2448"/>
            <w:vAlign w:val="top"/>
          </w:tcPr>
          <w:p>
            <w:r>
              <w:rPr>
                <w:rFonts w:ascii="Calibri" w:hAnsi="Calibri" w:eastAsia="Calibri"/>
                <w:sz w:val="18"/>
              </w:rPr>
              <w:t>Header / branch</w:t>
            </w:r>
          </w:p>
        </w:tc>
        <w:tc>
          <w:tcPr>
            <w:tcW w:type="dxa" w:w="1728"/>
            <w:vAlign w:val="top"/>
          </w:tcPr>
          <w:p>
            <w:r>
              <w:rPr>
                <w:rFonts w:ascii="Calibri" w:hAnsi="Calibri" w:eastAsia="Calibri"/>
                <w:sz w:val="18"/>
              </w:rPr>
              <w:t>kg/s (preferred) or t/h</w:t>
            </w:r>
          </w:p>
        </w:tc>
        <w:tc>
          <w:tcPr>
            <w:tcW w:type="dxa" w:w="2016"/>
            <w:vAlign w:val="top"/>
          </w:tcPr>
          <w:p>
            <w:r>
              <w:rPr>
                <w:rFonts w:ascii="Calibri" w:hAnsi="Calibri" w:eastAsia="Calibri"/>
                <w:sz w:val="18"/>
              </w:rPr>
              <w:t>0–200 kg/s</w:t>
            </w:r>
          </w:p>
        </w:tc>
        <w:tc>
          <w:tcPr>
            <w:tcW w:type="dxa" w:w="1440"/>
            <w:vAlign w:val="top"/>
          </w:tcPr>
          <w:p>
            <w:r>
              <w:rPr>
                <w:rFonts w:ascii="Calibri" w:hAnsi="Calibri" w:eastAsia="Calibri"/>
                <w:sz w:val="18"/>
              </w:rPr>
              <w:t>1–10 s</w:t>
            </w:r>
          </w:p>
        </w:tc>
        <w:tc>
          <w:tcPr>
            <w:tcW w:type="dxa" w:w="1584"/>
            <w:vAlign w:val="top"/>
          </w:tcPr>
          <w:p>
            <w:r>
              <w:rPr>
                <w:rFonts w:ascii="Calibri" w:hAnsi="Calibri" w:eastAsia="Calibri"/>
                <w:sz w:val="18"/>
              </w:rPr>
              <w:t>±1–2% of reading</w:t>
            </w:r>
          </w:p>
        </w:tc>
        <w:tc>
          <w:tcPr>
            <w:tcW w:type="dxa" w:w="5616"/>
            <w:vAlign w:val="top"/>
          </w:tcPr>
          <w:p>
            <w:r>
              <w:rPr>
                <w:rFonts w:ascii="Calibri" w:hAnsi="Calibri" w:eastAsia="Calibri"/>
                <w:sz w:val="18"/>
              </w:rPr>
              <w:t>Prefer mass flow. If volumetric, convert using IF97 density and increase uncertainty.</w:t>
            </w:r>
          </w:p>
        </w:tc>
      </w:tr>
      <w:tr>
        <w:tc>
          <w:tcPr>
            <w:tcW w:type="dxa" w:w="1584"/>
            <w:vAlign w:val="top"/>
          </w:tcPr>
          <w:p>
            <w:r>
              <w:rPr>
                <w:rFonts w:ascii="Calibri" w:hAnsi="Calibri" w:eastAsia="Calibri"/>
                <w:sz w:val="18"/>
              </w:rPr>
              <w:t>Steam quality</w:t>
            </w:r>
          </w:p>
        </w:tc>
        <w:tc>
          <w:tcPr>
            <w:tcW w:type="dxa" w:w="2448"/>
            <w:vAlign w:val="top"/>
          </w:tcPr>
          <w:p>
            <w:r>
              <w:rPr>
                <w:rFonts w:ascii="Calibri" w:hAnsi="Calibri" w:eastAsia="Calibri"/>
                <w:sz w:val="18"/>
              </w:rPr>
              <w:t>Wet steam lines / after PRV / critical users</w:t>
            </w:r>
          </w:p>
        </w:tc>
        <w:tc>
          <w:tcPr>
            <w:tcW w:type="dxa" w:w="1728"/>
            <w:vAlign w:val="top"/>
          </w:tcPr>
          <w:p>
            <w:r>
              <w:rPr>
                <w:rFonts w:ascii="Calibri" w:hAnsi="Calibri" w:eastAsia="Calibri"/>
                <w:sz w:val="18"/>
              </w:rPr>
              <w:t>Dryness fraction x</w:t>
            </w:r>
          </w:p>
        </w:tc>
        <w:tc>
          <w:tcPr>
            <w:tcW w:type="dxa" w:w="2016"/>
            <w:vAlign w:val="top"/>
          </w:tcPr>
          <w:p>
            <w:r>
              <w:rPr>
                <w:rFonts w:ascii="Calibri" w:hAnsi="Calibri" w:eastAsia="Calibri"/>
                <w:sz w:val="18"/>
              </w:rPr>
              <w:t>0.80–1.00</w:t>
            </w:r>
          </w:p>
        </w:tc>
        <w:tc>
          <w:tcPr>
            <w:tcW w:type="dxa" w:w="1440"/>
            <w:vAlign w:val="top"/>
          </w:tcPr>
          <w:p>
            <w:r>
              <w:rPr>
                <w:rFonts w:ascii="Calibri" w:hAnsi="Calibri" w:eastAsia="Calibri"/>
                <w:sz w:val="18"/>
              </w:rPr>
              <w:t>5–30 s</w:t>
            </w:r>
          </w:p>
        </w:tc>
        <w:tc>
          <w:tcPr>
            <w:tcW w:type="dxa" w:w="1584"/>
            <w:vAlign w:val="top"/>
          </w:tcPr>
          <w:p>
            <w:r>
              <w:rPr>
                <w:rFonts w:ascii="Calibri" w:hAnsi="Calibri" w:eastAsia="Calibri"/>
                <w:sz w:val="18"/>
              </w:rPr>
              <w:t>±0.01 x (where possible)</w:t>
            </w:r>
          </w:p>
        </w:tc>
        <w:tc>
          <w:tcPr>
            <w:tcW w:type="dxa" w:w="5616"/>
            <w:vAlign w:val="top"/>
          </w:tcPr>
          <w:p>
            <w:r>
              <w:rPr>
                <w:rFonts w:ascii="Calibri" w:hAnsi="Calibri" w:eastAsia="Calibri"/>
                <w:sz w:val="18"/>
              </w:rPr>
              <w:t>If no analyzer exists, use inferential quality with explicit uncertainty and validation checks.</w:t>
            </w:r>
          </w:p>
        </w:tc>
      </w:tr>
      <w:tr>
        <w:tc>
          <w:tcPr>
            <w:tcW w:type="dxa" w:w="1584"/>
            <w:vAlign w:val="top"/>
          </w:tcPr>
          <w:p>
            <w:r>
              <w:rPr>
                <w:rFonts w:ascii="Calibri" w:hAnsi="Calibri" w:eastAsia="Calibri"/>
                <w:sz w:val="18"/>
              </w:rPr>
              <w:t>Condensate return flow</w:t>
            </w:r>
          </w:p>
        </w:tc>
        <w:tc>
          <w:tcPr>
            <w:tcW w:type="dxa" w:w="2448"/>
            <w:vAlign w:val="top"/>
          </w:tcPr>
          <w:p>
            <w:r>
              <w:rPr>
                <w:rFonts w:ascii="Calibri" w:hAnsi="Calibri" w:eastAsia="Calibri"/>
                <w:sz w:val="18"/>
              </w:rPr>
              <w:t>Return header / receiver</w:t>
            </w:r>
          </w:p>
        </w:tc>
        <w:tc>
          <w:tcPr>
            <w:tcW w:type="dxa" w:w="1728"/>
            <w:vAlign w:val="top"/>
          </w:tcPr>
          <w:p>
            <w:r>
              <w:rPr>
                <w:rFonts w:ascii="Calibri" w:hAnsi="Calibri" w:eastAsia="Calibri"/>
                <w:sz w:val="18"/>
              </w:rPr>
              <w:t>kg/s or m³/h</w:t>
            </w:r>
          </w:p>
        </w:tc>
        <w:tc>
          <w:tcPr>
            <w:tcW w:type="dxa" w:w="2016"/>
            <w:vAlign w:val="top"/>
          </w:tcPr>
          <w:p>
            <w:r>
              <w:rPr>
                <w:rFonts w:ascii="Calibri" w:hAnsi="Calibri" w:eastAsia="Calibri"/>
                <w:sz w:val="18"/>
              </w:rPr>
              <w:t>0–200 kg/s</w:t>
            </w:r>
          </w:p>
        </w:tc>
        <w:tc>
          <w:tcPr>
            <w:tcW w:type="dxa" w:w="1440"/>
            <w:vAlign w:val="top"/>
          </w:tcPr>
          <w:p>
            <w:r>
              <w:rPr>
                <w:rFonts w:ascii="Calibri" w:hAnsi="Calibri" w:eastAsia="Calibri"/>
                <w:sz w:val="18"/>
              </w:rPr>
              <w:t>5–30 s</w:t>
            </w:r>
          </w:p>
        </w:tc>
        <w:tc>
          <w:tcPr>
            <w:tcW w:type="dxa" w:w="1584"/>
            <w:vAlign w:val="top"/>
          </w:tcPr>
          <w:p>
            <w:r>
              <w:rPr>
                <w:rFonts w:ascii="Calibri" w:hAnsi="Calibri" w:eastAsia="Calibri"/>
                <w:sz w:val="18"/>
              </w:rPr>
              <w:t>±2% of reading</w:t>
            </w:r>
          </w:p>
        </w:tc>
        <w:tc>
          <w:tcPr>
            <w:tcW w:type="dxa" w:w="5616"/>
            <w:vAlign w:val="top"/>
          </w:tcPr>
          <w:p>
            <w:r>
              <w:rPr>
                <w:rFonts w:ascii="Calibri" w:hAnsi="Calibri" w:eastAsia="Calibri"/>
                <w:sz w:val="18"/>
              </w:rPr>
              <w:t>Combine with return temperature for enthalpy; track receiver pressure where relevant.</w:t>
            </w:r>
          </w:p>
        </w:tc>
      </w:tr>
      <w:tr>
        <w:tc>
          <w:tcPr>
            <w:tcW w:type="dxa" w:w="1584"/>
            <w:vAlign w:val="top"/>
          </w:tcPr>
          <w:p>
            <w:r>
              <w:rPr>
                <w:rFonts w:ascii="Calibri" w:hAnsi="Calibri" w:eastAsia="Calibri"/>
                <w:sz w:val="18"/>
              </w:rPr>
              <w:t>Condensate temperature</w:t>
            </w:r>
          </w:p>
        </w:tc>
        <w:tc>
          <w:tcPr>
            <w:tcW w:type="dxa" w:w="2448"/>
            <w:vAlign w:val="top"/>
          </w:tcPr>
          <w:p>
            <w:r>
              <w:rPr>
                <w:rFonts w:ascii="Calibri" w:hAnsi="Calibri" w:eastAsia="Calibri"/>
                <w:sz w:val="18"/>
              </w:rPr>
              <w:t>Return header / receiver</w:t>
            </w:r>
          </w:p>
        </w:tc>
        <w:tc>
          <w:tcPr>
            <w:tcW w:type="dxa" w:w="1728"/>
            <w:vAlign w:val="top"/>
          </w:tcPr>
          <w:p>
            <w:r>
              <w:rPr>
                <w:rFonts w:ascii="Calibri" w:hAnsi="Calibri" w:eastAsia="Calibri"/>
                <w:sz w:val="18"/>
              </w:rPr>
              <w:t>°C</w:t>
            </w:r>
          </w:p>
        </w:tc>
        <w:tc>
          <w:tcPr>
            <w:tcW w:type="dxa" w:w="2016"/>
            <w:vAlign w:val="top"/>
          </w:tcPr>
          <w:p>
            <w:r>
              <w:rPr>
                <w:rFonts w:ascii="Calibri" w:hAnsi="Calibri" w:eastAsia="Calibri"/>
                <w:sz w:val="18"/>
              </w:rPr>
              <w:t>40–200 °C</w:t>
            </w:r>
          </w:p>
        </w:tc>
        <w:tc>
          <w:tcPr>
            <w:tcW w:type="dxa" w:w="1440"/>
            <w:vAlign w:val="top"/>
          </w:tcPr>
          <w:p>
            <w:r>
              <w:rPr>
                <w:rFonts w:ascii="Calibri" w:hAnsi="Calibri" w:eastAsia="Calibri"/>
                <w:sz w:val="18"/>
              </w:rPr>
              <w:t>5–30 s</w:t>
            </w:r>
          </w:p>
        </w:tc>
        <w:tc>
          <w:tcPr>
            <w:tcW w:type="dxa" w:w="1584"/>
            <w:vAlign w:val="top"/>
          </w:tcPr>
          <w:p>
            <w:r>
              <w:rPr>
                <w:rFonts w:ascii="Calibri" w:hAnsi="Calibri" w:eastAsia="Calibri"/>
                <w:sz w:val="18"/>
              </w:rPr>
              <w:t>±0.5 °C</w:t>
            </w:r>
          </w:p>
        </w:tc>
        <w:tc>
          <w:tcPr>
            <w:tcW w:type="dxa" w:w="5616"/>
            <w:vAlign w:val="top"/>
          </w:tcPr>
          <w:p>
            <w:r>
              <w:rPr>
                <w:rFonts w:ascii="Calibri" w:hAnsi="Calibri" w:eastAsia="Calibri"/>
                <w:sz w:val="18"/>
              </w:rPr>
              <w:t>Needed for enthalpy and flash-steam estimation.</w:t>
            </w:r>
          </w:p>
        </w:tc>
      </w:tr>
      <w:tr>
        <w:tc>
          <w:tcPr>
            <w:tcW w:type="dxa" w:w="1584"/>
            <w:vAlign w:val="top"/>
          </w:tcPr>
          <w:p>
            <w:r>
              <w:rPr>
                <w:rFonts w:ascii="Calibri" w:hAnsi="Calibri" w:eastAsia="Calibri"/>
                <w:sz w:val="18"/>
              </w:rPr>
              <w:t>Water chemistry</w:t>
            </w:r>
          </w:p>
        </w:tc>
        <w:tc>
          <w:tcPr>
            <w:tcW w:type="dxa" w:w="2448"/>
            <w:vAlign w:val="top"/>
          </w:tcPr>
          <w:p>
            <w:r>
              <w:rPr>
                <w:rFonts w:ascii="Calibri" w:hAnsi="Calibri" w:eastAsia="Calibri"/>
                <w:sz w:val="18"/>
              </w:rPr>
              <w:t>Boiler feed / condensate polishing</w:t>
            </w:r>
          </w:p>
        </w:tc>
        <w:tc>
          <w:tcPr>
            <w:tcW w:type="dxa" w:w="1728"/>
            <w:vAlign w:val="top"/>
          </w:tcPr>
          <w:p>
            <w:r>
              <w:rPr>
                <w:rFonts w:ascii="Calibri" w:hAnsi="Calibri" w:eastAsia="Calibri"/>
                <w:sz w:val="18"/>
              </w:rPr>
              <w:t>pH, µS/cm, ppm</w:t>
            </w:r>
          </w:p>
        </w:tc>
        <w:tc>
          <w:tcPr>
            <w:tcW w:type="dxa" w:w="2016"/>
            <w:vAlign w:val="top"/>
          </w:tcPr>
          <w:p>
            <w:r>
              <w:rPr>
                <w:rFonts w:ascii="Calibri" w:hAnsi="Calibri" w:eastAsia="Calibri"/>
                <w:sz w:val="18"/>
              </w:rPr>
              <w:t>Site-specific</w:t>
            </w:r>
          </w:p>
        </w:tc>
        <w:tc>
          <w:tcPr>
            <w:tcW w:type="dxa" w:w="1440"/>
            <w:vAlign w:val="top"/>
          </w:tcPr>
          <w:p>
            <w:r>
              <w:rPr>
                <w:rFonts w:ascii="Calibri" w:hAnsi="Calibri" w:eastAsia="Calibri"/>
                <w:sz w:val="18"/>
              </w:rPr>
              <w:t>1–15 min</w:t>
            </w:r>
          </w:p>
        </w:tc>
        <w:tc>
          <w:tcPr>
            <w:tcW w:type="dxa" w:w="1584"/>
            <w:vAlign w:val="top"/>
          </w:tcPr>
          <w:p>
            <w:r>
              <w:rPr>
                <w:rFonts w:ascii="Calibri" w:hAnsi="Calibri" w:eastAsia="Calibri"/>
                <w:sz w:val="18"/>
              </w:rPr>
              <w:t>Instrument-specific</w:t>
            </w:r>
          </w:p>
        </w:tc>
        <w:tc>
          <w:tcPr>
            <w:tcW w:type="dxa" w:w="5616"/>
            <w:vAlign w:val="top"/>
          </w:tcPr>
          <w:p>
            <w:r>
              <w:rPr>
                <w:rFonts w:ascii="Calibri" w:hAnsi="Calibri" w:eastAsia="Calibri"/>
                <w:sz w:val="18"/>
              </w:rPr>
              <w:t>At minimum: conductivity + pH. Ideally add DO, silica, sodium, iron/copper (corrosion/foaming risk).</w:t>
            </w:r>
          </w:p>
        </w:tc>
      </w:tr>
    </w:tbl>
    <w:p>
      <w:pPr>
        <w:sectPr>
          <w:pgSz w:w="15840" w:h="12240" w:orient="landscape"/>
          <w:pgMar w:top="720" w:right="720" w:bottom="720" w:left="720" w:header="720" w:footer="720" w:gutter="0"/>
          <w:cols w:space="720"/>
          <w:docGrid w:linePitch="360"/>
        </w:sectPr>
      </w:pPr>
    </w:p>
    <w:p>
      <w:pPr>
        <w:pStyle w:val="Heading2"/>
      </w:pPr>
      <w:r>
        <w:t>4.2 Optional but high-value measurements</w:t>
      </w:r>
    </w:p>
    <w:p>
      <w:pPr>
        <w:pStyle w:val="ListBullet"/>
      </w:pPr>
      <w:r>
        <w:t>Steam trap ultrasound/acoustics sensors (or portable routes) to improve trap failure prediction and quantify leak/blow-through losses.</w:t>
      </w:r>
    </w:p>
    <w:p>
      <w:pPr>
        <w:pStyle w:val="ListBullet"/>
      </w:pPr>
      <w:r>
        <w:t>Valve positions and controller outputs for desuperheater spray valve(s) and PRVs.</w:t>
      </w:r>
    </w:p>
    <w:p>
      <w:pPr>
        <w:pStyle w:val="ListBullet"/>
      </w:pPr>
      <w:r>
        <w:t>Condenser vacuum (absolute pressure) for turbine/condensing loads; impacts saturation temperature and heat transfer.</w:t>
      </w:r>
    </w:p>
    <w:p>
      <w:pPr>
        <w:pStyle w:val="ListBullet"/>
      </w:pPr>
      <w:r>
        <w:t>Cooling water inlet/outlet temperature and flow for condenser performance and heat rejection estimation.</w:t>
      </w:r>
    </w:p>
    <w:p>
      <w:pPr>
        <w:pStyle w:val="ListBullet"/>
      </w:pPr>
      <w:r>
        <w:t>Ambient conditions and insulation surface temperature (for distribution loss estimation).</w:t>
      </w:r>
    </w:p>
    <w:p>
      <w:pPr>
        <w:pStyle w:val="ListBullet"/>
      </w:pPr>
      <w:r>
        <w:t>Maintenance events: trap replacements, desuperheater nozzle inspections, water treatment changes (for causal attribution).</w:t>
      </w:r>
    </w:p>
    <w:p>
      <w:pPr>
        <w:pStyle w:val="Heading2"/>
      </w:pPr>
      <w:r>
        <w:t>4.3 Data transport and interfaces</w:t>
      </w:r>
    </w:p>
    <w:p>
      <w:r>
        <w:t>GL-003 is designed to work with OT-native connectivity and modern streaming interfaces. Standard integration patterns:</w:t>
      </w:r>
    </w:p>
    <w:p>
      <w:pPr>
        <w:pStyle w:val="ListBullet"/>
      </w:pPr>
      <w:r>
        <w:t>OPC-UA for OT data acquisition (PLC/DCS historians or edge gateways).</w:t>
      </w:r>
    </w:p>
    <w:p>
      <w:pPr>
        <w:pStyle w:val="ListBullet"/>
      </w:pPr>
      <w:r>
        <w:t>Kafka for streaming transport and buffering (raw signals + derived features).</w:t>
      </w:r>
    </w:p>
    <w:p>
      <w:pPr>
        <w:pStyle w:val="ListBullet"/>
      </w:pPr>
      <w:r>
        <w:t>gRPC for low-latency internal service-to-service calls (thermo engine, optimization, inference).</w:t>
      </w:r>
    </w:p>
    <w:p>
      <w:pPr>
        <w:pStyle w:val="ListBullet"/>
      </w:pPr>
      <w:r>
        <w:t>GraphQL for client-facing API aggregation (UI dashboards, reports, explainability views).</w:t>
      </w:r>
    </w:p>
    <w:p>
      <w:pPr>
        <w:pStyle w:val="ListBullet"/>
      </w:pPr>
      <w:r>
        <w:t>Optional: historian batch backfill via CSV/SQL connectors for model training and baseline creation.</w:t>
      </w:r>
    </w:p>
    <w:p>
      <w:pPr>
        <w:pStyle w:val="Heading2"/>
      </w:pPr>
      <w:r>
        <w:t>4.4 Data quality and governance requirements</w:t>
      </w:r>
    </w:p>
    <w:p>
      <w:pPr>
        <w:pStyle w:val="ListBullet"/>
      </w:pPr>
      <w:r>
        <w:t>Time synchronization: all sources must be aligned to NTP; drift must be monitored (target &lt;1 s drift for 1–5 s sampling).</w:t>
      </w:r>
    </w:p>
    <w:p>
      <w:pPr>
        <w:pStyle w:val="ListBullet"/>
      </w:pPr>
      <w:r>
        <w:t>Units standardization: define canonical units (e.g., kPa(g), °C, kg/s). No mixing of bar/psi or °F/°C in the same stream.</w:t>
      </w:r>
    </w:p>
    <w:p>
      <w:pPr>
        <w:pStyle w:val="ListBullet"/>
      </w:pPr>
      <w:r>
        <w:t>Signal naming: adopt a tag naming convention that encodes site, area, asset, and measurement (required for scalable mapping).</w:t>
      </w:r>
    </w:p>
    <w:p>
      <w:pPr>
        <w:pStyle w:val="ListBullet"/>
      </w:pPr>
      <w:r>
        <w:t>Missing data policy: GL-003 must explicitly mark computed values as stale/invalid when required inputs are missing beyond configured tolerance.</w:t>
      </w:r>
    </w:p>
    <w:p>
      <w:pPr>
        <w:pStyle w:val="ListBullet"/>
      </w:pPr>
      <w:r>
        <w:t>Sensor validation: implement plausibility checks (range, rate-of-change, cross-sensor consistency) with quarantine flags.</w:t>
      </w:r>
    </w:p>
    <w:p>
      <w:pPr>
        <w:pStyle w:val="ListBullet"/>
      </w:pPr>
      <w:r>
        <w:t>Access control: OT data access must respect least-privilege and segmentation (read-only for advisory mode).</w:t>
      </w:r>
    </w:p>
    <w:p>
      <w:r>
        <w:br w:type="page"/>
      </w:r>
    </w:p>
    <w:p>
      <w:pPr>
        <w:pStyle w:val="Heading1"/>
      </w:pPr>
      <w:r>
        <w:t>5. Thermodynamics, mathematics, and thermal-engineering requirements</w:t>
      </w:r>
    </w:p>
    <w:p>
      <w:r>
        <w:t>This section describes the physics model that makes GL-003 credible to operators and engineers. AI components must sit on top of (and never contradict) validated thermodynamics and mass/energy balances.</w:t>
      </w:r>
    </w:p>
    <w:p>
      <w:pPr>
        <w:pStyle w:val="Heading2"/>
      </w:pPr>
      <w:r>
        <w:t>5.1 IAPWS-IF97 thermodynamic property engine</w:t>
      </w:r>
    </w:p>
    <w:p>
      <w:r>
        <w:t>GL-003 uses the IAPWS Industrial Formulation 1997 (IF97) to compute water/steam properties from measured pressure, temperature, and/or quality. Key computed properties include: specific enthalpy (h), specific entropy (s), specific volume (v), density (ρ), saturation temperature (Tsat), and dryness fraction (x) where applicable.</w:t>
      </w:r>
    </w:p>
    <w:p>
      <w:r>
        <w:t>Required capabilities of the property engine:</w:t>
      </w:r>
    </w:p>
    <w:p>
      <w:pPr>
        <w:pStyle w:val="ListBullet"/>
      </w:pPr>
      <w:r>
        <w:t>Accept inputs in multiple forms: (P,T), (P,h), (P,x), (T,x) depending on instrumentation.</w:t>
      </w:r>
    </w:p>
    <w:p>
      <w:pPr>
        <w:pStyle w:val="ListBullet"/>
      </w:pPr>
      <w:r>
        <w:t>Correctly determine IF97 regions (compressed liquid, saturated mixture, superheated vapor) and handle boundary cases.</w:t>
      </w:r>
    </w:p>
    <w:p>
      <w:pPr>
        <w:pStyle w:val="ListBullet"/>
      </w:pPr>
      <w:r>
        <w:t>Return derivatives where needed for optimization and uncertainty propagation (optional but recommended).</w:t>
      </w:r>
    </w:p>
    <w:p>
      <w:pPr>
        <w:pStyle w:val="ListBullet"/>
      </w:pPr>
      <w:r>
        <w:t>Provide explicit error handling for out-of-range inputs and sensor faults (e.g., impossible combinations such as T &lt; Tsat at low superheat tags).</w:t>
      </w:r>
    </w:p>
    <w:p>
      <w:pPr>
        <w:pStyle w:val="Heading2"/>
      </w:pPr>
      <w:r>
        <w:t>5.2 Steam quality, superheat, and validity checks</w:t>
      </w:r>
    </w:p>
    <w:p>
      <w:r>
        <w:t>Steam quality control requires distinguishing among: (a) saturated dry steam, (b) wet steam (two-phase mixture), and (c) superheated steam. GL-003 must compute and/or infer the state and then enforce state-specific rules for balances and recommendations.</w:t>
      </w:r>
    </w:p>
    <w:p>
      <w:r>
        <w:t>Key definitions used in GL-003:</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Term</w:t>
            </w:r>
          </w:p>
        </w:tc>
        <w:tc>
          <w:tcPr>
            <w:tcW w:type="dxa" w:w="4680"/>
          </w:tcPr>
          <w:p>
            <w:r>
              <w:rPr>
                <w:rFonts w:ascii="Calibri" w:hAnsi="Calibri" w:eastAsia="Calibri"/>
                <w:b/>
                <w:sz w:val="20"/>
              </w:rPr>
              <w:t>Definition / calculation</w:t>
            </w:r>
          </w:p>
        </w:tc>
      </w:tr>
      <w:tr>
        <w:tc>
          <w:tcPr>
            <w:tcW w:type="dxa" w:w="4680"/>
          </w:tcPr>
          <w:p>
            <w:r>
              <w:rPr>
                <w:rFonts w:ascii="Calibri" w:hAnsi="Calibri" w:eastAsia="Calibri"/>
                <w:sz w:val="20"/>
              </w:rPr>
              <w:t>Dryness fraction (quality), x</w:t>
            </w:r>
          </w:p>
        </w:tc>
        <w:tc>
          <w:tcPr>
            <w:tcW w:type="dxa" w:w="4680"/>
          </w:tcPr>
          <w:p>
            <w:r>
              <w:rPr>
                <w:rFonts w:ascii="Calibri" w:hAnsi="Calibri" w:eastAsia="Calibri"/>
                <w:sz w:val="20"/>
              </w:rPr>
              <w:t>Mass fraction of vapor in a saturated mixture. x=1 is dry saturated steam; x&lt;1 indicates wet steam.</w:t>
            </w:r>
          </w:p>
        </w:tc>
      </w:tr>
      <w:tr>
        <w:tc>
          <w:tcPr>
            <w:tcW w:type="dxa" w:w="4680"/>
          </w:tcPr>
          <w:p>
            <w:r>
              <w:rPr>
                <w:rFonts w:ascii="Calibri" w:hAnsi="Calibri" w:eastAsia="Calibri"/>
                <w:sz w:val="20"/>
              </w:rPr>
              <w:t>Superheat</w:t>
            </w:r>
          </w:p>
        </w:tc>
        <w:tc>
          <w:tcPr>
            <w:tcW w:type="dxa" w:w="4680"/>
          </w:tcPr>
          <w:p>
            <w:r>
              <w:rPr>
                <w:rFonts w:ascii="Calibri" w:hAnsi="Calibri" w:eastAsia="Calibri"/>
                <w:sz w:val="20"/>
              </w:rPr>
              <w:t>T - Tsat(P). Positive indicates superheated steam.</w:t>
            </w:r>
          </w:p>
        </w:tc>
      </w:tr>
      <w:tr>
        <w:tc>
          <w:tcPr>
            <w:tcW w:type="dxa" w:w="4680"/>
          </w:tcPr>
          <w:p>
            <w:r>
              <w:rPr>
                <w:rFonts w:ascii="Calibri" w:hAnsi="Calibri" w:eastAsia="Calibri"/>
                <w:sz w:val="20"/>
              </w:rPr>
              <w:t>Wet steam enthalpy (mixture)</w:t>
            </w:r>
          </w:p>
        </w:tc>
        <w:tc>
          <w:tcPr>
            <w:tcW w:type="dxa" w:w="4680"/>
          </w:tcPr>
          <w:p>
            <w:r>
              <w:rPr>
                <w:rFonts w:ascii="Calibri" w:hAnsi="Calibri" w:eastAsia="Calibri"/>
                <w:sz w:val="20"/>
              </w:rPr>
              <w:t>h_mix(P,x) = x·h_g(P) + (1-x)·h_f(P), where h_g is saturated vapor enthalpy and h_f is saturated liquid enthalpy at pressure P.</w:t>
            </w:r>
          </w:p>
        </w:tc>
      </w:tr>
    </w:tbl>
    <w:p>
      <w:r>
        <w:t>Validity checks that must be implemented:</w:t>
      </w:r>
    </w:p>
    <w:p>
      <w:pPr>
        <w:pStyle w:val="ListBullet"/>
      </w:pPr>
      <w:r>
        <w:t>If measured temperature is below Tsat(P) by more than tolerance, treat as wet steam or sensor error; do not compute superheated properties blindly.</w:t>
      </w:r>
    </w:p>
    <w:p>
      <w:pPr>
        <w:pStyle w:val="ListBullet"/>
      </w:pPr>
      <w:r>
        <w:t>If quality analyzer reports x&gt;1 or x&lt;0, clamp to [0,1] and raise an instrumentation fault.</w:t>
      </w:r>
    </w:p>
    <w:p>
      <w:pPr>
        <w:pStyle w:val="ListBullet"/>
      </w:pPr>
      <w:r>
        <w:t>If flow is near zero, do not compute enthalpy rate; mark losses and KPIs as not-applicable for the interval.</w:t>
      </w:r>
    </w:p>
    <w:p>
      <w:pPr>
        <w:pStyle w:val="ListBullet"/>
      </w:pPr>
      <w:r>
        <w:t>For volumetric flowmeters, convert to mass flow using computed density, and increase uncertainty accordingly.</w:t>
      </w:r>
    </w:p>
    <w:p>
      <w:pPr>
        <w:pStyle w:val="Heading2"/>
      </w:pPr>
      <w:r>
        <w:t>5.3 Enthalpy and mass balance framework</w:t>
      </w:r>
    </w:p>
    <w:p>
      <w:r>
        <w:t>The core thermal model is a network of control volumes representing headers, conditioning stations, and users. For each node, GL-003 maintains a mass balance and an energy (enthalpy) balance at each computation interval.</w:t>
      </w:r>
    </w:p>
    <w:p>
      <w:r>
        <w:t>Canonical balance equations (used consistently in code and reports):</w:t>
      </w:r>
    </w:p>
    <w:p>
      <w:r>
        <w:rPr>
          <w:rFonts w:ascii="Consolas" w:hAnsi="Consolas"/>
          <w:sz w:val="20"/>
        </w:rPr>
        <w:t>Mass balance:   Σ ṁ_in  -  Σ ṁ_out  =  dM/dt  (often assumed ~0 for short intervals)</w:t>
      </w:r>
    </w:p>
    <w:p>
      <w:r>
        <w:rPr>
          <w:rFonts w:ascii="Consolas" w:hAnsi="Consolas"/>
          <w:sz w:val="20"/>
        </w:rPr>
        <w:t>Energy balance: Σ (ṁ_in · h_in)  -  Σ (ṁ_out · h_out)  +  Q̇_added  -  Q̇_lost  =  dU/dt  (often assumed ~0)</w:t>
      </w:r>
    </w:p>
    <w:p>
      <w:r>
        <w:rPr>
          <w:rFonts w:ascii="Consolas" w:hAnsi="Consolas"/>
          <w:sz w:val="20"/>
        </w:rPr>
        <w:t>Enthalpy rate:  Ḣ = ṁ · h   (units: kW if ṁ in kg/s and h in kJ/kg)</w:t>
      </w:r>
    </w:p>
    <w:p>
      <w:r>
        <w:t>GL-003 uses these balances to estimate unmeasured losses (e.g., distribution heat loss, flash steam losses, trap blow-through), to reconcile measurements (state estimation), and to quantify the impact of candidate actions.</w:t>
      </w:r>
    </w:p>
    <w:p>
      <w:pPr>
        <w:pStyle w:val="Heading2"/>
      </w:pPr>
      <w:r>
        <w:t>5.4 Desuperheater (attemperator) optimization requirements</w:t>
      </w:r>
    </w:p>
    <w:p>
      <w:r>
        <w:t>Desuperheaters inject spray water to reduce superheated steam temperature to a target. Poor control can produce wet steam (erosion risk) or insufficient temperature control (process risk). GL-003 must recommend spray-water flow/setpoint changes within equipment constraints.</w:t>
      </w:r>
    </w:p>
    <w:p>
      <w:r>
        <w:t>Primary calculation for spray-water requirement (conceptual):</w:t>
      </w:r>
    </w:p>
    <w:p>
      <w:r>
        <w:rPr>
          <w:rFonts w:ascii="Consolas" w:hAnsi="Consolas"/>
          <w:sz w:val="20"/>
        </w:rPr>
        <w:t>ṁ_steam·h_in  +  ṁ_spray·h_spray  =  (ṁ_steam + ṁ_spray)·h_target</w:t>
        <w:br/>
        <w:t>=&gt; ṁ_spray  =  ṁ_steam · (h_in - h_target) / (h_target - h_spray)</w:t>
      </w:r>
    </w:p>
    <w:p>
      <w:r>
        <w:t>Engineering constraints that must be encoded:</w:t>
      </w:r>
    </w:p>
    <w:p>
      <w:pPr>
        <w:pStyle w:val="ListBullet"/>
      </w:pPr>
      <w:r>
        <w:t>Minimum approach to saturation: do not recommend target temperatures that would drive steam to wet conditions at the given pressure.</w:t>
      </w:r>
    </w:p>
    <w:p>
      <w:pPr>
        <w:pStyle w:val="ListBullet"/>
      </w:pPr>
      <w:r>
        <w:t>Valve and nozzle limits: enforce minimum/maximum spray flow, turndown ratio, and nozzle ΔP requirements.</w:t>
      </w:r>
    </w:p>
    <w:p>
      <w:pPr>
        <w:pStyle w:val="ListBullet"/>
      </w:pPr>
      <w:r>
        <w:t>Water quality: spray water chemistry and temperature constraints (to prevent scaling and thermal shock).</w:t>
      </w:r>
    </w:p>
    <w:p>
      <w:pPr>
        <w:pStyle w:val="ListBullet"/>
      </w:pPr>
      <w:r>
        <w:t>Dynamic response: include transport delay and sensor lag; avoid oscillatory recommendations.</w:t>
      </w:r>
    </w:p>
    <w:p>
      <w:pPr>
        <w:pStyle w:val="ListBullet"/>
      </w:pPr>
      <w:r>
        <w:t>Erosion/impingement risk: enforce maximum allowable droplet carryover; include a conservative wetness margin.</w:t>
      </w:r>
    </w:p>
    <w:p>
      <w:pPr>
        <w:pStyle w:val="Heading2"/>
      </w:pPr>
      <w:r>
        <w:t>5.5 Condensate recovery and flash steam calculations</w:t>
      </w:r>
    </w:p>
    <w:p>
      <w:r>
        <w:t>Condensate return improves overall plant efficiency by recovering sensible heat and reducing makeup water and treatment costs. GL-003 quantifies return performance and identifies recovery opportunities and constraints.</w:t>
      </w:r>
    </w:p>
    <w:p>
      <w:r>
        <w:t>Key computations used in condensate analysis:</w:t>
      </w:r>
    </w:p>
    <w:p>
      <w:pPr>
        <w:pStyle w:val="ListBullet"/>
      </w:pPr>
      <w:r>
        <w:t>Return ratio: condensate_returned / condensate_generated (when generation can be estimated).</w:t>
      </w:r>
    </w:p>
    <w:p>
      <w:pPr>
        <w:pStyle w:val="ListBullet"/>
      </w:pPr>
      <w:r>
        <w:t>Flash steam fraction when condensate is depressurized: f_flash ≈ (h_in - h_f(P2)) / h_fg(P2), with properties from IF97.</w:t>
      </w:r>
    </w:p>
    <w:p>
      <w:pPr>
        <w:pStyle w:val="ListBullet"/>
      </w:pPr>
      <w:r>
        <w:t>Heat recovered via returned condensate: Q̇_recovered = ṁ_cond·(h_cond - h_makeup_reference).</w:t>
      </w:r>
    </w:p>
    <w:p>
      <w:pPr>
        <w:pStyle w:val="ListBullet"/>
      </w:pPr>
      <w:r>
        <w:t>Loss identification: vented flash steam, uninsulated return lines, failed traps discharging to drain, pump constraints, receiver pressure issues.</w:t>
      </w:r>
    </w:p>
    <w:p>
      <w:pPr>
        <w:pStyle w:val="Heading2"/>
      </w:pPr>
      <w:r>
        <w:t>5.6 Real-time uncertainty quantification (UQ)</w:t>
      </w:r>
    </w:p>
    <w:p>
      <w:r>
        <w:t>GL-003 must attach uncertainty bounds to computed properties and derived KPIs so users can trust recommendations and understand when instrumentation limits decision quality.</w:t>
      </w:r>
    </w:p>
    <w:p>
      <w:r>
        <w:t>Minimum UQ requirements:</w:t>
      </w:r>
    </w:p>
    <w:p>
      <w:pPr>
        <w:pStyle w:val="ListBullet"/>
      </w:pPr>
      <w:r>
        <w:t>Maintain per-sensor uncertainty metadata (accuracy, calibration date, drift class).</w:t>
      </w:r>
    </w:p>
    <w:p>
      <w:pPr>
        <w:pStyle w:val="ListBullet"/>
      </w:pPr>
      <w:r>
        <w:t>Propagate uncertainty to key derived quantities (h, ṁ, Ḣ, quality, spray requirement, losses) using either analytic propagation (Jacobian) or Monte Carlo sampling.</w:t>
      </w:r>
    </w:p>
    <w:p>
      <w:pPr>
        <w:pStyle w:val="ListBullet"/>
      </w:pPr>
      <w:r>
        <w:t>Expose bounds in the UI and APIs (e.g., 95% interval) and use them to gate recommendations (do not recommend aggressive actions when uncertainty is high).</w:t>
      </w:r>
    </w:p>
    <w:p>
      <w:pPr>
        <w:pStyle w:val="ListBullet"/>
      </w:pPr>
      <w:r>
        <w:t>Track and log reasons for wide uncertainty (e.g., missing quality analyzer, volumetric flow conversion, sensor disagreement).</w:t>
      </w:r>
    </w:p>
    <w:p>
      <w:r>
        <w:br w:type="page"/>
      </w:r>
    </w:p>
    <w:p>
      <w:pPr>
        <w:pStyle w:val="Heading1"/>
      </w:pPr>
      <w:r>
        <w:t>6. Analytics, AI/ML, explainability, and causal intelligence</w:t>
      </w:r>
    </w:p>
    <w:p>
      <w:r>
        <w:t>GL-003 combines physics-based computation with data-driven models. The guiding principle is: physics establishes what is possible; AI explains what is likely and what to do next.</w:t>
      </w:r>
    </w:p>
    <w:p>
      <w:pPr>
        <w:pStyle w:val="Heading2"/>
      </w:pPr>
      <w:r>
        <w:t>6.1 ML use cases in GL-003</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Use case</w:t>
            </w:r>
          </w:p>
        </w:tc>
        <w:tc>
          <w:tcPr>
            <w:tcW w:type="dxa" w:w="3120"/>
          </w:tcPr>
          <w:p>
            <w:r>
              <w:rPr>
                <w:rFonts w:ascii="Calibri" w:hAnsi="Calibri" w:eastAsia="Calibri"/>
                <w:b/>
                <w:sz w:val="20"/>
              </w:rPr>
              <w:t>Primary signals</w:t>
            </w:r>
          </w:p>
        </w:tc>
        <w:tc>
          <w:tcPr>
            <w:tcW w:type="dxa" w:w="3120"/>
          </w:tcPr>
          <w:p>
            <w:r>
              <w:rPr>
                <w:rFonts w:ascii="Calibri" w:hAnsi="Calibri" w:eastAsia="Calibri"/>
                <w:b/>
                <w:sz w:val="20"/>
              </w:rPr>
              <w:t>Outputs</w:t>
            </w:r>
          </w:p>
        </w:tc>
      </w:tr>
      <w:tr>
        <w:tc>
          <w:tcPr>
            <w:tcW w:type="dxa" w:w="3120"/>
          </w:tcPr>
          <w:p>
            <w:r>
              <w:rPr>
                <w:rFonts w:ascii="Calibri" w:hAnsi="Calibri" w:eastAsia="Calibri"/>
                <w:sz w:val="20"/>
              </w:rPr>
              <w:t>Steam trap failure prediction</w:t>
            </w:r>
          </w:p>
        </w:tc>
        <w:tc>
          <w:tcPr>
            <w:tcW w:type="dxa" w:w="3120"/>
          </w:tcPr>
          <w:p>
            <w:r>
              <w:rPr>
                <w:rFonts w:ascii="Calibri" w:hAnsi="Calibri" w:eastAsia="Calibri"/>
                <w:sz w:val="20"/>
              </w:rPr>
              <w:t>Trap acoustics features + ΔT across trap + line pressure + condensate load proxies + maintenance history</w:t>
            </w:r>
          </w:p>
        </w:tc>
        <w:tc>
          <w:tcPr>
            <w:tcW w:type="dxa" w:w="3120"/>
          </w:tcPr>
          <w:p>
            <w:r>
              <w:rPr>
                <w:rFonts w:ascii="Calibri" w:hAnsi="Calibri" w:eastAsia="Calibri"/>
                <w:sz w:val="20"/>
              </w:rPr>
              <w:t>Failure probability, failure mode likelihood (blow-through/blocked), estimated loss rate, recommended action window</w:t>
            </w:r>
          </w:p>
        </w:tc>
      </w:tr>
      <w:tr>
        <w:tc>
          <w:tcPr>
            <w:tcW w:type="dxa" w:w="3120"/>
          </w:tcPr>
          <w:p>
            <w:r>
              <w:rPr>
                <w:rFonts w:ascii="Calibri" w:hAnsi="Calibri" w:eastAsia="Calibri"/>
                <w:sz w:val="20"/>
              </w:rPr>
              <w:t>Anomaly detection (steam network)</w:t>
            </w:r>
          </w:p>
        </w:tc>
        <w:tc>
          <w:tcPr>
            <w:tcW w:type="dxa" w:w="3120"/>
          </w:tcPr>
          <w:p>
            <w:r>
              <w:rPr>
                <w:rFonts w:ascii="Calibri" w:hAnsi="Calibri" w:eastAsia="Calibri"/>
                <w:sz w:val="20"/>
              </w:rPr>
              <w:t>Header P/T/flow + quality + valve positions + condenser vacuum + cooling water</w:t>
            </w:r>
          </w:p>
        </w:tc>
        <w:tc>
          <w:tcPr>
            <w:tcW w:type="dxa" w:w="3120"/>
          </w:tcPr>
          <w:p>
            <w:r>
              <w:rPr>
                <w:rFonts w:ascii="Calibri" w:hAnsi="Calibri" w:eastAsia="Calibri"/>
                <w:sz w:val="20"/>
              </w:rPr>
              <w:t>Anomaly score, affected segment, recommended investigation steps</w:t>
            </w:r>
          </w:p>
        </w:tc>
      </w:tr>
      <w:tr>
        <w:tc>
          <w:tcPr>
            <w:tcW w:type="dxa" w:w="3120"/>
          </w:tcPr>
          <w:p>
            <w:r>
              <w:rPr>
                <w:rFonts w:ascii="Calibri" w:hAnsi="Calibri" w:eastAsia="Calibri"/>
                <w:sz w:val="20"/>
              </w:rPr>
              <w:t>Inferential steam quality (when no analyzer)</w:t>
            </w:r>
          </w:p>
        </w:tc>
        <w:tc>
          <w:tcPr>
            <w:tcW w:type="dxa" w:w="3120"/>
          </w:tcPr>
          <w:p>
            <w:r>
              <w:rPr>
                <w:rFonts w:ascii="Calibri" w:hAnsi="Calibri" w:eastAsia="Calibri"/>
                <w:sz w:val="20"/>
              </w:rPr>
              <w:t>P/T/flow dynamics + PRV status + downstream temperature gradients + condensate behavior</w:t>
            </w:r>
          </w:p>
        </w:tc>
        <w:tc>
          <w:tcPr>
            <w:tcW w:type="dxa" w:w="3120"/>
          </w:tcPr>
          <w:p>
            <w:r>
              <w:rPr>
                <w:rFonts w:ascii="Calibri" w:hAnsi="Calibri" w:eastAsia="Calibri"/>
                <w:sz w:val="20"/>
              </w:rPr>
              <w:t>Estimated quality/superheat with uncertainty; instrumentation upgrade recommendation</w:t>
            </w:r>
          </w:p>
        </w:tc>
      </w:tr>
      <w:tr>
        <w:tc>
          <w:tcPr>
            <w:tcW w:type="dxa" w:w="3120"/>
          </w:tcPr>
          <w:p>
            <w:r>
              <w:rPr>
                <w:rFonts w:ascii="Calibri" w:hAnsi="Calibri" w:eastAsia="Calibri"/>
                <w:sz w:val="20"/>
              </w:rPr>
              <w:t>Recommendation prioritization</w:t>
            </w:r>
          </w:p>
        </w:tc>
        <w:tc>
          <w:tcPr>
            <w:tcW w:type="dxa" w:w="3120"/>
          </w:tcPr>
          <w:p>
            <w:r>
              <w:rPr>
                <w:rFonts w:ascii="Calibri" w:hAnsi="Calibri" w:eastAsia="Calibri"/>
                <w:sz w:val="20"/>
              </w:rPr>
              <w:t>Loss magnitude + risk + operational constraints + confidence</w:t>
            </w:r>
          </w:p>
        </w:tc>
        <w:tc>
          <w:tcPr>
            <w:tcW w:type="dxa" w:w="3120"/>
          </w:tcPr>
          <w:p>
            <w:r>
              <w:rPr>
                <w:rFonts w:ascii="Calibri" w:hAnsi="Calibri" w:eastAsia="Calibri"/>
                <w:sz w:val="20"/>
              </w:rPr>
              <w:t>Ranked action list with ROI and confidence</w:t>
            </w:r>
          </w:p>
        </w:tc>
      </w:tr>
    </w:tbl>
    <w:p>
      <w:pPr>
        <w:pStyle w:val="Heading2"/>
      </w:pPr>
      <w:r>
        <w:t>6.2 Explainability requirements (SHAP/LIME + physics traces)</w:t>
      </w:r>
    </w:p>
    <w:p>
      <w:r>
        <w:t>Explainability is a product requirement, not a research feature. Every recommendation must include a 'why' trace at two levels:</w:t>
      </w:r>
    </w:p>
    <w:p>
      <w:pPr>
        <w:pStyle w:val="ListBullet"/>
      </w:pPr>
      <w:r>
        <w:t>Physics trace: which measured signals drove the computed thermodynamic state (e.g., P/T → h → spray-water requirement) and which constraints were active.</w:t>
      </w:r>
    </w:p>
    <w:p>
      <w:pPr>
        <w:pStyle w:val="ListBullet"/>
      </w:pPr>
      <w:r>
        <w:t>Model trace (for ML components): SHAP for global and per-asset explanations; LIME-style local explanation for single events when needed.</w:t>
      </w:r>
    </w:p>
    <w:p>
      <w:pPr>
        <w:pStyle w:val="ListBullet"/>
      </w:pPr>
      <w:r>
        <w:t>User language: explanations must map technical drivers into engineering terms (e.g., 'superheat increased because header pressure dropped and PRV opened').</w:t>
      </w:r>
    </w:p>
    <w:p>
      <w:r>
        <w:t>Minimum explainability payload fields (API/UI):</w:t>
      </w:r>
    </w:p>
    <w:p>
      <w:pPr>
        <w:pStyle w:val="ListBullet"/>
      </w:pPr>
      <w:r>
        <w:t>Recommendation ID, timestamp, affected asset/segment</w:t>
      </w:r>
    </w:p>
    <w:p>
      <w:pPr>
        <w:pStyle w:val="ListBullet"/>
      </w:pPr>
      <w:r>
        <w:t>Primary driver list (ranked) with directionality (+/- effect)</w:t>
      </w:r>
    </w:p>
    <w:p>
      <w:pPr>
        <w:pStyle w:val="ListBullet"/>
      </w:pPr>
      <w:r>
        <w:t>Supporting evidence (signals + time window)</w:t>
      </w:r>
    </w:p>
    <w:p>
      <w:pPr>
        <w:pStyle w:val="ListBullet"/>
      </w:pPr>
      <w:r>
        <w:t>Physics constraints and safety envelope checks</w:t>
      </w:r>
    </w:p>
    <w:p>
      <w:pPr>
        <w:pStyle w:val="ListBullet"/>
      </w:pPr>
      <w:r>
        <w:t>Confidence score and uncertainty band</w:t>
      </w:r>
    </w:p>
    <w:p>
      <w:pPr>
        <w:pStyle w:val="ListBullet"/>
      </w:pPr>
      <w:r>
        <w:t>Suggested operator verification steps (what to check in the field)</w:t>
      </w:r>
    </w:p>
    <w:p>
      <w:pPr>
        <w:pStyle w:val="Heading2"/>
      </w:pPr>
      <w:r>
        <w:t>6.3 Causal inference for root-cause analysis (RCA)</w:t>
      </w:r>
    </w:p>
    <w:p>
      <w:r>
        <w:t>GL-003 must produce causal RCA, not just correlation dashboards. The causal layer is used to rank likely root causes and propose interventions, especially when multiple parts of the steam network are interacting (e.g., desuperheater behavior coupled with pressure swings and condensate return).</w:t>
      </w:r>
    </w:p>
    <w:p>
      <w:r>
        <w:t>Causal deliverables:</w:t>
      </w:r>
    </w:p>
    <w:p>
      <w:pPr>
        <w:pStyle w:val="ListBullet"/>
      </w:pPr>
      <w:r>
        <w:t>A maintained causal graph (per site template) covering: boilers, headers, PRVs, desuperheaters, steam users, traps, condensate return, condenser/cooling water (if applicable), and exogenous drivers (production rate, ambient).</w:t>
      </w:r>
    </w:p>
    <w:p>
      <w:pPr>
        <w:pStyle w:val="ListBullet"/>
      </w:pPr>
      <w:r>
        <w:t>A root-cause ranking algorithm that can answer: 'What change most likely caused the deviation?' with supporting evidence.</w:t>
      </w:r>
    </w:p>
    <w:p>
      <w:pPr>
        <w:pStyle w:val="ListBullet"/>
      </w:pPr>
      <w:r>
        <w:t>Counterfactual reasoning: 'If we had held header pressure at X, what would have happened to steam quality and spray flow?' (bounded by uncertainty).</w:t>
      </w:r>
    </w:p>
    <w:p>
      <w:pPr>
        <w:pStyle w:val="ListBullet"/>
      </w:pPr>
      <w:r>
        <w:t>Intervention recommendations that are feasible in operations (e.g., adjust setpoint, inspect trap group, check spray water temperature).</w:t>
      </w:r>
    </w:p>
    <w:p>
      <w:r>
        <w:t>Implementation note: causal inference may combine domain-anchored structural equations (from balances and control logic) with data-driven estimation. The causal graph must be versioned and reviewed with thermal/controls engineers.</w:t>
      </w:r>
    </w:p>
    <w:p>
      <w:pPr>
        <w:pStyle w:val="Heading2"/>
      </w:pPr>
      <w:r>
        <w:t>6.4 Model governance and MLOps</w:t>
      </w:r>
    </w:p>
    <w:p>
      <w:pPr>
        <w:pStyle w:val="ListBullet"/>
      </w:pPr>
      <w:r>
        <w:t>Model cards: each ML model must have a short, operator-readable description (purpose, inputs, limits, failure modes).</w:t>
      </w:r>
    </w:p>
    <w:p>
      <w:pPr>
        <w:pStyle w:val="ListBullet"/>
      </w:pPr>
      <w:r>
        <w:t>Training data lineage: training datasets must be reproducible and tied to tag mappings and site configuration versions.</w:t>
      </w:r>
    </w:p>
    <w:p>
      <w:pPr>
        <w:pStyle w:val="ListBullet"/>
      </w:pPr>
      <w:r>
        <w:t>Monitoring: drift detection, performance tracking (precision/recall for trap failures, false alarm rate for anomalies).</w:t>
      </w:r>
    </w:p>
    <w:p>
      <w:pPr>
        <w:pStyle w:val="ListBullet"/>
      </w:pPr>
      <w:r>
        <w:t>Safe deployment: canary releases by site/area; rollback plan; gating logic when inputs degrade.</w:t>
      </w:r>
    </w:p>
    <w:p>
      <w:pPr>
        <w:pStyle w:val="ListBullet"/>
      </w:pPr>
      <w:r>
        <w:t>Human feedback loop: capture operator disposition of recommendations (accepted/rejected) to improve prioritization and reduce nuisance.</w:t>
      </w:r>
    </w:p>
    <w:p>
      <w:r>
        <w:br w:type="page"/>
      </w:r>
    </w:p>
    <w:p>
      <w:pPr>
        <w:pStyle w:val="Heading1"/>
      </w:pPr>
      <w:r>
        <w:t>7. Optimization and recommendation logic</w:t>
      </w:r>
    </w:p>
    <w:p>
      <w:r>
        <w:t>Optimization in GL-003 is performed within strict operational constraints. The optimizer must never recommend actions that violate safety envelopes or known equipment limits.</w:t>
      </w:r>
    </w:p>
    <w:p>
      <w:pPr>
        <w:pStyle w:val="Heading2"/>
      </w:pPr>
      <w:r>
        <w:t>7.1 Objectives (what the optimizer tries to improve)</w:t>
      </w:r>
    </w:p>
    <w:p>
      <w:pPr>
        <w:pStyle w:val="ListBullet"/>
      </w:pPr>
      <w:r>
        <w:t>Minimize total steam generation and distribution losses for a given production output.</w:t>
      </w:r>
    </w:p>
    <w:p>
      <w:pPr>
        <w:pStyle w:val="ListBullet"/>
      </w:pPr>
      <w:r>
        <w:t>Maintain steam quality and temperature targets at critical users with minimal spray-water injection.</w:t>
      </w:r>
    </w:p>
    <w:p>
      <w:pPr>
        <w:pStyle w:val="ListBullet"/>
      </w:pPr>
      <w:r>
        <w:t>Maximize condensate return ratio while avoiding return system upsets (receiver overpressure, pump cavitation).</w:t>
      </w:r>
    </w:p>
    <w:p>
      <w:pPr>
        <w:pStyle w:val="ListBullet"/>
      </w:pPr>
      <w:r>
        <w:t>Reduce unplanned downtime and maintenance burden by early identification of trap and conditioning equipment issues.</w:t>
      </w:r>
    </w:p>
    <w:p>
      <w:pPr>
        <w:pStyle w:val="ListBullet"/>
      </w:pPr>
      <w:r>
        <w:t>Minimize cost and emissions (fuel + makeup water + treatment + maintenance) subject to the above.</w:t>
      </w:r>
    </w:p>
    <w:p>
      <w:pPr>
        <w:pStyle w:val="Heading2"/>
      </w:pPr>
      <w:r>
        <w:t>7.2 Decision variables (what can be changed)</w:t>
      </w:r>
    </w:p>
    <w:p>
      <w:pPr>
        <w:pStyle w:val="ListBullet"/>
      </w:pPr>
      <w:r>
        <w:t>Desuperheater target temperature / spray valve setpoint (advisory or closed-loop depending on deployment mode).</w:t>
      </w:r>
    </w:p>
    <w:p>
      <w:pPr>
        <w:pStyle w:val="ListBullet"/>
      </w:pPr>
      <w:r>
        <w:t>PRV downstream pressure setpoints (advisory unless controls enablement exists).</w:t>
      </w:r>
    </w:p>
    <w:p>
      <w:pPr>
        <w:pStyle w:val="ListBullet"/>
      </w:pPr>
      <w:r>
        <w:t>Condensate return routing and receiver pressure targets (where controllable).</w:t>
      </w:r>
    </w:p>
    <w:p>
      <w:pPr>
        <w:pStyle w:val="ListBullet"/>
      </w:pPr>
      <w:r>
        <w:t>Maintenance actions: trap inspection/replacement prioritization; desuperheater nozzle inspection; insulation repair; meter calibration.</w:t>
      </w:r>
    </w:p>
    <w:p>
      <w:pPr>
        <w:pStyle w:val="ListBullet"/>
      </w:pPr>
      <w:r>
        <w:t>Operating policy actions: blowdown rate review, water treatment adjustments (advisory only; requires chemistry governance).</w:t>
      </w:r>
    </w:p>
    <w:p>
      <w:pPr>
        <w:pStyle w:val="Heading2"/>
      </w:pPr>
      <w:r>
        <w:t>7.3 Constraints and safety envelope</w:t>
      </w:r>
    </w:p>
    <w:p>
      <w:pPr>
        <w:pStyle w:val="ListBullet"/>
      </w:pPr>
      <w:r>
        <w:t>Pressure constraints: header and user pressures must remain within safe operating limits and equipment ratings.</w:t>
      </w:r>
    </w:p>
    <w:p>
      <w:pPr>
        <w:pStyle w:val="ListBullet"/>
      </w:pPr>
      <w:r>
        <w:t>Temperature constraints: avoid thermal shock and maintain process requirements; avoid wet steam at critical equipment.</w:t>
      </w:r>
    </w:p>
    <w:p>
      <w:pPr>
        <w:pStyle w:val="ListBullet"/>
      </w:pPr>
      <w:r>
        <w:t>Quality constraints: maintain minimum dryness fraction at users where erosion risk is material.</w:t>
      </w:r>
    </w:p>
    <w:p>
      <w:pPr>
        <w:pStyle w:val="ListBullet"/>
      </w:pPr>
      <w:r>
        <w:t>Actuator constraints: valve travel limits, rate limits, and nozzle turndown; do not chase noise.</w:t>
      </w:r>
    </w:p>
    <w:p>
      <w:pPr>
        <w:pStyle w:val="ListBullet"/>
      </w:pPr>
      <w:r>
        <w:t>Uncertainty constraints: recommendations must be less aggressive when uncertainty is high; require operator confirmation for high-risk actions.</w:t>
      </w:r>
    </w:p>
    <w:p>
      <w:pPr>
        <w:pStyle w:val="Heading2"/>
      </w:pPr>
      <w:r>
        <w:t>7.4 Recommendation packaging</w:t>
      </w:r>
    </w:p>
    <w:p>
      <w:r>
        <w:t>Every recommendation must include:</w:t>
      </w:r>
    </w:p>
    <w:p>
      <w:pPr>
        <w:pStyle w:val="ListBullet"/>
      </w:pPr>
      <w:r>
        <w:t>Action statement (what to do)</w:t>
      </w:r>
    </w:p>
    <w:p>
      <w:pPr>
        <w:pStyle w:val="ListBullet"/>
      </w:pPr>
      <w:r>
        <w:t>Engineering rationale (why it helps, referencing balances and/or model explanation)</w:t>
      </w:r>
    </w:p>
    <w:p>
      <w:pPr>
        <w:pStyle w:val="ListBullet"/>
      </w:pPr>
      <w:r>
        <w:t>Expected benefit (steam, fuel, cost, CO2e) with uncertainty band</w:t>
      </w:r>
    </w:p>
    <w:p>
      <w:pPr>
        <w:pStyle w:val="ListBullet"/>
      </w:pPr>
      <w:r>
        <w:t>Operational risk and required checks</w:t>
      </w:r>
    </w:p>
    <w:p>
      <w:pPr>
        <w:pStyle w:val="ListBullet"/>
      </w:pPr>
      <w:r>
        <w:t>Verification plan (signals to watch to confirm improvement)</w:t>
      </w:r>
    </w:p>
    <w:p>
      <w:pPr>
        <w:pStyle w:val="ListBullet"/>
      </w:pPr>
      <w:r>
        <w:t>Escalation path (when to hand off to maintenance or controls engineering)</w:t>
      </w:r>
    </w:p>
    <w:p>
      <w:pPr>
        <w:pStyle w:val="Heading1"/>
      </w:pPr>
      <w:r>
        <w:t>8. System architecture and engineering implementation</w:t>
      </w:r>
    </w:p>
    <w:p>
      <w:r>
        <w:t>This section provides a reference architecture and defines what software and data engineering teams must deliver. Specific deployment topologies (on-prem, hybrid, cloud) may vary by site, but interfaces and modules remain consistent.</w:t>
      </w:r>
    </w:p>
    <w:p>
      <w:pPr>
        <w:pStyle w:val="Heading2"/>
      </w:pPr>
      <w:r>
        <w:t>8.1 Reference component diagram (logical)</w:t>
      </w:r>
    </w:p>
    <w:p>
      <w:r>
        <w:rPr>
          <w:sz w:val="20"/>
        </w:rPr>
        <w:t>Data sources (OPC-UA / historian / acoustics) → Ingestion (edge gateway) → Kafka topics → Stream processing &amp; validation → Thermo/Balances (IF97) → ML inference (trap/anomaly/quality) → Optimization engine → Explainability + Causal RCA → APIs (gRPC internal, GraphQL external) → UI/Reports/Alerts</w:t>
      </w:r>
    </w:p>
    <w:p>
      <w:pPr>
        <w:pStyle w:val="Heading2"/>
      </w:pPr>
      <w:r>
        <w:t>8.2 Core services (deployable units)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sz w:val="20"/>
              </w:rPr>
              <w:t>Service</w:t>
            </w:r>
          </w:p>
        </w:tc>
        <w:tc>
          <w:tcPr>
            <w:tcW w:type="dxa" w:w="2340"/>
          </w:tcPr>
          <w:p>
            <w:r>
              <w:rPr>
                <w:rFonts w:ascii="Calibri" w:hAnsi="Calibri" w:eastAsia="Calibri"/>
                <w:b/>
                <w:sz w:val="20"/>
              </w:rPr>
              <w:t>Responsibilities</w:t>
            </w:r>
          </w:p>
        </w:tc>
        <w:tc>
          <w:tcPr>
            <w:tcW w:type="dxa" w:w="2340"/>
          </w:tcPr>
          <w:p>
            <w:r>
              <w:rPr>
                <w:rFonts w:ascii="Calibri" w:hAnsi="Calibri" w:eastAsia="Calibri"/>
                <w:b/>
                <w:sz w:val="20"/>
              </w:rPr>
              <w:t>Inputs</w:t>
            </w:r>
          </w:p>
        </w:tc>
        <w:tc>
          <w:tcPr>
            <w:tcW w:type="dxa" w:w="2340"/>
          </w:tcPr>
          <w:p>
            <w:r>
              <w:rPr>
                <w:rFonts w:ascii="Calibri" w:hAnsi="Calibri" w:eastAsia="Calibri"/>
                <w:b/>
                <w:sz w:val="20"/>
              </w:rPr>
              <w:t>Outputs</w:t>
            </w:r>
          </w:p>
        </w:tc>
      </w:tr>
      <w:tr>
        <w:tc>
          <w:tcPr>
            <w:tcW w:type="dxa" w:w="2340"/>
          </w:tcPr>
          <w:p>
            <w:r>
              <w:rPr>
                <w:rFonts w:ascii="Calibri" w:hAnsi="Calibri" w:eastAsia="Calibri"/>
                <w:sz w:val="20"/>
              </w:rPr>
              <w:t>Tag &amp; Config Service</w:t>
            </w:r>
          </w:p>
        </w:tc>
        <w:tc>
          <w:tcPr>
            <w:tcW w:type="dxa" w:w="2340"/>
          </w:tcPr>
          <w:p>
            <w:r>
              <w:rPr>
                <w:rFonts w:ascii="Calibri" w:hAnsi="Calibri" w:eastAsia="Calibri"/>
                <w:sz w:val="20"/>
              </w:rPr>
              <w:t>Site configuration, asset graph, tag mapping, units, sensor metadata</w:t>
            </w:r>
          </w:p>
        </w:tc>
        <w:tc>
          <w:tcPr>
            <w:tcW w:type="dxa" w:w="2340"/>
          </w:tcPr>
          <w:p>
            <w:r>
              <w:rPr>
                <w:rFonts w:ascii="Calibri" w:hAnsi="Calibri" w:eastAsia="Calibri"/>
                <w:sz w:val="20"/>
              </w:rPr>
              <w:t>Config repo, site onboarding inputs</w:t>
            </w:r>
          </w:p>
        </w:tc>
        <w:tc>
          <w:tcPr>
            <w:tcW w:type="dxa" w:w="2340"/>
          </w:tcPr>
          <w:p>
            <w:r>
              <w:rPr>
                <w:rFonts w:ascii="Calibri" w:hAnsi="Calibri" w:eastAsia="Calibri"/>
                <w:sz w:val="20"/>
              </w:rPr>
              <w:t>Versioned config, canonical tag map</w:t>
            </w:r>
          </w:p>
        </w:tc>
      </w:tr>
      <w:tr>
        <w:tc>
          <w:tcPr>
            <w:tcW w:type="dxa" w:w="2340"/>
          </w:tcPr>
          <w:p>
            <w:r>
              <w:rPr>
                <w:rFonts w:ascii="Calibri" w:hAnsi="Calibri" w:eastAsia="Calibri"/>
                <w:sz w:val="20"/>
              </w:rPr>
              <w:t>Ingestion &amp; Validation</w:t>
            </w:r>
          </w:p>
        </w:tc>
        <w:tc>
          <w:tcPr>
            <w:tcW w:type="dxa" w:w="2340"/>
          </w:tcPr>
          <w:p>
            <w:r>
              <w:rPr>
                <w:rFonts w:ascii="Calibri" w:hAnsi="Calibri" w:eastAsia="Calibri"/>
                <w:sz w:val="20"/>
              </w:rPr>
              <w:t>OPC-UA read, timestamping, unit normalization, quality flags</w:t>
            </w:r>
          </w:p>
        </w:tc>
        <w:tc>
          <w:tcPr>
            <w:tcW w:type="dxa" w:w="2340"/>
          </w:tcPr>
          <w:p>
            <w:r>
              <w:rPr>
                <w:rFonts w:ascii="Calibri" w:hAnsi="Calibri" w:eastAsia="Calibri"/>
                <w:sz w:val="20"/>
              </w:rPr>
              <w:t>OPC-UA, historian, edge features</w:t>
            </w:r>
          </w:p>
        </w:tc>
        <w:tc>
          <w:tcPr>
            <w:tcW w:type="dxa" w:w="2340"/>
          </w:tcPr>
          <w:p>
            <w:r>
              <w:rPr>
                <w:rFonts w:ascii="Calibri" w:hAnsi="Calibri" w:eastAsia="Calibri"/>
                <w:sz w:val="20"/>
              </w:rPr>
              <w:t>Kafka raw + validated streams</w:t>
            </w:r>
          </w:p>
        </w:tc>
      </w:tr>
      <w:tr>
        <w:tc>
          <w:tcPr>
            <w:tcW w:type="dxa" w:w="2340"/>
          </w:tcPr>
          <w:p>
            <w:r>
              <w:rPr>
                <w:rFonts w:ascii="Calibri" w:hAnsi="Calibri" w:eastAsia="Calibri"/>
                <w:sz w:val="20"/>
              </w:rPr>
              <w:t>Thermo/Balance Engine</w:t>
            </w:r>
          </w:p>
        </w:tc>
        <w:tc>
          <w:tcPr>
            <w:tcW w:type="dxa" w:w="2340"/>
          </w:tcPr>
          <w:p>
            <w:r>
              <w:rPr>
                <w:rFonts w:ascii="Calibri" w:hAnsi="Calibri" w:eastAsia="Calibri"/>
                <w:sz w:val="20"/>
              </w:rPr>
              <w:t>IF97 property calc, state detection, enthalpy/mass balances, loss estimation</w:t>
            </w:r>
          </w:p>
        </w:tc>
        <w:tc>
          <w:tcPr>
            <w:tcW w:type="dxa" w:w="2340"/>
          </w:tcPr>
          <w:p>
            <w:r>
              <w:rPr>
                <w:rFonts w:ascii="Calibri" w:hAnsi="Calibri" w:eastAsia="Calibri"/>
                <w:sz w:val="20"/>
              </w:rPr>
              <w:t>Validated P/T/flow/quality</w:t>
            </w:r>
          </w:p>
        </w:tc>
        <w:tc>
          <w:tcPr>
            <w:tcW w:type="dxa" w:w="2340"/>
          </w:tcPr>
          <w:p>
            <w:r>
              <w:rPr>
                <w:rFonts w:ascii="Calibri" w:hAnsi="Calibri" w:eastAsia="Calibri"/>
                <w:sz w:val="20"/>
              </w:rPr>
              <w:t>Computed properties, KPIs, loss terms</w:t>
            </w:r>
          </w:p>
        </w:tc>
      </w:tr>
      <w:tr>
        <w:tc>
          <w:tcPr>
            <w:tcW w:type="dxa" w:w="2340"/>
          </w:tcPr>
          <w:p>
            <w:r>
              <w:rPr>
                <w:rFonts w:ascii="Calibri" w:hAnsi="Calibri" w:eastAsia="Calibri"/>
                <w:sz w:val="20"/>
              </w:rPr>
              <w:t>Trap Diagnostics</w:t>
            </w:r>
          </w:p>
        </w:tc>
        <w:tc>
          <w:tcPr>
            <w:tcW w:type="dxa" w:w="2340"/>
          </w:tcPr>
          <w:p>
            <w:r>
              <w:rPr>
                <w:rFonts w:ascii="Calibri" w:hAnsi="Calibri" w:eastAsia="Calibri"/>
                <w:sz w:val="20"/>
              </w:rPr>
              <w:t>Trap failure model inference + loss estimation, maintenance prioritization</w:t>
            </w:r>
          </w:p>
        </w:tc>
        <w:tc>
          <w:tcPr>
            <w:tcW w:type="dxa" w:w="2340"/>
          </w:tcPr>
          <w:p>
            <w:r>
              <w:rPr>
                <w:rFonts w:ascii="Calibri" w:hAnsi="Calibri" w:eastAsia="Calibri"/>
                <w:sz w:val="20"/>
              </w:rPr>
              <w:t>Acoustics features + process signals</w:t>
            </w:r>
          </w:p>
        </w:tc>
        <w:tc>
          <w:tcPr>
            <w:tcW w:type="dxa" w:w="2340"/>
          </w:tcPr>
          <w:p>
            <w:r>
              <w:rPr>
                <w:rFonts w:ascii="Calibri" w:hAnsi="Calibri" w:eastAsia="Calibri"/>
                <w:sz w:val="20"/>
              </w:rPr>
              <w:t>Failure probability, loss rate, alerts</w:t>
            </w:r>
          </w:p>
        </w:tc>
      </w:tr>
      <w:tr>
        <w:tc>
          <w:tcPr>
            <w:tcW w:type="dxa" w:w="2340"/>
          </w:tcPr>
          <w:p>
            <w:r>
              <w:rPr>
                <w:rFonts w:ascii="Calibri" w:hAnsi="Calibri" w:eastAsia="Calibri"/>
                <w:sz w:val="20"/>
              </w:rPr>
              <w:t>Desuperheater Optimizer</w:t>
            </w:r>
          </w:p>
        </w:tc>
        <w:tc>
          <w:tcPr>
            <w:tcW w:type="dxa" w:w="2340"/>
          </w:tcPr>
          <w:p>
            <w:r>
              <w:rPr>
                <w:rFonts w:ascii="Calibri" w:hAnsi="Calibri" w:eastAsia="Calibri"/>
                <w:sz w:val="20"/>
              </w:rPr>
              <w:t>Spray calculation + constraints + recommended setpoints</w:t>
            </w:r>
          </w:p>
        </w:tc>
        <w:tc>
          <w:tcPr>
            <w:tcW w:type="dxa" w:w="2340"/>
          </w:tcPr>
          <w:p>
            <w:r>
              <w:rPr>
                <w:rFonts w:ascii="Calibri" w:hAnsi="Calibri" w:eastAsia="Calibri"/>
                <w:sz w:val="20"/>
              </w:rPr>
              <w:t>Steam state + valve positions + targets</w:t>
            </w:r>
          </w:p>
        </w:tc>
        <w:tc>
          <w:tcPr>
            <w:tcW w:type="dxa" w:w="2340"/>
          </w:tcPr>
          <w:p>
            <w:r>
              <w:rPr>
                <w:rFonts w:ascii="Calibri" w:hAnsi="Calibri" w:eastAsia="Calibri"/>
                <w:sz w:val="20"/>
              </w:rPr>
              <w:t>Recommendation + safe bounds</w:t>
            </w:r>
          </w:p>
        </w:tc>
      </w:tr>
      <w:tr>
        <w:tc>
          <w:tcPr>
            <w:tcW w:type="dxa" w:w="2340"/>
          </w:tcPr>
          <w:p>
            <w:r>
              <w:rPr>
                <w:rFonts w:ascii="Calibri" w:hAnsi="Calibri" w:eastAsia="Calibri"/>
                <w:sz w:val="20"/>
              </w:rPr>
              <w:t>Condensate Optimizer</w:t>
            </w:r>
          </w:p>
        </w:tc>
        <w:tc>
          <w:tcPr>
            <w:tcW w:type="dxa" w:w="2340"/>
          </w:tcPr>
          <w:p>
            <w:r>
              <w:rPr>
                <w:rFonts w:ascii="Calibri" w:hAnsi="Calibri" w:eastAsia="Calibri"/>
                <w:sz w:val="20"/>
              </w:rPr>
              <w:t>Return KPIs, flash losses, routing constraints</w:t>
            </w:r>
          </w:p>
        </w:tc>
        <w:tc>
          <w:tcPr>
            <w:tcW w:type="dxa" w:w="2340"/>
          </w:tcPr>
          <w:p>
            <w:r>
              <w:rPr>
                <w:rFonts w:ascii="Calibri" w:hAnsi="Calibri" w:eastAsia="Calibri"/>
                <w:sz w:val="20"/>
              </w:rPr>
              <w:t>Return flows/temps + pressures</w:t>
            </w:r>
          </w:p>
        </w:tc>
        <w:tc>
          <w:tcPr>
            <w:tcW w:type="dxa" w:w="2340"/>
          </w:tcPr>
          <w:p>
            <w:r>
              <w:rPr>
                <w:rFonts w:ascii="Calibri" w:hAnsi="Calibri" w:eastAsia="Calibri"/>
                <w:sz w:val="20"/>
              </w:rPr>
              <w:t>Recovery recommendations + ROI</w:t>
            </w:r>
          </w:p>
        </w:tc>
      </w:tr>
      <w:tr>
        <w:tc>
          <w:tcPr>
            <w:tcW w:type="dxa" w:w="2340"/>
          </w:tcPr>
          <w:p>
            <w:r>
              <w:rPr>
                <w:rFonts w:ascii="Calibri" w:hAnsi="Calibri" w:eastAsia="Calibri"/>
                <w:sz w:val="20"/>
              </w:rPr>
              <w:t>Causal RCA</w:t>
            </w:r>
          </w:p>
        </w:tc>
        <w:tc>
          <w:tcPr>
            <w:tcW w:type="dxa" w:w="2340"/>
          </w:tcPr>
          <w:p>
            <w:r>
              <w:rPr>
                <w:rFonts w:ascii="Calibri" w:hAnsi="Calibri" w:eastAsia="Calibri"/>
                <w:sz w:val="20"/>
              </w:rPr>
              <w:t>Causal attribution + counterfactuals + root cause ranking</w:t>
            </w:r>
          </w:p>
        </w:tc>
        <w:tc>
          <w:tcPr>
            <w:tcW w:type="dxa" w:w="2340"/>
          </w:tcPr>
          <w:p>
            <w:r>
              <w:rPr>
                <w:rFonts w:ascii="Calibri" w:hAnsi="Calibri" w:eastAsia="Calibri"/>
                <w:sz w:val="20"/>
              </w:rPr>
              <w:t>All computed and measured signals + events</w:t>
            </w:r>
          </w:p>
        </w:tc>
        <w:tc>
          <w:tcPr>
            <w:tcW w:type="dxa" w:w="2340"/>
          </w:tcPr>
          <w:p>
            <w:r>
              <w:rPr>
                <w:rFonts w:ascii="Calibri" w:hAnsi="Calibri" w:eastAsia="Calibri"/>
                <w:sz w:val="20"/>
              </w:rPr>
              <w:t>Root cause list + evidence</w:t>
            </w:r>
          </w:p>
        </w:tc>
      </w:tr>
      <w:tr>
        <w:tc>
          <w:tcPr>
            <w:tcW w:type="dxa" w:w="2340"/>
          </w:tcPr>
          <w:p>
            <w:r>
              <w:rPr>
                <w:rFonts w:ascii="Calibri" w:hAnsi="Calibri" w:eastAsia="Calibri"/>
                <w:sz w:val="20"/>
              </w:rPr>
              <w:t>Explainability Service</w:t>
            </w:r>
          </w:p>
        </w:tc>
        <w:tc>
          <w:tcPr>
            <w:tcW w:type="dxa" w:w="2340"/>
          </w:tcPr>
          <w:p>
            <w:r>
              <w:rPr>
                <w:rFonts w:ascii="Calibri" w:hAnsi="Calibri" w:eastAsia="Calibri"/>
                <w:sz w:val="20"/>
              </w:rPr>
              <w:t>SHAP/LIME generation + physics traces + report formatting</w:t>
            </w:r>
          </w:p>
        </w:tc>
        <w:tc>
          <w:tcPr>
            <w:tcW w:type="dxa" w:w="2340"/>
          </w:tcPr>
          <w:p>
            <w:r>
              <w:rPr>
                <w:rFonts w:ascii="Calibri" w:hAnsi="Calibri" w:eastAsia="Calibri"/>
                <w:sz w:val="20"/>
              </w:rPr>
              <w:t>Model artifacts + inference context</w:t>
            </w:r>
          </w:p>
        </w:tc>
        <w:tc>
          <w:tcPr>
            <w:tcW w:type="dxa" w:w="2340"/>
          </w:tcPr>
          <w:p>
            <w:r>
              <w:rPr>
                <w:rFonts w:ascii="Calibri" w:hAnsi="Calibri" w:eastAsia="Calibri"/>
                <w:sz w:val="20"/>
              </w:rPr>
              <w:t>Explainability payloads, PDFs/JSON</w:t>
            </w:r>
          </w:p>
        </w:tc>
      </w:tr>
      <w:tr>
        <w:tc>
          <w:tcPr>
            <w:tcW w:type="dxa" w:w="2340"/>
          </w:tcPr>
          <w:p>
            <w:r>
              <w:rPr>
                <w:rFonts w:ascii="Calibri" w:hAnsi="Calibri" w:eastAsia="Calibri"/>
                <w:sz w:val="20"/>
              </w:rPr>
              <w:t>API Gateway</w:t>
            </w:r>
          </w:p>
        </w:tc>
        <w:tc>
          <w:tcPr>
            <w:tcW w:type="dxa" w:w="2340"/>
          </w:tcPr>
          <w:p>
            <w:r>
              <w:rPr>
                <w:rFonts w:ascii="Calibri" w:hAnsi="Calibri" w:eastAsia="Calibri"/>
                <w:sz w:val="20"/>
              </w:rPr>
              <w:t>GraphQL aggregation + auth + rate limits</w:t>
            </w:r>
          </w:p>
        </w:tc>
        <w:tc>
          <w:tcPr>
            <w:tcW w:type="dxa" w:w="2340"/>
          </w:tcPr>
          <w:p>
            <w:r>
              <w:rPr>
                <w:rFonts w:ascii="Calibri" w:hAnsi="Calibri" w:eastAsia="Calibri"/>
                <w:sz w:val="20"/>
              </w:rPr>
              <w:t>gRPC services</w:t>
            </w:r>
          </w:p>
        </w:tc>
        <w:tc>
          <w:tcPr>
            <w:tcW w:type="dxa" w:w="2340"/>
          </w:tcPr>
          <w:p>
            <w:r>
              <w:rPr>
                <w:rFonts w:ascii="Calibri" w:hAnsi="Calibri" w:eastAsia="Calibri"/>
                <w:sz w:val="20"/>
              </w:rPr>
              <w:t>GraphQL API for UI and integrations</w:t>
            </w:r>
          </w:p>
        </w:tc>
      </w:tr>
    </w:tbl>
    <w:p>
      <w:pPr>
        <w:pStyle w:val="Heading2"/>
      </w:pPr>
      <w:r>
        <w:t>8.3 Data model and event streams (Kafka)</w:t>
      </w:r>
    </w:p>
    <w:p>
      <w:r>
        <w:t>Define canonical topics per site/area. Example naming (adapt to your platform conventions):</w:t>
      </w:r>
    </w:p>
    <w:p>
      <w:pPr>
        <w:pStyle w:val="ListBullet"/>
      </w:pPr>
      <w:r>
        <w:rPr>
          <w:rFonts w:ascii="Consolas" w:hAnsi="Consolas"/>
          <w:sz w:val="20"/>
        </w:rPr>
        <w:t>gl003.&lt;site&gt;.&lt;area&gt;.raw (raw OT signals)</w:t>
      </w:r>
    </w:p>
    <w:p>
      <w:pPr>
        <w:pStyle w:val="ListBullet"/>
      </w:pPr>
      <w:r>
        <w:rPr>
          <w:rFonts w:ascii="Consolas" w:hAnsi="Consolas"/>
          <w:sz w:val="20"/>
        </w:rPr>
        <w:t>gl003.&lt;site&gt;.&lt;area&gt;.validated (normalized + quality flags)</w:t>
      </w:r>
    </w:p>
    <w:p>
      <w:pPr>
        <w:pStyle w:val="ListBullet"/>
      </w:pPr>
      <w:r>
        <w:rPr>
          <w:rFonts w:ascii="Consolas" w:hAnsi="Consolas"/>
          <w:sz w:val="20"/>
        </w:rPr>
        <w:t>gl003.&lt;site&gt;.&lt;area&gt;.features (engineered features for ML)</w:t>
      </w:r>
    </w:p>
    <w:p>
      <w:pPr>
        <w:pStyle w:val="ListBullet"/>
      </w:pPr>
      <w:r>
        <w:rPr>
          <w:rFonts w:ascii="Consolas" w:hAnsi="Consolas"/>
          <w:sz w:val="20"/>
        </w:rPr>
        <w:t>gl003.&lt;site&gt;.&lt;area&gt;.computed (thermo properties + KPIs)</w:t>
      </w:r>
    </w:p>
    <w:p>
      <w:pPr>
        <w:pStyle w:val="ListBullet"/>
      </w:pPr>
      <w:r>
        <w:rPr>
          <w:rFonts w:ascii="Consolas" w:hAnsi="Consolas"/>
          <w:sz w:val="20"/>
        </w:rPr>
        <w:t>gl003.&lt;site&gt;.&lt;area&gt;.recommendations (actions + benefit + confidence)</w:t>
      </w:r>
    </w:p>
    <w:p>
      <w:pPr>
        <w:pStyle w:val="ListBullet"/>
      </w:pPr>
      <w:r>
        <w:rPr>
          <w:rFonts w:ascii="Consolas" w:hAnsi="Consolas"/>
          <w:sz w:val="20"/>
        </w:rPr>
        <w:t>gl003.&lt;site&gt;.&lt;area&gt;.events (maintenance events, setpoint changes, alarms)</w:t>
      </w:r>
    </w:p>
    <w:p>
      <w:pPr>
        <w:pStyle w:val="Heading2"/>
      </w:pPr>
      <w:r>
        <w:t>8.4 API requirements (GraphQL and gRPC)</w:t>
      </w:r>
    </w:p>
    <w:p>
      <w:r>
        <w:t>External consumers (UI, reporting, integrations) should use GraphQL for flexibility. Internal low-latency calls should use gRPC.</w:t>
      </w:r>
    </w:p>
    <w:p>
      <w:pPr>
        <w:pStyle w:val="ListBullet"/>
      </w:pPr>
      <w:r>
        <w:t>GraphQL: queries for latest state, time windows, recommendation lists, explainability payloads, and climate impact summaries.</w:t>
      </w:r>
    </w:p>
    <w:p>
      <w:pPr>
        <w:pStyle w:val="ListBullet"/>
      </w:pPr>
      <w:r>
        <w:t>gRPC: methods for property computation, optimization calls, ML inference calls, and RCA requests (with strict schemas).</w:t>
      </w:r>
    </w:p>
    <w:p>
      <w:pPr>
        <w:pStyle w:val="ListBullet"/>
      </w:pPr>
      <w:r>
        <w:t>Schema versioning: all API and Kafka schemas must be versioned; breaking changes require a migration plan.</w:t>
      </w:r>
    </w:p>
    <w:p>
      <w:pPr>
        <w:pStyle w:val="ListBullet"/>
      </w:pPr>
      <w:r>
        <w:t>Security: TLS everywhere; OAuth/JWT or mTLS for service identity; role-based access for site data.</w:t>
      </w:r>
    </w:p>
    <w:p>
      <w:r>
        <w:br w:type="page"/>
      </w:r>
    </w:p>
    <w:p>
      <w:pPr>
        <w:pStyle w:val="Heading1"/>
      </w:pPr>
      <w:r>
        <w:t>9. Testing, validation, and commissioning</w:t>
      </w:r>
    </w:p>
    <w:p>
      <w:r>
        <w:t>GL-003 must be treated like an engineering system: calculations, recommendations, and reliability must be validated before broad rollout.</w:t>
      </w:r>
    </w:p>
    <w:p>
      <w:pPr>
        <w:pStyle w:val="Heading2"/>
      </w:pPr>
      <w:r>
        <w:t>9.1 Verification (does it compute correctly?)</w:t>
      </w:r>
    </w:p>
    <w:p>
      <w:pPr>
        <w:pStyle w:val="ListBullet"/>
      </w:pPr>
      <w:r>
        <w:t>Thermo engine unit tests: validate IF97 outputs against published reference points and boundary cases (region transitions).</w:t>
      </w:r>
    </w:p>
    <w:p>
      <w:pPr>
        <w:pStyle w:val="ListBullet"/>
      </w:pPr>
      <w:r>
        <w:t>Balance tests: synthetic networks with known flows/enthalpies to verify mass/energy balance closure under noise and missing data.</w:t>
      </w:r>
    </w:p>
    <w:p>
      <w:pPr>
        <w:pStyle w:val="ListBullet"/>
      </w:pPr>
      <w:r>
        <w:t>Desuperheater tests: validate spray requirement calculations against design cases and historical operating data.</w:t>
      </w:r>
    </w:p>
    <w:p>
      <w:pPr>
        <w:pStyle w:val="ListBullet"/>
      </w:pPr>
      <w:r>
        <w:t>UQ tests: verify uncertainty propagation using Monte Carlo spot checks and ensure bounds behave sensibly when inputs degrade.</w:t>
      </w:r>
    </w:p>
    <w:p>
      <w:pPr>
        <w:pStyle w:val="Heading2"/>
      </w:pPr>
      <w:r>
        <w:t>9.2 Validation (does it match reality?)</w:t>
      </w:r>
    </w:p>
    <w:p>
      <w:pPr>
        <w:pStyle w:val="ListBullet"/>
      </w:pPr>
      <w:r>
        <w:t>Field walkdown: confirm sensor placement, tag correctness, and asset topology.</w:t>
      </w:r>
    </w:p>
    <w:p>
      <w:pPr>
        <w:pStyle w:val="ListBullet"/>
      </w:pPr>
      <w:r>
        <w:t>Golden period comparison: pick stable operating periods and confirm computed properties and balances match engineering expectations.</w:t>
      </w:r>
    </w:p>
    <w:p>
      <w:pPr>
        <w:pStyle w:val="ListBullet"/>
      </w:pPr>
      <w:r>
        <w:t>Recommendation trials: run advisory mode, track operator actions, and measure resulting changes in KPIs.</w:t>
      </w:r>
    </w:p>
    <w:p>
      <w:pPr>
        <w:pStyle w:val="ListBullet"/>
      </w:pPr>
      <w:r>
        <w:t>Trap validation: compare predicted failures against maintenance findings; quantify precision/recall and economic value.</w:t>
      </w:r>
    </w:p>
    <w:p>
      <w:pPr>
        <w:pStyle w:val="ListBullet"/>
      </w:pPr>
      <w:r>
        <w:t>Controls validation (if enabled): step tests with controls engineering oversight; ensure no adverse interactions.</w:t>
      </w:r>
    </w:p>
    <w:p>
      <w:pPr>
        <w:pStyle w:val="Heading2"/>
      </w:pPr>
      <w:r>
        <w:t>9.3 Acceptance criteria (minimum)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Area</w:t>
            </w:r>
          </w:p>
        </w:tc>
        <w:tc>
          <w:tcPr>
            <w:tcW w:type="dxa" w:w="3120"/>
          </w:tcPr>
          <w:p>
            <w:r>
              <w:rPr>
                <w:rFonts w:ascii="Calibri" w:hAnsi="Calibri" w:eastAsia="Calibri"/>
                <w:b/>
                <w:sz w:val="20"/>
              </w:rPr>
              <w:t>Metric</w:t>
            </w:r>
          </w:p>
        </w:tc>
        <w:tc>
          <w:tcPr>
            <w:tcW w:type="dxa" w:w="3120"/>
          </w:tcPr>
          <w:p>
            <w:r>
              <w:rPr>
                <w:rFonts w:ascii="Calibri" w:hAnsi="Calibri" w:eastAsia="Calibri"/>
                <w:b/>
                <w:sz w:val="20"/>
              </w:rPr>
              <w:t>Minimum acceptance threshold (configure per site)</w:t>
            </w:r>
          </w:p>
        </w:tc>
      </w:tr>
      <w:tr>
        <w:tc>
          <w:tcPr>
            <w:tcW w:type="dxa" w:w="3120"/>
          </w:tcPr>
          <w:p>
            <w:r>
              <w:rPr>
                <w:rFonts w:ascii="Calibri" w:hAnsi="Calibri" w:eastAsia="Calibri"/>
                <w:sz w:val="20"/>
              </w:rPr>
              <w:t>Thermodynamics</w:t>
            </w:r>
          </w:p>
        </w:tc>
        <w:tc>
          <w:tcPr>
            <w:tcW w:type="dxa" w:w="3120"/>
          </w:tcPr>
          <w:p>
            <w:r>
              <w:rPr>
                <w:rFonts w:ascii="Calibri" w:hAnsi="Calibri" w:eastAsia="Calibri"/>
                <w:sz w:val="20"/>
              </w:rPr>
              <w:t>Property calculation validity</w:t>
            </w:r>
          </w:p>
        </w:tc>
        <w:tc>
          <w:tcPr>
            <w:tcW w:type="dxa" w:w="3120"/>
          </w:tcPr>
          <w:p>
            <w:r>
              <w:rPr>
                <w:rFonts w:ascii="Calibri" w:hAnsi="Calibri" w:eastAsia="Calibri"/>
                <w:sz w:val="20"/>
              </w:rPr>
              <w:t>No unhandled exceptions; out-of-range handling; stable outputs across region boundaries</w:t>
            </w:r>
          </w:p>
        </w:tc>
      </w:tr>
      <w:tr>
        <w:tc>
          <w:tcPr>
            <w:tcW w:type="dxa" w:w="3120"/>
          </w:tcPr>
          <w:p>
            <w:r>
              <w:rPr>
                <w:rFonts w:ascii="Calibri" w:hAnsi="Calibri" w:eastAsia="Calibri"/>
                <w:sz w:val="20"/>
              </w:rPr>
              <w:t>Balances</w:t>
            </w:r>
          </w:p>
        </w:tc>
        <w:tc>
          <w:tcPr>
            <w:tcW w:type="dxa" w:w="3120"/>
          </w:tcPr>
          <w:p>
            <w:r>
              <w:rPr>
                <w:rFonts w:ascii="Calibri" w:hAnsi="Calibri" w:eastAsia="Calibri"/>
                <w:sz w:val="20"/>
              </w:rPr>
              <w:t>Energy balance closure</w:t>
            </w:r>
          </w:p>
        </w:tc>
        <w:tc>
          <w:tcPr>
            <w:tcW w:type="dxa" w:w="3120"/>
          </w:tcPr>
          <w:p>
            <w:r>
              <w:rPr>
                <w:rFonts w:ascii="Calibri" w:hAnsi="Calibri" w:eastAsia="Calibri"/>
                <w:sz w:val="20"/>
              </w:rPr>
              <w:t>Within configured tolerance when instrumentation is adequate; otherwise show explicit unaccounted loss with uncertainty</w:t>
            </w:r>
          </w:p>
        </w:tc>
      </w:tr>
      <w:tr>
        <w:tc>
          <w:tcPr>
            <w:tcW w:type="dxa" w:w="3120"/>
          </w:tcPr>
          <w:p>
            <w:r>
              <w:rPr>
                <w:rFonts w:ascii="Calibri" w:hAnsi="Calibri" w:eastAsia="Calibri"/>
                <w:sz w:val="20"/>
              </w:rPr>
              <w:t>Desuperheater</w:t>
            </w:r>
          </w:p>
        </w:tc>
        <w:tc>
          <w:tcPr>
            <w:tcW w:type="dxa" w:w="3120"/>
          </w:tcPr>
          <w:p>
            <w:r>
              <w:rPr>
                <w:rFonts w:ascii="Calibri" w:hAnsi="Calibri" w:eastAsia="Calibri"/>
                <w:sz w:val="20"/>
              </w:rPr>
              <w:t>Target temp/quality maintenance (advisory)</w:t>
            </w:r>
          </w:p>
        </w:tc>
        <w:tc>
          <w:tcPr>
            <w:tcW w:type="dxa" w:w="3120"/>
          </w:tcPr>
          <w:p>
            <w:r>
              <w:rPr>
                <w:rFonts w:ascii="Calibri" w:hAnsi="Calibri" w:eastAsia="Calibri"/>
                <w:sz w:val="20"/>
              </w:rPr>
              <w:t>Recommendations maintain required temperature/quality without increased wet-steam alarms</w:t>
            </w:r>
          </w:p>
        </w:tc>
      </w:tr>
      <w:tr>
        <w:tc>
          <w:tcPr>
            <w:tcW w:type="dxa" w:w="3120"/>
          </w:tcPr>
          <w:p>
            <w:r>
              <w:rPr>
                <w:rFonts w:ascii="Calibri" w:hAnsi="Calibri" w:eastAsia="Calibri"/>
                <w:sz w:val="20"/>
              </w:rPr>
              <w:t>Trap diagnostics</w:t>
            </w:r>
          </w:p>
        </w:tc>
        <w:tc>
          <w:tcPr>
            <w:tcW w:type="dxa" w:w="3120"/>
          </w:tcPr>
          <w:p>
            <w:r>
              <w:rPr>
                <w:rFonts w:ascii="Calibri" w:hAnsi="Calibri" w:eastAsia="Calibri"/>
                <w:sz w:val="20"/>
              </w:rPr>
              <w:t>Maintenance usefulness</w:t>
            </w:r>
          </w:p>
        </w:tc>
        <w:tc>
          <w:tcPr>
            <w:tcW w:type="dxa" w:w="3120"/>
          </w:tcPr>
          <w:p>
            <w:r>
              <w:rPr>
                <w:rFonts w:ascii="Calibri" w:hAnsi="Calibri" w:eastAsia="Calibri"/>
                <w:sz w:val="20"/>
              </w:rPr>
              <w:t>Demonstrated ability to prioritize traps better than reactive approach; track false alarms</w:t>
            </w:r>
          </w:p>
        </w:tc>
      </w:tr>
      <w:tr>
        <w:tc>
          <w:tcPr>
            <w:tcW w:type="dxa" w:w="3120"/>
          </w:tcPr>
          <w:p>
            <w:r>
              <w:rPr>
                <w:rFonts w:ascii="Calibri" w:hAnsi="Calibri" w:eastAsia="Calibri"/>
                <w:sz w:val="20"/>
              </w:rPr>
              <w:t>Explainability</w:t>
            </w:r>
          </w:p>
        </w:tc>
        <w:tc>
          <w:tcPr>
            <w:tcW w:type="dxa" w:w="3120"/>
          </w:tcPr>
          <w:p>
            <w:r>
              <w:rPr>
                <w:rFonts w:ascii="Calibri" w:hAnsi="Calibri" w:eastAsia="Calibri"/>
                <w:sz w:val="20"/>
              </w:rPr>
              <w:t>User trust</w:t>
            </w:r>
          </w:p>
        </w:tc>
        <w:tc>
          <w:tcPr>
            <w:tcW w:type="dxa" w:w="3120"/>
          </w:tcPr>
          <w:p>
            <w:r>
              <w:rPr>
                <w:rFonts w:ascii="Calibri" w:hAnsi="Calibri" w:eastAsia="Calibri"/>
                <w:sz w:val="20"/>
              </w:rPr>
              <w:t>Each recommendation includes readable drivers + evidence + confidence</w:t>
            </w:r>
          </w:p>
        </w:tc>
      </w:tr>
      <w:tr>
        <w:tc>
          <w:tcPr>
            <w:tcW w:type="dxa" w:w="3120"/>
          </w:tcPr>
          <w:p>
            <w:r>
              <w:rPr>
                <w:rFonts w:ascii="Calibri" w:hAnsi="Calibri" w:eastAsia="Calibri"/>
                <w:sz w:val="20"/>
              </w:rPr>
              <w:t>Reliability</w:t>
            </w:r>
          </w:p>
        </w:tc>
        <w:tc>
          <w:tcPr>
            <w:tcW w:type="dxa" w:w="3120"/>
          </w:tcPr>
          <w:p>
            <w:r>
              <w:rPr>
                <w:rFonts w:ascii="Calibri" w:hAnsi="Calibri" w:eastAsia="Calibri"/>
                <w:sz w:val="20"/>
              </w:rPr>
              <w:t>Service uptime/SLO</w:t>
            </w:r>
          </w:p>
        </w:tc>
        <w:tc>
          <w:tcPr>
            <w:tcW w:type="dxa" w:w="3120"/>
          </w:tcPr>
          <w:p>
            <w:r>
              <w:rPr>
                <w:rFonts w:ascii="Calibri" w:hAnsi="Calibri" w:eastAsia="Calibri"/>
                <w:sz w:val="20"/>
              </w:rPr>
              <w:t>Meets platform SLO; graceful degradation on missing data</w:t>
            </w:r>
          </w:p>
        </w:tc>
      </w:tr>
    </w:tbl>
    <w:p>
      <w:pPr>
        <w:pStyle w:val="Heading1"/>
      </w:pPr>
      <w:r>
        <w:t>10. Climate intelligence and impact accounting</w:t>
      </w:r>
    </w:p>
    <w:p>
      <w:r>
        <w:t>GL-003 must translate operational improvements into energy, cost, and emissions impact in a way that sustainability and finance teams can audit.</w:t>
      </w:r>
    </w:p>
    <w:p>
      <w:pPr>
        <w:pStyle w:val="Heading2"/>
      </w:pPr>
      <w:r>
        <w:t>10.1 Required climate outputs</w:t>
      </w:r>
    </w:p>
    <w:p>
      <w:pPr>
        <w:pStyle w:val="ListBullet"/>
      </w:pPr>
      <w:r>
        <w:t>Steam savings (mass and energy basis), by asset/segment and over time</w:t>
      </w:r>
    </w:p>
    <w:p>
      <w:pPr>
        <w:pStyle w:val="ListBullet"/>
      </w:pPr>
      <w:r>
        <w:t>Fuel savings estimate (based on boiler efficiency/heat rate assumptions and/or measured fuel flow where available)</w:t>
      </w:r>
    </w:p>
    <w:p>
      <w:pPr>
        <w:pStyle w:val="ListBullet"/>
      </w:pPr>
      <w:r>
        <w:t>CO2e reduction estimate with clearly stated emission factors and boundaries (Scope 1 for on-site combustion; optionally Scope 2 if steam is electrically generated)</w:t>
      </w:r>
    </w:p>
    <w:p>
      <w:pPr>
        <w:pStyle w:val="ListBullet"/>
      </w:pPr>
      <w:r>
        <w:t>Water savings (makeup reduction) and chemical savings (where measurable)</w:t>
      </w:r>
    </w:p>
    <w:p>
      <w:pPr>
        <w:pStyle w:val="ListBullet"/>
      </w:pPr>
      <w:r>
        <w:t>Measurement and verification (M&amp;V) report structure: baseline period, post-implementation period, normalization factors (production, ambient)</w:t>
      </w:r>
    </w:p>
    <w:p>
      <w:pPr>
        <w:pStyle w:val="Heading2"/>
      </w:pPr>
      <w:r>
        <w:t>10.2 Methodology guidance (implementation)</w:t>
      </w:r>
    </w:p>
    <w:p>
      <w:r>
        <w:t>Use an auditable approach aligned with standard M&amp;V practice. At minimum, GL-003 should support: (a) engineering calculation savings estimates per recommendation, and (b) empirical KPI tracking with baseline normalization.</w:t>
      </w:r>
    </w:p>
    <w:p>
      <w:pPr>
        <w:pStyle w:val="ListBullet"/>
      </w:pPr>
      <w:r>
        <w:t>Baseline definition: fixed historical window with stable operations; document changes.</w:t>
      </w:r>
    </w:p>
    <w:p>
      <w:pPr>
        <w:pStyle w:val="ListBullet"/>
      </w:pPr>
      <w:r>
        <w:t>Normalization: account for production rate and ambient/cooling water effects (especially for condenser loads).</w:t>
      </w:r>
    </w:p>
    <w:p>
      <w:pPr>
        <w:pStyle w:val="ListBullet"/>
      </w:pPr>
      <w:r>
        <w:t>Attribution: use causal layer outputs to separate steam-system actions from unrelated process changes.</w:t>
      </w:r>
    </w:p>
    <w:p>
      <w:pPr>
        <w:pStyle w:val="ListBullet"/>
      </w:pPr>
      <w:r>
        <w:t>Uncertainty: report ranges, not single point estimates, when instrumentation is limited.</w:t>
      </w:r>
    </w:p>
    <w:p>
      <w:r>
        <w:br w:type="page"/>
      </w:r>
    </w:p>
    <w:p>
      <w:pPr>
        <w:pStyle w:val="Heading1"/>
      </w:pPr>
      <w:r>
        <w:t>11. Team-by-team execution plan (what each team must do)</w:t>
      </w:r>
    </w:p>
    <w:p>
      <w:r>
        <w:t>This section defines deliverables and handoffs so that GL-003 remains coherent across disciplines.</w:t>
      </w:r>
    </w:p>
    <w:p>
      <w:pPr>
        <w:pStyle w:val="Heading2"/>
      </w:pPr>
      <w:r>
        <w:t>11.1 AI/ML team (models, explainability, UQ)</w:t>
      </w:r>
    </w:p>
    <w:p>
      <w:pPr>
        <w:pStyle w:val="ListBullet"/>
      </w:pPr>
      <w:r>
        <w:t>Trap failure model: maintain training pipeline, feature definitions, and performance monitoring. Provide per-site calibration strategy.</w:t>
      </w:r>
    </w:p>
    <w:p>
      <w:pPr>
        <w:pStyle w:val="ListBullet"/>
      </w:pPr>
      <w:r>
        <w:t>Inferential quality model (if used): define when it is allowed, required inputs, and gating logic; ensure conservative uncertainty.</w:t>
      </w:r>
    </w:p>
    <w:p>
      <w:pPr>
        <w:pStyle w:val="ListBullet"/>
      </w:pPr>
      <w:r>
        <w:t>Anomaly detection: implement segment-level anomaly scoring that respects control logic (avoid flagging normal PRV actions as faults).</w:t>
      </w:r>
    </w:p>
    <w:p>
      <w:pPr>
        <w:pStyle w:val="ListBullet"/>
      </w:pPr>
      <w:r>
        <w:t>Explainability: implement SHAP for supported model classes and LIME-style local explanation; package into a consistent payload.</w:t>
      </w:r>
    </w:p>
    <w:p>
      <w:pPr>
        <w:pStyle w:val="ListBullet"/>
      </w:pPr>
      <w:r>
        <w:t>Uncertainty quantification: provide sensor-uncertainty propagation for ML outputs and integrate with physics UQ; calibrate confidence scores.</w:t>
      </w:r>
    </w:p>
    <w:p>
      <w:pPr>
        <w:pStyle w:val="ListBullet"/>
      </w:pPr>
      <w:r>
        <w:t>Causal inference: implement and maintain causal graph templates; deliver RCA ranking and counterfactual APIs; coordinate reviews with engineering.</w:t>
      </w:r>
    </w:p>
    <w:p>
      <w:r>
        <w:t>AI/ML acceptance deliverables:</w:t>
      </w:r>
    </w:p>
    <w:p>
      <w:pPr>
        <w:pStyle w:val="ListBullet"/>
      </w:pPr>
      <w:r>
        <w:t>Model artifacts + versioning + model cards</w:t>
      </w:r>
    </w:p>
    <w:p>
      <w:pPr>
        <w:pStyle w:val="ListBullet"/>
      </w:pPr>
      <w:r>
        <w:t>Offline evaluation report (precision/recall, calibration, drift)</w:t>
      </w:r>
    </w:p>
    <w:p>
      <w:pPr>
        <w:pStyle w:val="ListBullet"/>
      </w:pPr>
      <w:r>
        <w:t>Online monitoring dashboard spec and alert thresholds</w:t>
      </w:r>
    </w:p>
    <w:p>
      <w:pPr>
        <w:pStyle w:val="ListBullet"/>
      </w:pPr>
      <w:r>
        <w:t>Explainability payload example for each recommendation type</w:t>
      </w:r>
    </w:p>
    <w:p>
      <w:pPr>
        <w:pStyle w:val="Heading2"/>
      </w:pPr>
      <w:r>
        <w:t>11.2 Data engineering (ingestion, normalization, schemas)</w:t>
      </w:r>
    </w:p>
    <w:p>
      <w:pPr>
        <w:pStyle w:val="ListBullet"/>
      </w:pPr>
      <w:r>
        <w:t>Build and operate OPC-UA ingestion connectors with buffering and retry; ensure read-only access and OT-friendly polling.</w:t>
      </w:r>
    </w:p>
    <w:p>
      <w:pPr>
        <w:pStyle w:val="ListBullet"/>
      </w:pPr>
      <w:r>
        <w:t>Implement unit normalization and canonical tag mapping; maintain a versioned tag dictionary and asset topology graph.</w:t>
      </w:r>
    </w:p>
    <w:p>
      <w:pPr>
        <w:pStyle w:val="ListBullet"/>
      </w:pPr>
      <w:r>
        <w:t>Design Kafka topic structure and schema registry entries; enforce schema compatibility rules.</w:t>
      </w:r>
    </w:p>
    <w:p>
      <w:pPr>
        <w:pStyle w:val="ListBullet"/>
      </w:pPr>
      <w:r>
        <w:t>Implement data validation (range checks, rate-of-change, cross-sensor plausibility) and emit quality flags.</w:t>
      </w:r>
    </w:p>
    <w:p>
      <w:pPr>
        <w:pStyle w:val="ListBullet"/>
      </w:pPr>
      <w:r>
        <w:t>Provide backfill and replay capability for training and incident analysis; ensure reproducibility.</w:t>
      </w:r>
    </w:p>
    <w:p>
      <w:r>
        <w:t>Data engineering acceptance deliverables:</w:t>
      </w:r>
    </w:p>
    <w:p>
      <w:pPr>
        <w:pStyle w:val="ListBullet"/>
      </w:pPr>
      <w:r>
        <w:t>Site onboarding checklist + completed tag map</w:t>
      </w:r>
    </w:p>
    <w:p>
      <w:pPr>
        <w:pStyle w:val="ListBullet"/>
      </w:pPr>
      <w:r>
        <w:t>Kafka topics live with data quality flags</w:t>
      </w:r>
    </w:p>
    <w:p>
      <w:pPr>
        <w:pStyle w:val="ListBullet"/>
      </w:pPr>
      <w:r>
        <w:t>Data retention and replay policy (raw vs validated vs features)</w:t>
      </w:r>
    </w:p>
    <w:p>
      <w:pPr>
        <w:pStyle w:val="ListBullet"/>
      </w:pPr>
      <w:r>
        <w:t>Data SLA/SLO (latency, completeness) definitions</w:t>
      </w:r>
    </w:p>
    <w:p>
      <w:pPr>
        <w:pStyle w:val="Heading2"/>
      </w:pPr>
      <w:r>
        <w:t>11.3 Platform/backend development (services, APIs, reliability)</w:t>
      </w:r>
    </w:p>
    <w:p>
      <w:pPr>
        <w:pStyle w:val="ListBullet"/>
      </w:pPr>
      <w:r>
        <w:t>Implement deployable microservices listed in Section 8.2 with clear ownership and interface contracts.</w:t>
      </w:r>
    </w:p>
    <w:p>
      <w:pPr>
        <w:pStyle w:val="ListBullet"/>
      </w:pPr>
      <w:r>
        <w:t>Provide gRPC service definitions and GraphQL schemas; implement versioning and backward compatibility policies.</w:t>
      </w:r>
    </w:p>
    <w:p>
      <w:pPr>
        <w:pStyle w:val="ListBullet"/>
      </w:pPr>
      <w:r>
        <w:t>Implement authorization, tenant/site isolation, audit logging, and secrets management.</w:t>
      </w:r>
    </w:p>
    <w:p>
      <w:pPr>
        <w:pStyle w:val="ListBullet"/>
      </w:pPr>
      <w:r>
        <w:t>Implement observability: structured logging, metrics, tracing; define SLOs (latency, availability) and alerts.</w:t>
      </w:r>
    </w:p>
    <w:p>
      <w:pPr>
        <w:pStyle w:val="ListBullet"/>
      </w:pPr>
      <w:r>
        <w:t>Build CI/CD pipelines with canary rollout and rollback; maintain infrastructure-as-code.</w:t>
      </w:r>
    </w:p>
    <w:p>
      <w:r>
        <w:t>Backend acceptance deliverables:</w:t>
      </w:r>
    </w:p>
    <w:p>
      <w:pPr>
        <w:pStyle w:val="ListBullet"/>
      </w:pPr>
      <w:r>
        <w:t>Service-level API docs (OpenAPI/GraphQL schema docs)</w:t>
      </w:r>
    </w:p>
    <w:p>
      <w:pPr>
        <w:pStyle w:val="ListBullet"/>
      </w:pPr>
      <w:r>
        <w:t>Deployment manifests (Helm/Terraform/etc.)</w:t>
      </w:r>
    </w:p>
    <w:p>
      <w:pPr>
        <w:pStyle w:val="ListBullet"/>
      </w:pPr>
      <w:r>
        <w:t>Operational runbooks (incident response, scaling, rollback)</w:t>
      </w:r>
    </w:p>
    <w:p>
      <w:pPr>
        <w:pStyle w:val="ListBullet"/>
      </w:pPr>
      <w:r>
        <w:t>Load testing report (peak throughput for target sampling rates)</w:t>
      </w:r>
    </w:p>
    <w:p>
      <w:pPr>
        <w:pStyle w:val="Heading2"/>
      </w:pPr>
      <w:r>
        <w:t>11.4 Intelligence/analytics team (rules, ROI logic, prioritization)</w:t>
      </w:r>
    </w:p>
    <w:p>
      <w:pPr>
        <w:pStyle w:val="ListBullet"/>
      </w:pPr>
      <w:r>
        <w:t>Define engineering rule library: alarm thresholds, plausibility rules, and recommendation templates aligned with plant standards.</w:t>
      </w:r>
    </w:p>
    <w:p>
      <w:pPr>
        <w:pStyle w:val="ListBullet"/>
      </w:pPr>
      <w:r>
        <w:t>Define benefit calculation logic (steam/fuel/water/cost) and ensure consistent assumptions across sites.</w:t>
      </w:r>
    </w:p>
    <w:p>
      <w:pPr>
        <w:pStyle w:val="ListBullet"/>
      </w:pPr>
      <w:r>
        <w:t>Define recommendation prioritization policy (risk-weighted ROI, safety gates, confidence gating).</w:t>
      </w:r>
    </w:p>
    <w:p>
      <w:pPr>
        <w:pStyle w:val="ListBullet"/>
      </w:pPr>
      <w:r>
        <w:t>Work with operators to create verification checklists and recommended actions that match actual workflows.</w:t>
      </w:r>
    </w:p>
    <w:p>
      <w:pPr>
        <w:pStyle w:val="ListBullet"/>
      </w:pPr>
      <w:r>
        <w:t>Provide reporting layer requirements (dashboards, weekly summaries, maintenance lists).</w:t>
      </w:r>
    </w:p>
    <w:p>
      <w:pPr>
        <w:pStyle w:val="Heading2"/>
      </w:pPr>
      <w:r>
        <w:t>11.5 Thermal engineering (steam network modeling, thermodynamic validation)</w:t>
      </w:r>
    </w:p>
    <w:p>
      <w:pPr>
        <w:pStyle w:val="ListBullet"/>
      </w:pPr>
      <w:r>
        <w:t>Define site-specific steam network topology (headers, branches, users, condensate returns) and validate tag mapping.</w:t>
      </w:r>
    </w:p>
    <w:p>
      <w:pPr>
        <w:pStyle w:val="ListBullet"/>
      </w:pPr>
      <w:r>
        <w:t>Validate IF97 engine outputs for operating ranges; define tolerances for state validity checks.</w:t>
      </w:r>
    </w:p>
    <w:p>
      <w:pPr>
        <w:pStyle w:val="ListBullet"/>
      </w:pPr>
      <w:r>
        <w:t>Define desuperheater equipment constraints: nozzle sizing, valve limits, target temperatures, wetness margins.</w:t>
      </w:r>
    </w:p>
    <w:p>
      <w:pPr>
        <w:pStyle w:val="ListBullet"/>
      </w:pPr>
      <w:r>
        <w:t>Define condensate recovery constraints: receiver pressures, pump curves, return line limits, flash tank behavior.</w:t>
      </w:r>
    </w:p>
    <w:p>
      <w:pPr>
        <w:pStyle w:val="ListBullet"/>
      </w:pPr>
      <w:r>
        <w:t>Review and approve engineering assumptions used in savings calculations and risk scoring.</w:t>
      </w:r>
    </w:p>
    <w:p>
      <w:pPr>
        <w:pStyle w:val="Heading2"/>
      </w:pPr>
      <w:r>
        <w:t>11.6 Controls/OT engineering (integration, safety, control enablement)</w:t>
      </w:r>
    </w:p>
    <w:p>
      <w:pPr>
        <w:pStyle w:val="ListBullet"/>
      </w:pPr>
      <w:r>
        <w:t>Confirm safe integration points: read-only data access, approved network paths, and change management process.</w:t>
      </w:r>
    </w:p>
    <w:p>
      <w:pPr>
        <w:pStyle w:val="ListBullet"/>
      </w:pPr>
      <w:r>
        <w:t>Provide controller context: setpoints, mode (auto/manual), valve positions, interlocks, alarms.</w:t>
      </w:r>
    </w:p>
    <w:p>
      <w:pPr>
        <w:pStyle w:val="ListBullet"/>
      </w:pPr>
      <w:r>
        <w:t>If closed-loop enablement is required: perform control hazard analysis, define limits, implement supervisory control under formal MOC.</w:t>
      </w:r>
    </w:p>
    <w:p>
      <w:pPr>
        <w:pStyle w:val="ListBullet"/>
      </w:pPr>
      <w:r>
        <w:t>Validate sensor placement and response time for temperature and pressure at desuperheaters; correct measurement bias if needed.</w:t>
      </w:r>
    </w:p>
    <w:p>
      <w:pPr>
        <w:pStyle w:val="ListBullet"/>
      </w:pPr>
      <w:r>
        <w:t>Define operator interface requirements and alarm management approach to avoid alarm fatigue.</w:t>
      </w:r>
    </w:p>
    <w:p>
      <w:pPr>
        <w:pStyle w:val="Heading2"/>
      </w:pPr>
      <w:r>
        <w:t>11.7 Reliability and maintenance engineering (traps, inspections, work management)</w:t>
      </w:r>
    </w:p>
    <w:p>
      <w:pPr>
        <w:pStyle w:val="ListBullet"/>
      </w:pPr>
      <w:r>
        <w:t>Define trap asset registry and criticality ranking; map trap sensors (fixed or route-based) to assets.</w:t>
      </w:r>
    </w:p>
    <w:p>
      <w:pPr>
        <w:pStyle w:val="ListBullet"/>
      </w:pPr>
      <w:r>
        <w:t>Integrate recommendations into CMMS workflows (work orders, inspection routes, close-out feedback).</w:t>
      </w:r>
    </w:p>
    <w:p>
      <w:pPr>
        <w:pStyle w:val="ListBullet"/>
      </w:pPr>
      <w:r>
        <w:t>Provide ground truth labels for trap failures and repairs to support model training and validation.</w:t>
      </w:r>
    </w:p>
    <w:p>
      <w:pPr>
        <w:pStyle w:val="ListBullet"/>
      </w:pPr>
      <w:r>
        <w:t>Define standard operating procedures for responding to GL-003 recommendations (inspect, replace, verify).</w:t>
      </w:r>
    </w:p>
    <w:p>
      <w:pPr>
        <w:pStyle w:val="Heading2"/>
      </w:pPr>
      <w:r>
        <w:t>11.8 Climate intelligence (emissions factors, M&amp;V, reporting)</w:t>
      </w:r>
    </w:p>
    <w:p>
      <w:pPr>
        <w:pStyle w:val="ListBullet"/>
      </w:pPr>
      <w:r>
        <w:t>Define site-specific emission factors and boundaries (Scope 1/2) and maintain versioned factor tables.</w:t>
      </w:r>
    </w:p>
    <w:p>
      <w:pPr>
        <w:pStyle w:val="ListBullet"/>
      </w:pPr>
      <w:r>
        <w:t>Define M&amp;V methodology and reporting templates; coordinate with finance/sustainability audit needs.</w:t>
      </w:r>
    </w:p>
    <w:p>
      <w:pPr>
        <w:pStyle w:val="ListBullet"/>
      </w:pPr>
      <w:r>
        <w:t>Validate conversion of steam savings to fuel and CO2e using boiler efficiency/heat rate assumptions and measured data.</w:t>
      </w:r>
    </w:p>
    <w:p>
      <w:pPr>
        <w:pStyle w:val="ListBullet"/>
      </w:pPr>
      <w:r>
        <w:t>Ensure uncertainty and attribution are transparently reported; align with corporate sustainability standards.</w:t>
      </w:r>
    </w:p>
    <w:p>
      <w:pPr>
        <w:pStyle w:val="Heading2"/>
      </w:pPr>
      <w:r>
        <w:t>11.9 QA/validation and security (cross-cutting)</w:t>
      </w:r>
    </w:p>
    <w:p>
      <w:pPr>
        <w:pStyle w:val="ListBullet"/>
      </w:pPr>
      <w:r>
        <w:t>Build automated test suites for thermo engine, balances, and API schemas.</w:t>
      </w:r>
    </w:p>
    <w:p>
      <w:pPr>
        <w:pStyle w:val="ListBullet"/>
      </w:pPr>
      <w:r>
        <w:t>Define site acceptance test (SAT) procedure and sign-off criteria.</w:t>
      </w:r>
    </w:p>
    <w:p>
      <w:pPr>
        <w:pStyle w:val="ListBullet"/>
      </w:pPr>
      <w:r>
        <w:t>Conduct security review: threat modeling, OT boundary review, penetration testing (where permitted).</w:t>
      </w:r>
    </w:p>
    <w:p>
      <w:pPr>
        <w:pStyle w:val="ListBullet"/>
      </w:pPr>
      <w:r>
        <w:t>Ensure data governance compliance (retention, access control, audit logs).</w:t>
      </w:r>
    </w:p>
    <w:p/>
    <w:p>
      <w:pPr>
        <w:pStyle w:val="Heading2"/>
      </w:pPr>
      <w:r>
        <w:t>11.10 RACI matrix (who owns what)</w:t>
      </w:r>
    </w:p>
    <w:p>
      <w:r>
        <w:t>RACI is provided as a starting point. Adjust roles to your organization, but keep single-point accountability per workstream.</w:t>
      </w:r>
    </w:p>
    <w:p>
      <w:r>
        <w:t>Legend: R = Responsible, A = Accountable, C = Consulted, I = Informed.</w:t>
      </w:r>
    </w:p>
    <w:p>
      <w:pPr>
        <w:sectPr>
          <w:pgSz w:w="12240" w:h="15840"/>
          <w:pgMar w:top="1440" w:right="1440" w:bottom="1440" w:left="1440" w:header="720" w:footer="720" w:gutter="0"/>
          <w:cols w:space="720"/>
          <w:docGrid w:linePitch="360"/>
        </w:sectPr>
      </w:pPr>
    </w:p>
    <w:p>
      <w:pPr>
        <w:pStyle w:val="Heading2"/>
      </w:pPr>
      <w:r>
        <w:t>11.10 RACI matrix (landscape view)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gridCol w:w="1440"/>
        <w:gridCol w:w="1440"/>
        <w:gridCol w:w="1440"/>
      </w:tblGrid>
      <w:tr>
        <w:tc>
          <w:tcPr>
            <w:tcW w:type="dxa" w:w="4320"/>
            <w:vAlign w:val="center"/>
          </w:tcPr>
          <w:p>
            <w:r>
              <w:rPr>
                <w:rFonts w:ascii="Calibri" w:hAnsi="Calibri" w:eastAsia="Calibri"/>
                <w:b/>
                <w:sz w:val="18"/>
              </w:rPr>
              <w:t>Workstream</w:t>
            </w:r>
          </w:p>
        </w:tc>
        <w:tc>
          <w:tcPr>
            <w:tcW w:type="dxa" w:w="1224"/>
            <w:vAlign w:val="center"/>
          </w:tcPr>
          <w:p>
            <w:r>
              <w:rPr>
                <w:rFonts w:ascii="Calibri" w:hAnsi="Calibri" w:eastAsia="Calibri"/>
                <w:b/>
                <w:sz w:val="18"/>
              </w:rPr>
              <w:t>AI/ML</w:t>
            </w:r>
          </w:p>
        </w:tc>
        <w:tc>
          <w:tcPr>
            <w:tcW w:type="dxa" w:w="1224"/>
            <w:vAlign w:val="center"/>
          </w:tcPr>
          <w:p>
            <w:r>
              <w:rPr>
                <w:rFonts w:ascii="Calibri" w:hAnsi="Calibri" w:eastAsia="Calibri"/>
                <w:b/>
                <w:sz w:val="18"/>
              </w:rPr>
              <w:t>Data Eng</w:t>
            </w:r>
          </w:p>
        </w:tc>
        <w:tc>
          <w:tcPr>
            <w:tcW w:type="dxa" w:w="1224"/>
            <w:vAlign w:val="center"/>
          </w:tcPr>
          <w:p>
            <w:r>
              <w:rPr>
                <w:rFonts w:ascii="Calibri" w:hAnsi="Calibri" w:eastAsia="Calibri"/>
                <w:b/>
                <w:sz w:val="18"/>
              </w:rPr>
              <w:t>Backend</w:t>
            </w:r>
          </w:p>
        </w:tc>
        <w:tc>
          <w:tcPr>
            <w:tcW w:type="dxa" w:w="1224"/>
            <w:vAlign w:val="center"/>
          </w:tcPr>
          <w:p>
            <w:r>
              <w:rPr>
                <w:rFonts w:ascii="Calibri" w:hAnsi="Calibri" w:eastAsia="Calibri"/>
                <w:b/>
                <w:sz w:val="18"/>
              </w:rPr>
              <w:t>Thermal</w:t>
            </w:r>
          </w:p>
        </w:tc>
        <w:tc>
          <w:tcPr>
            <w:tcW w:type="dxa" w:w="1224"/>
            <w:vAlign w:val="center"/>
          </w:tcPr>
          <w:p>
            <w:r>
              <w:rPr>
                <w:rFonts w:ascii="Calibri" w:hAnsi="Calibri" w:eastAsia="Calibri"/>
                <w:b/>
                <w:sz w:val="18"/>
              </w:rPr>
              <w:t>Controls/OT</w:t>
            </w:r>
          </w:p>
        </w:tc>
        <w:tc>
          <w:tcPr>
            <w:tcW w:type="dxa" w:w="1224"/>
            <w:vAlign w:val="center"/>
          </w:tcPr>
          <w:p>
            <w:r>
              <w:rPr>
                <w:rFonts w:ascii="Calibri" w:hAnsi="Calibri" w:eastAsia="Calibri"/>
                <w:b/>
                <w:sz w:val="18"/>
              </w:rPr>
              <w:t>Reliability</w:t>
            </w:r>
          </w:p>
        </w:tc>
        <w:tc>
          <w:tcPr>
            <w:tcW w:type="dxa" w:w="1224"/>
            <w:vAlign w:val="center"/>
          </w:tcPr>
          <w:p>
            <w:r>
              <w:rPr>
                <w:rFonts w:ascii="Calibri" w:hAnsi="Calibri" w:eastAsia="Calibri"/>
                <w:b/>
                <w:sz w:val="18"/>
              </w:rPr>
              <w:t>Climate</w:t>
            </w:r>
          </w:p>
        </w:tc>
        <w:tc>
          <w:tcPr>
            <w:tcW w:type="dxa" w:w="1224"/>
            <w:vAlign w:val="center"/>
          </w:tcPr>
          <w:p>
            <w:r>
              <w:rPr>
                <w:rFonts w:ascii="Calibri" w:hAnsi="Calibri" w:eastAsia="Calibri"/>
                <w:b/>
                <w:sz w:val="18"/>
              </w:rPr>
              <w:t>QA/Sec</w:t>
            </w:r>
          </w:p>
        </w:tc>
        <w:tc>
          <w:tcPr>
            <w:tcW w:type="dxa" w:w="1224"/>
            <w:vAlign w:val="center"/>
          </w:tcPr>
          <w:p>
            <w:r>
              <w:rPr>
                <w:rFonts w:ascii="Calibri" w:hAnsi="Calibri" w:eastAsia="Calibri"/>
                <w:b/>
                <w:sz w:val="18"/>
              </w:rPr>
              <w:t>Product</w:t>
            </w:r>
          </w:p>
        </w:tc>
      </w:tr>
      <w:tr>
        <w:tc>
          <w:tcPr>
            <w:tcW w:type="dxa" w:w="4320"/>
            <w:vAlign w:val="center"/>
          </w:tcPr>
          <w:p>
            <w:r>
              <w:rPr>
                <w:rFonts w:ascii="Calibri" w:hAnsi="Calibri" w:eastAsia="Calibri"/>
                <w:sz w:val="18"/>
              </w:rPr>
              <w:t>Site onboarding &amp; tag mapping</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A</w:t>
            </w:r>
          </w:p>
        </w:tc>
      </w:tr>
      <w:tr>
        <w:tc>
          <w:tcPr>
            <w:tcW w:type="dxa" w:w="4320"/>
            <w:vAlign w:val="center"/>
          </w:tcPr>
          <w:p>
            <w:r>
              <w:rPr>
                <w:rFonts w:ascii="Calibri" w:hAnsi="Calibri" w:eastAsia="Calibri"/>
                <w:sz w:val="18"/>
              </w:rPr>
              <w:t>OPC-UA ingestion + Kafka topics</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r>
      <w:tr>
        <w:tc>
          <w:tcPr>
            <w:tcW w:type="dxa" w:w="4320"/>
            <w:vAlign w:val="center"/>
          </w:tcPr>
          <w:p>
            <w:r>
              <w:rPr>
                <w:rFonts w:ascii="Calibri" w:hAnsi="Calibri" w:eastAsia="Calibri"/>
                <w:sz w:val="18"/>
              </w:rPr>
              <w:t>Thermo/IF97 engine</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A</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Enthalpy/mass balance models</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A</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Desuperheater optimizer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A</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Trap diagnostics model</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Explainability service</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Causal RCA</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A</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Uncertainty quantification</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Climate impact reporting</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I</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I</w:t>
            </w:r>
          </w:p>
        </w:tc>
      </w:tr>
      <w:tr>
        <w:tc>
          <w:tcPr>
            <w:tcW w:type="dxa" w:w="4320"/>
            <w:vAlign w:val="center"/>
          </w:tcPr>
          <w:p>
            <w:r>
              <w:rPr>
                <w:rFonts w:ascii="Calibri" w:hAnsi="Calibri" w:eastAsia="Calibri"/>
                <w:sz w:val="18"/>
              </w:rPr>
              <w:t>SAT / commissioning</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r>
      <w:tr>
        <w:tc>
          <w:tcPr>
            <w:tcW w:type="dxa" w:w="4320"/>
            <w:vAlign w:val="center"/>
          </w:tcPr>
          <w:p>
            <w:r>
              <w:rPr>
                <w:rFonts w:ascii="Calibri" w:hAnsi="Calibri" w:eastAsia="Calibri"/>
                <w:sz w:val="18"/>
              </w:rPr>
              <w:t>Ongoing operations (SLOs, monitoring)</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C</w:t>
            </w:r>
          </w:p>
        </w:tc>
        <w:tc>
          <w:tcPr>
            <w:tcW w:type="dxa" w:w="1224"/>
            <w:vAlign w:val="center"/>
          </w:tcPr>
          <w:p>
            <w:r>
              <w:rPr>
                <w:rFonts w:ascii="Calibri" w:hAnsi="Calibri" w:eastAsia="Calibri"/>
                <w:sz w:val="18"/>
              </w:rPr>
              <w:t>A/R</w:t>
            </w:r>
          </w:p>
        </w:tc>
        <w:tc>
          <w:tcPr>
            <w:tcW w:type="dxa" w:w="1224"/>
            <w:vAlign w:val="center"/>
          </w:tcPr>
          <w:p>
            <w:r>
              <w:rPr>
                <w:rFonts w:ascii="Calibri" w:hAnsi="Calibri" w:eastAsia="Calibri"/>
                <w:sz w:val="18"/>
              </w:rPr>
              <w:t>C</w:t>
            </w:r>
          </w:p>
        </w:tc>
      </w:tr>
    </w:tbl>
    <w:p>
      <w:pPr>
        <w:sectPr>
          <w:pgSz w:w="15840" w:h="12240" w:orient="landscape"/>
          <w:pgMar w:top="720" w:right="720" w:bottom="720" w:left="720" w:header="720" w:footer="720" w:gutter="0"/>
          <w:cols w:space="720"/>
          <w:docGrid w:linePitch="360"/>
        </w:sectPr>
      </w:pPr>
    </w:p>
    <w:p>
      <w:pPr>
        <w:pStyle w:val="Heading1"/>
      </w:pPr>
      <w:r>
        <w:t>12. Implementation checklist (end-to-end)</w:t>
      </w:r>
    </w:p>
    <w:p>
      <w:r>
        <w:t>Use this checklist to manage deployment from a blank site to sustained operations.</w:t>
      </w:r>
    </w:p>
    <w:p>
      <w:pPr>
        <w:pStyle w:val="Heading2"/>
      </w:pPr>
      <w:r>
        <w:t>Phase 0 - Preparation</w:t>
      </w:r>
    </w:p>
    <w:p>
      <w:r>
        <w:t>☐ Confirm scope: steam segments, users, desuperheaters, condensate return boundaries.</w:t>
      </w:r>
    </w:p>
    <w:p>
      <w:r>
        <w:t>☐ Identify site owners: thermal engineer, controls engineer, maintenance lead, sustainability lead.</w:t>
      </w:r>
    </w:p>
    <w:p>
      <w:r>
        <w:t>☐ Confirm network and security requirements for OT data access (read-only).</w:t>
      </w:r>
    </w:p>
    <w:p>
      <w:pPr>
        <w:pStyle w:val="Heading2"/>
      </w:pPr>
      <w:r>
        <w:t>Phase 1 - Instrumentation and data readiness</w:t>
      </w:r>
    </w:p>
    <w:p>
      <w:r>
        <w:t>☐ Verify pressure/temperature/flow instrumentation for each critical segment; document accuracy and calibration status.</w:t>
      </w:r>
    </w:p>
    <w:p>
      <w:r>
        <w:t>☐ Confirm steam quality measurement strategy (direct analyzer vs inferential).</w:t>
      </w:r>
    </w:p>
    <w:p>
      <w:r>
        <w:t>☐ Implement or validate condensate return flow/temperature measurement.</w:t>
      </w:r>
    </w:p>
    <w:p>
      <w:r>
        <w:t>☐ Establish tag naming convention and complete tag mapping to canonical schema.</w:t>
      </w:r>
    </w:p>
    <w:p>
      <w:pPr>
        <w:pStyle w:val="Heading2"/>
      </w:pPr>
      <w:r>
        <w:t>Phase 2 - Integration</w:t>
      </w:r>
    </w:p>
    <w:p>
      <w:r>
        <w:t>☐ Deploy OPC-UA connector/gateway and validate timestamps and units.</w:t>
      </w:r>
    </w:p>
    <w:p>
      <w:r>
        <w:t>☐ Stand up Kafka topics, schema registry entries, and data retention policies.</w:t>
      </w:r>
    </w:p>
    <w:p>
      <w:r>
        <w:t>☐ Enable stream validation and quality flags; verify missing data behavior.</w:t>
      </w:r>
    </w:p>
    <w:p>
      <w:pPr>
        <w:pStyle w:val="Heading2"/>
      </w:pPr>
      <w:r>
        <w:t>Phase 3 - Modeling and commissioning</w:t>
      </w:r>
    </w:p>
    <w:p>
      <w:r>
        <w:t>☐ Configure steam network topology and balance nodes.</w:t>
      </w:r>
    </w:p>
    <w:p>
      <w:r>
        <w:t>☐ Validate IF97 property outputs for operating range.</w:t>
      </w:r>
    </w:p>
    <w:p>
      <w:r>
        <w:t>☐ Commission desuperheater optimizer with engineering constraints.</w:t>
      </w:r>
    </w:p>
    <w:p>
      <w:r>
        <w:t>☐ Commission trap diagnostics using initial labels and a short validation campaign.</w:t>
      </w:r>
    </w:p>
    <w:p>
      <w:pPr>
        <w:pStyle w:val="Heading2"/>
      </w:pPr>
      <w:r>
        <w:t>Phase 4 - Advisory go-live</w:t>
      </w:r>
    </w:p>
    <w:p>
      <w:r>
        <w:t>☐ Enable recommendations to UI and reporting feeds.</w:t>
      </w:r>
    </w:p>
    <w:p>
      <w:r>
        <w:t>☐ Train operators and maintenance on recommendation formats and verification steps.</w:t>
      </w:r>
    </w:p>
    <w:p>
      <w:r>
        <w:t>☐ Start capturing feedback: accepted/rejected recommendations and reasons.</w:t>
      </w:r>
    </w:p>
    <w:p>
      <w:pPr>
        <w:pStyle w:val="Heading2"/>
      </w:pPr>
      <w:r>
        <w:t>Phase 5 - Continuous improvement and scale</w:t>
      </w:r>
    </w:p>
    <w:p>
      <w:r>
        <w:t>☐ Tune thresholds, reduce nuisance alarms, and improve prioritization.</w:t>
      </w:r>
    </w:p>
    <w:p>
      <w:r>
        <w:t>☐ Expand coverage to additional headers/users/trap populations.</w:t>
      </w:r>
    </w:p>
    <w:p>
      <w:r>
        <w:t>☐ Periodic model retraining and causal graph review; quarterly value and emissions reporting.</w:t>
      </w:r>
    </w:p>
    <w:p>
      <w:pPr>
        <w:pStyle w:val="Heading1"/>
      </w:pPr>
      <w:r>
        <w:t>13. Appendices</w:t>
      </w:r>
    </w:p>
    <w:p>
      <w:pPr>
        <w:pStyle w:val="Heading2"/>
      </w:pPr>
      <w:r>
        <w:t>13.1 Glossary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Term</w:t>
            </w:r>
          </w:p>
        </w:tc>
        <w:tc>
          <w:tcPr>
            <w:tcW w:type="dxa" w:w="4680"/>
          </w:tcPr>
          <w:p>
            <w:r>
              <w:rPr>
                <w:rFonts w:ascii="Calibri" w:hAnsi="Calibri" w:eastAsia="Calibri"/>
                <w:b/>
                <w:sz w:val="20"/>
              </w:rPr>
              <w:t>Meaning</w:t>
            </w:r>
          </w:p>
        </w:tc>
      </w:tr>
      <w:tr>
        <w:tc>
          <w:tcPr>
            <w:tcW w:type="dxa" w:w="4680"/>
          </w:tcPr>
          <w:p>
            <w:r>
              <w:rPr>
                <w:rFonts w:ascii="Calibri" w:hAnsi="Calibri" w:eastAsia="Calibri"/>
                <w:sz w:val="20"/>
              </w:rPr>
              <w:t>Attemperator / Desuperheater</w:t>
            </w:r>
          </w:p>
        </w:tc>
        <w:tc>
          <w:tcPr>
            <w:tcW w:type="dxa" w:w="4680"/>
          </w:tcPr>
          <w:p>
            <w:r>
              <w:rPr>
                <w:rFonts w:ascii="Calibri" w:hAnsi="Calibri" w:eastAsia="Calibri"/>
                <w:sz w:val="20"/>
              </w:rPr>
              <w:t>Device that injects spray water into superheated steam to reduce temperature.</w:t>
            </w:r>
          </w:p>
        </w:tc>
      </w:tr>
      <w:tr>
        <w:tc>
          <w:tcPr>
            <w:tcW w:type="dxa" w:w="4680"/>
          </w:tcPr>
          <w:p>
            <w:r>
              <w:rPr>
                <w:rFonts w:ascii="Calibri" w:hAnsi="Calibri" w:eastAsia="Calibri"/>
                <w:sz w:val="20"/>
              </w:rPr>
              <w:t>Dryness fraction (x)</w:t>
            </w:r>
          </w:p>
        </w:tc>
        <w:tc>
          <w:tcPr>
            <w:tcW w:type="dxa" w:w="4680"/>
          </w:tcPr>
          <w:p>
            <w:r>
              <w:rPr>
                <w:rFonts w:ascii="Calibri" w:hAnsi="Calibri" w:eastAsia="Calibri"/>
                <w:sz w:val="20"/>
              </w:rPr>
              <w:t>Steam quality; vapor mass fraction in saturated mixture.</w:t>
            </w:r>
          </w:p>
        </w:tc>
      </w:tr>
      <w:tr>
        <w:tc>
          <w:tcPr>
            <w:tcW w:type="dxa" w:w="4680"/>
          </w:tcPr>
          <w:p>
            <w:r>
              <w:rPr>
                <w:rFonts w:ascii="Calibri" w:hAnsi="Calibri" w:eastAsia="Calibri"/>
                <w:sz w:val="20"/>
              </w:rPr>
              <w:t>Enthalpy (h)</w:t>
            </w:r>
          </w:p>
        </w:tc>
        <w:tc>
          <w:tcPr>
            <w:tcW w:type="dxa" w:w="4680"/>
          </w:tcPr>
          <w:p>
            <w:r>
              <w:rPr>
                <w:rFonts w:ascii="Calibri" w:hAnsi="Calibri" w:eastAsia="Calibri"/>
                <w:sz w:val="20"/>
              </w:rPr>
              <w:t>Thermodynamic property representing energy content per unit mass (kJ/kg).</w:t>
            </w:r>
          </w:p>
        </w:tc>
      </w:tr>
      <w:tr>
        <w:tc>
          <w:tcPr>
            <w:tcW w:type="dxa" w:w="4680"/>
          </w:tcPr>
          <w:p>
            <w:r>
              <w:rPr>
                <w:rFonts w:ascii="Calibri" w:hAnsi="Calibri" w:eastAsia="Calibri"/>
                <w:sz w:val="20"/>
              </w:rPr>
              <w:t>IF97</w:t>
            </w:r>
          </w:p>
        </w:tc>
        <w:tc>
          <w:tcPr>
            <w:tcW w:type="dxa" w:w="4680"/>
          </w:tcPr>
          <w:p>
            <w:r>
              <w:rPr>
                <w:rFonts w:ascii="Calibri" w:hAnsi="Calibri" w:eastAsia="Calibri"/>
                <w:sz w:val="20"/>
              </w:rPr>
              <w:t>IAPWS Industrial Formulation 1997 for water and steam properties.</w:t>
            </w:r>
          </w:p>
        </w:tc>
      </w:tr>
      <w:tr>
        <w:tc>
          <w:tcPr>
            <w:tcW w:type="dxa" w:w="4680"/>
          </w:tcPr>
          <w:p>
            <w:r>
              <w:rPr>
                <w:rFonts w:ascii="Calibri" w:hAnsi="Calibri" w:eastAsia="Calibri"/>
                <w:sz w:val="20"/>
              </w:rPr>
              <w:t>PRV</w:t>
            </w:r>
          </w:p>
        </w:tc>
        <w:tc>
          <w:tcPr>
            <w:tcW w:type="dxa" w:w="4680"/>
          </w:tcPr>
          <w:p>
            <w:r>
              <w:rPr>
                <w:rFonts w:ascii="Calibri" w:hAnsi="Calibri" w:eastAsia="Calibri"/>
                <w:sz w:val="20"/>
              </w:rPr>
              <w:t>Pressure Reducing Valve.</w:t>
            </w:r>
          </w:p>
        </w:tc>
      </w:tr>
      <w:tr>
        <w:tc>
          <w:tcPr>
            <w:tcW w:type="dxa" w:w="4680"/>
          </w:tcPr>
          <w:p>
            <w:r>
              <w:rPr>
                <w:rFonts w:ascii="Calibri" w:hAnsi="Calibri" w:eastAsia="Calibri"/>
                <w:sz w:val="20"/>
              </w:rPr>
              <w:t>UQ</w:t>
            </w:r>
          </w:p>
        </w:tc>
        <w:tc>
          <w:tcPr>
            <w:tcW w:type="dxa" w:w="4680"/>
          </w:tcPr>
          <w:p>
            <w:r>
              <w:rPr>
                <w:rFonts w:ascii="Calibri" w:hAnsi="Calibri" w:eastAsia="Calibri"/>
                <w:sz w:val="20"/>
              </w:rPr>
              <w:t>Uncertainty Quantification; estimating confidence bounds given sensor/model uncertainty.</w:t>
            </w:r>
          </w:p>
        </w:tc>
      </w:tr>
      <w:tr>
        <w:tc>
          <w:tcPr>
            <w:tcW w:type="dxa" w:w="4680"/>
          </w:tcPr>
          <w:p>
            <w:r>
              <w:rPr>
                <w:rFonts w:ascii="Calibri" w:hAnsi="Calibri" w:eastAsia="Calibri"/>
                <w:sz w:val="20"/>
              </w:rPr>
              <w:t>SHAP</w:t>
            </w:r>
          </w:p>
        </w:tc>
        <w:tc>
          <w:tcPr>
            <w:tcW w:type="dxa" w:w="4680"/>
          </w:tcPr>
          <w:p>
            <w:r>
              <w:rPr>
                <w:rFonts w:ascii="Calibri" w:hAnsi="Calibri" w:eastAsia="Calibri"/>
                <w:sz w:val="20"/>
              </w:rPr>
              <w:t>SHapley Additive exPlanations; feature attribution method for model explainability.</w:t>
            </w:r>
          </w:p>
        </w:tc>
      </w:tr>
      <w:tr>
        <w:tc>
          <w:tcPr>
            <w:tcW w:type="dxa" w:w="4680"/>
          </w:tcPr>
          <w:p>
            <w:r>
              <w:rPr>
                <w:rFonts w:ascii="Calibri" w:hAnsi="Calibri" w:eastAsia="Calibri"/>
                <w:sz w:val="20"/>
              </w:rPr>
              <w:t>LIME</w:t>
            </w:r>
          </w:p>
        </w:tc>
        <w:tc>
          <w:tcPr>
            <w:tcW w:type="dxa" w:w="4680"/>
          </w:tcPr>
          <w:p>
            <w:r>
              <w:rPr>
                <w:rFonts w:ascii="Calibri" w:hAnsi="Calibri" w:eastAsia="Calibri"/>
                <w:sz w:val="20"/>
              </w:rPr>
              <w:t>Local Interpretable Model-agnostic Explanations; local surrogate explanations.</w:t>
            </w:r>
          </w:p>
        </w:tc>
      </w:tr>
      <w:tr>
        <w:tc>
          <w:tcPr>
            <w:tcW w:type="dxa" w:w="4680"/>
          </w:tcPr>
          <w:p>
            <w:r>
              <w:rPr>
                <w:rFonts w:ascii="Calibri" w:hAnsi="Calibri" w:eastAsia="Calibri"/>
                <w:sz w:val="20"/>
              </w:rPr>
              <w:t>RCA</w:t>
            </w:r>
          </w:p>
        </w:tc>
        <w:tc>
          <w:tcPr>
            <w:tcW w:type="dxa" w:w="4680"/>
          </w:tcPr>
          <w:p>
            <w:r>
              <w:rPr>
                <w:rFonts w:ascii="Calibri" w:hAnsi="Calibri" w:eastAsia="Calibri"/>
                <w:sz w:val="20"/>
              </w:rPr>
              <w:t>Root Cause Analysis; explanation of what caused a deviation.</w:t>
            </w:r>
          </w:p>
        </w:tc>
      </w:tr>
      <w:tr>
        <w:tc>
          <w:tcPr>
            <w:tcW w:type="dxa" w:w="4680"/>
          </w:tcPr>
          <w:p>
            <w:r>
              <w:rPr>
                <w:rFonts w:ascii="Calibri" w:hAnsi="Calibri" w:eastAsia="Calibri"/>
                <w:sz w:val="20"/>
              </w:rPr>
              <w:t>Flash steam</w:t>
            </w:r>
          </w:p>
        </w:tc>
        <w:tc>
          <w:tcPr>
            <w:tcW w:type="dxa" w:w="4680"/>
          </w:tcPr>
          <w:p>
            <w:r>
              <w:rPr>
                <w:rFonts w:ascii="Calibri" w:hAnsi="Calibri" w:eastAsia="Calibri"/>
                <w:sz w:val="20"/>
              </w:rPr>
              <w:t>Steam generated when hot condensate is depressurized below its saturation pressure.</w:t>
            </w:r>
          </w:p>
        </w:tc>
      </w:tr>
    </w:tbl>
    <w:p>
      <w:pPr>
        <w:pStyle w:val="Heading2"/>
      </w:pPr>
      <w:r>
        <w:t>13.2 Example Kafka message (validated signal)</w:t>
      </w:r>
    </w:p>
    <w:p>
      <w:r>
        <w:rPr>
          <w:rFonts w:ascii="Consolas" w:hAnsi="Consolas"/>
          <w:sz w:val="18"/>
        </w:rPr>
        <w:t>{</w:t>
        <w:br/>
        <w:t xml:space="preserve">  "ts": "2026-01-15T12:34:56.000Z",</w:t>
        <w:br/>
        <w:t xml:space="preserve">  "site": "SITE_A",</w:t>
        <w:br/>
        <w:t xml:space="preserve">  "area": "UTILITIES",</w:t>
        <w:br/>
        <w:t xml:space="preserve">  "asset": "HEADER_300PSIG",</w:t>
        <w:br/>
        <w:t xml:space="preserve">  "tag": "STEAM_PRESSURE",</w:t>
        <w:br/>
        <w:t xml:space="preserve">  "value": 2068.0,</w:t>
        <w:br/>
        <w:t xml:space="preserve">  "unit": "kPa_g",</w:t>
        <w:br/>
        <w:t xml:space="preserve">  "quality": {"status": "GOOD", "flags": []},</w:t>
        <w:br/>
        <w:t xml:space="preserve">  "sensor": {"accuracy_pct_fs": 0.25, "calibration_date": "2025-06-01"}</w:t>
        <w:br/>
        <w:t>}</w:t>
        <w:br/>
      </w:r>
    </w:p>
    <w:p>
      <w:pPr>
        <w:pStyle w:val="Heading2"/>
      </w:pPr>
      <w:r>
        <w:t>13.3 Example recommendation payload (human-readable)</w:t>
      </w:r>
    </w:p>
    <w:p>
      <w:r>
        <w:rPr>
          <w:sz w:val="20"/>
        </w:rPr>
        <w:t>Recommendation: Reduce desuperheater spray flow by 8% and raise target outlet temperature by +5°C.</w:t>
        <w:br/>
        <w:t>Why: Header pressure increased (reducing Tsat margin) while spray valve remained near prior position; computed superheat is below target with high confidence.</w:t>
        <w:br/>
        <w:t>Expected impact (95%): Steam quality risk reduced; spray water reduced by 0.4–0.7 t/h; fuel savings 0.2–0.4 MWth equivalent.</w:t>
        <w:br/>
        <w:t>Constraints checked: Outlet temp remains at least 10°C above Tsat; valve remains within 20–80% travel; uncertainty acceptable.</w:t>
        <w:br/>
        <w:t>Verify: Monitor outlet temperature stability and downstream moisture alarms for 30 minutes; inspect spray water temperature tag for drift.</w:t>
        <w:br/>
      </w:r>
    </w:p>
    <w:p>
      <w:pPr>
        <w:pStyle w:val="Heading2"/>
      </w:pPr>
      <w:r>
        <w:t>13.4 References (non-exhaustive)</w:t>
      </w:r>
    </w:p>
    <w:p>
      <w:pPr>
        <w:pStyle w:val="ListBullet"/>
      </w:pPr>
      <w:r>
        <w:t>IAPWS Industrial Formulation 1997 (IF97) for the Thermodynamic Properties of Water and Steam.</w:t>
      </w:r>
    </w:p>
    <w:p>
      <w:pPr>
        <w:pStyle w:val="ListBullet"/>
      </w:pPr>
      <w:r>
        <w:t>SHAP: Lundberg &amp; Lee, 'A Unified Approach to Interpreting Model Predictions'.</w:t>
      </w:r>
    </w:p>
    <w:p>
      <w:pPr>
        <w:pStyle w:val="ListBullet"/>
      </w:pPr>
      <w:r>
        <w:t>LIME: Ribeiro, Singh, &amp; Guestrin, 'Why Should I Trust You?' Explaining the Predictions of Any Classifier.</w:t>
      </w:r>
    </w:p>
    <w:p>
      <w:pPr>
        <w:pStyle w:val="ListBullet"/>
      </w:pPr>
      <w:r>
        <w:t>IPMVP: International Performance Measurement and Verification Protocol (for M&amp;V alignment).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