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56"/>
        </w:rPr>
        <w:t>GL-004 - BURNMASTER</w:t>
        <w:br/>
        <w:t>Burner Optimization Agent Specification and Implementation Plan</w:t>
      </w:r>
    </w:p>
    <w:p/>
    <w:p>
      <w:pPr>
        <w:jc w:val="center"/>
      </w:pPr>
      <w:r>
        <w:rPr>
          <w:rFonts w:ascii="Calibri" w:hAnsi="Calibri"/>
          <w:sz w:val="28"/>
        </w:rPr>
        <w:t>Domain: Combustion Optimization (Burners, Furnaces, Boilers, Heaters)</w:t>
        <w:br/>
      </w:r>
      <w:r>
        <w:rPr>
          <w:rFonts w:ascii="Calibri" w:hAnsi="Calibri"/>
          <w:sz w:val="28"/>
        </w:rPr>
        <w:t>Priority: P1 | Target Release: Q1 2026 | Budget Envelope: $5B program allocation</w:t>
      </w:r>
    </w:p>
    <w:p/>
    <w:p>
      <w:pPr>
        <w:jc w:val="center"/>
      </w:pPr>
      <w:r>
        <w:rPr>
          <w:rFonts w:ascii="Calibri" w:hAnsi="Calibri"/>
          <w:sz w:val="22"/>
        </w:rPr>
        <w:t>Document Owner: GreenLang Program Office</w:t>
        <w:br/>
      </w:r>
      <w:r>
        <w:rPr>
          <w:rFonts w:ascii="Calibri" w:hAnsi="Calibri"/>
          <w:sz w:val="22"/>
        </w:rPr>
        <w:t>Last Updated: 2025-12-17</w:t>
        <w:br/>
      </w:r>
      <w:r>
        <w:rPr>
          <w:rFonts w:ascii="Calibri" w:hAnsi="Calibri"/>
          <w:sz w:val="22"/>
        </w:rPr>
        <w:t>Status: Consolidated - functions merged into GL-018 UNIFIEDCOMBUSTION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E7E6E6"/>
          </w:tcPr>
          <w:p>
            <w:r/>
            <w:r>
              <w:rPr>
                <w:rFonts w:ascii="Calibri" w:hAnsi="Calibri"/>
                <w:b/>
                <w:sz w:val="20"/>
              </w:rPr>
              <w:t>Field</w:t>
            </w:r>
          </w:p>
        </w:tc>
        <w:tc>
          <w:tcPr>
            <w:tcW w:type="dxa" w:w="6912"/>
            <w:vAlign w:val="center"/>
            <w:shd w:val="clear" w:color="auto" w:fill="E7E6E6"/>
          </w:tcPr>
          <w:p>
            <w:r/>
            <w:r>
              <w:rPr>
                <w:rFonts w:ascii="Calibri" w:hAnsi="Calibri"/>
                <w:b/>
                <w:sz w:val="20"/>
              </w:rPr>
              <w:t>Value</w:t>
            </w:r>
          </w:p>
        </w:tc>
      </w:tr>
      <w:tr>
        <w:tc>
          <w:tcPr>
            <w:tcW w:type="dxa" w:w="2880"/>
            <w:vAlign w:val="center"/>
          </w:tcPr>
          <w:p>
            <w:r/>
            <w:r>
              <w:rPr>
                <w:rFonts w:ascii="Calibri" w:hAnsi="Calibri"/>
                <w:b w:val="0"/>
                <w:sz w:val="20"/>
              </w:rPr>
              <w:t>Document ID</w:t>
            </w:r>
          </w:p>
        </w:tc>
        <w:tc>
          <w:tcPr>
            <w:tcW w:type="dxa" w:w="6912"/>
            <w:vAlign w:val="center"/>
          </w:tcPr>
          <w:p>
            <w:r/>
            <w:r>
              <w:rPr>
                <w:rFonts w:ascii="Calibri" w:hAnsi="Calibri"/>
                <w:b w:val="0"/>
                <w:sz w:val="20"/>
              </w:rPr>
              <w:t>GL-004-BURNMASTER-SPEC</w:t>
            </w:r>
          </w:p>
        </w:tc>
      </w:tr>
      <w:tr>
        <w:tc>
          <w:tcPr>
            <w:tcW w:type="dxa" w:w="2880"/>
            <w:vAlign w:val="center"/>
          </w:tcPr>
          <w:p>
            <w:r/>
            <w:r>
              <w:rPr>
                <w:rFonts w:ascii="Calibri" w:hAnsi="Calibri"/>
                <w:b w:val="0"/>
                <w:sz w:val="20"/>
              </w:rPr>
              <w:t>Version</w:t>
            </w:r>
          </w:p>
        </w:tc>
        <w:tc>
          <w:tcPr>
            <w:tcW w:type="dxa" w:w="6912"/>
            <w:vAlign w:val="center"/>
          </w:tcPr>
          <w:p>
            <w:r/>
            <w:r>
              <w:rPr>
                <w:rFonts w:ascii="Calibri" w:hAnsi="Calibri"/>
                <w:b w:val="0"/>
                <w:sz w:val="20"/>
              </w:rPr>
              <w:t>1.0</w:t>
            </w:r>
          </w:p>
        </w:tc>
      </w:tr>
      <w:tr>
        <w:tc>
          <w:tcPr>
            <w:tcW w:type="dxa" w:w="2880"/>
            <w:vAlign w:val="center"/>
          </w:tcPr>
          <w:p>
            <w:r/>
            <w:r>
              <w:rPr>
                <w:rFonts w:ascii="Calibri" w:hAnsi="Calibri"/>
                <w:b w:val="0"/>
                <w:sz w:val="20"/>
              </w:rPr>
              <w:t>Effective Date</w:t>
            </w:r>
          </w:p>
        </w:tc>
        <w:tc>
          <w:tcPr>
            <w:tcW w:type="dxa" w:w="6912"/>
            <w:vAlign w:val="center"/>
          </w:tcPr>
          <w:p>
            <w:r/>
            <w:r>
              <w:rPr>
                <w:rFonts w:ascii="Calibri" w:hAnsi="Calibri"/>
                <w:b w:val="0"/>
                <w:sz w:val="20"/>
              </w:rPr>
              <w:t>2025-12-17</w:t>
            </w:r>
          </w:p>
        </w:tc>
      </w:tr>
      <w:tr>
        <w:tc>
          <w:tcPr>
            <w:tcW w:type="dxa" w:w="2880"/>
            <w:vAlign w:val="center"/>
          </w:tcPr>
          <w:p>
            <w:r/>
            <w:r>
              <w:rPr>
                <w:rFonts w:ascii="Calibri" w:hAnsi="Calibri"/>
                <w:b w:val="0"/>
                <w:sz w:val="20"/>
              </w:rPr>
              <w:t>Lifecycle State</w:t>
            </w:r>
          </w:p>
        </w:tc>
        <w:tc>
          <w:tcPr>
            <w:tcW w:type="dxa" w:w="6912"/>
            <w:vAlign w:val="center"/>
          </w:tcPr>
          <w:p>
            <w:r/>
            <w:r>
              <w:rPr>
                <w:rFonts w:ascii="Calibri" w:hAnsi="Calibri"/>
                <w:b w:val="0"/>
                <w:sz w:val="20"/>
              </w:rPr>
              <w:t>Consolidated into GL-018 UNIFIEDCOMBUSTION</w:t>
            </w:r>
          </w:p>
        </w:tc>
      </w:tr>
      <w:tr>
        <w:tc>
          <w:tcPr>
            <w:tcW w:type="dxa" w:w="2880"/>
            <w:vAlign w:val="center"/>
          </w:tcPr>
          <w:p>
            <w:r/>
            <w:r>
              <w:rPr>
                <w:rFonts w:ascii="Calibri" w:hAnsi="Calibri"/>
                <w:b w:val="0"/>
                <w:sz w:val="20"/>
              </w:rPr>
              <w:t>Applies To</w:t>
            </w:r>
          </w:p>
        </w:tc>
        <w:tc>
          <w:tcPr>
            <w:tcW w:type="dxa" w:w="6912"/>
            <w:vAlign w:val="center"/>
          </w:tcPr>
          <w:p>
            <w:r/>
            <w:r>
              <w:rPr>
                <w:rFonts w:ascii="Calibri" w:hAnsi="Calibri"/>
                <w:b w:val="0"/>
                <w:sz w:val="20"/>
              </w:rPr>
              <w:t>All teams: AI/ML, Software Development, Intelligence, Controls/Process/Mechanical Engineering, Instrumentation, Safety, Climate Intelligence, Data Engineering, Operations</w:t>
            </w:r>
          </w:p>
        </w:tc>
      </w:tr>
    </w:tbl>
    <w:p/>
    <w:p>
      <w:pPr>
        <w:pStyle w:val="Heading1"/>
      </w:pPr>
      <w:r>
        <w:t>How to Use This Document</w:t>
      </w:r>
    </w:p>
    <w:p>
      <w:r>
        <w:t>This document describes the GL-004 capability set (BURNMASTER) and the work required across teams to deliver those capabilities as part of GL-018 UNIFIEDCOMBUSTION. GL-004 should be treated as a named module and requirement bundle, not a standalone deliverable. Teams should implement GL-004 requirements inside the unified combustion optimizer, preserving traceability to GL-004 for audit, testing, and program reporting.</w:t>
      </w:r>
    </w:p>
    <w:p>
      <w:pPr>
        <w:pStyle w:val="Heading1"/>
      </w:pPr>
      <w:r>
        <w:t>Table of Contents</w:t>
      </w:r>
    </w:p>
    <w:p>
      <w:r>
        <w:t>Insert an auto-generated table of contents in Word: References -&gt; Table of Contents. Update fields after edits to refresh page numbers.</w:t>
      </w:r>
    </w:p>
    <w:p>
      <w:r>
        <w:br w:type="page"/>
      </w:r>
    </w:p>
    <w:p>
      <w:pPr>
        <w:pStyle w:val="Heading1"/>
      </w:pPr>
      <w:r>
        <w:t>1. Executive Summary</w:t>
      </w:r>
    </w:p>
    <w:p>
      <w:r>
        <w:t>GL-004 (BURNMASTER) is a combustion optimization capability focused on burner performance: flame stability, air-fuel ratio control, emissions-aware efficiency optimization, and turndown optimization. The capability is consolidated into GL-018 UNIFIEDCOMBUSTION, which provides the shared platform, data plane, AI/ML services, and control integration needed for plant-scale deployment.</w:t>
      </w:r>
    </w:p>
    <w:p>
      <w:r>
        <w:t>Primary outcomes:</w:t>
      </w:r>
    </w:p>
    <w:p>
      <w:pPr>
        <w:pStyle w:val="ListBullet"/>
      </w:pPr>
      <w:r>
        <w:t>Reduce fuel consumption while maintaining duty/heat input requirements.</w:t>
      </w:r>
    </w:p>
    <w:p>
      <w:pPr>
        <w:pStyle w:val="ListBullet"/>
      </w:pPr>
      <w:r>
        <w:t>Improve flame stability and operability across load changes and fuel variability.</w:t>
      </w:r>
    </w:p>
    <w:p>
      <w:pPr>
        <w:pStyle w:val="ListBullet"/>
      </w:pPr>
      <w:r>
        <w:t>Reduce emissions (NOx/CO) within permitted constraints and reporting needs.</w:t>
      </w:r>
    </w:p>
    <w:p>
      <w:pPr>
        <w:pStyle w:val="ListBullet"/>
      </w:pPr>
      <w:r>
        <w:t>Increase available turndown and reduce trips, alarms, and maintenance-driven downtime.</w:t>
      </w:r>
    </w:p>
    <w:p>
      <w:r>
        <w:t>Success is measured with plant-validated KPIs (Appendix A) and phased commissioning criteria (Section 14).</w:t>
      </w:r>
    </w:p>
    <w:p>
      <w:pPr>
        <w:pStyle w:val="Heading1"/>
      </w:pPr>
      <w:r>
        <w:t>2. Scope, Boundaries, and Consolidation into GL-018</w:t>
      </w:r>
    </w:p>
    <w:p>
      <w:r>
        <w:t>2.1 In-scope for GL-004 requirement bundle:</w:t>
      </w:r>
    </w:p>
    <w:p>
      <w:pPr>
        <w:pStyle w:val="ListBullet"/>
      </w:pPr>
      <w:r>
        <w:t>Air-fuel ratio optimization (excess O2 / lambda control) with constraints on CO/NOx and flame stability.</w:t>
      </w:r>
    </w:p>
    <w:p>
      <w:pPr>
        <w:pStyle w:val="ListBullet"/>
      </w:pPr>
      <w:r>
        <w:t>Flame stability optimization: avoiding blow-off, flashback, oscillations, and unstable combustion regimes.</w:t>
      </w:r>
    </w:p>
    <w:p>
      <w:pPr>
        <w:pStyle w:val="ListBullet"/>
      </w:pPr>
      <w:r>
        <w:t>Turndown optimization: maximizing stable operating range while meeting duty and emission limits.</w:t>
      </w:r>
    </w:p>
    <w:p>
      <w:pPr>
        <w:pStyle w:val="ListBullet"/>
      </w:pPr>
      <w:r>
        <w:t>Advisory and closed-loop optimization modes with safety interlocks and bumpless transfer.</w:t>
      </w:r>
    </w:p>
    <w:p>
      <w:pPr>
        <w:pStyle w:val="ListBullet"/>
      </w:pPr>
      <w:r>
        <w:t>Condition monitoring and anomaly detection to prevent instability and detect sensor/model drift.</w:t>
      </w:r>
    </w:p>
    <w:p>
      <w:r>
        <w:t>2.2 Out-of-scope (handled elsewhere or by site engineering):</w:t>
      </w:r>
    </w:p>
    <w:p>
      <w:pPr>
        <w:pStyle w:val="ListBullet"/>
      </w:pPr>
      <w:r>
        <w:t>Safety instrumented functions (SIS) logic design or modification (GL-004 consumes SIS status signals but does not replace SIS).</w:t>
      </w:r>
    </w:p>
    <w:p>
      <w:pPr>
        <w:pStyle w:val="ListBullet"/>
      </w:pPr>
      <w:r>
        <w:t>Physical burner redesign or hardware retrofits (may be recommended, but execution is outside GL-004 scope).</w:t>
      </w:r>
    </w:p>
    <w:p>
      <w:pPr>
        <w:pStyle w:val="ListBullet"/>
      </w:pPr>
      <w:r>
        <w:t>Permit negotiations and regulatory submissions (owned by Environment/Compliance with Climate Intelligence support).</w:t>
      </w:r>
    </w:p>
    <w:p>
      <w:r>
        <w:t>2.3 Consolidation mapping (GL-004 -&gt; GL-018):</w:t>
      </w:r>
    </w:p>
    <w:tbl>
      <w:tblPr>
        <w:tblStyle w:val="TableGrid"/>
        <w:tblW w:type="auto" w:w="0"/>
        <w:jc w:val="center"/>
        <w:tblLook w:firstColumn="1" w:firstRow="1" w:lastColumn="0" w:lastRow="0" w:noHBand="0" w:noVBand="1" w:val="04A0"/>
      </w:tblPr>
      <w:tblGrid>
        <w:gridCol w:w="4680"/>
        <w:gridCol w:w="4680"/>
      </w:tblGrid>
      <w:tr>
        <w:tc>
          <w:tcPr>
            <w:tcW w:type="dxa" w:w="4608"/>
            <w:vAlign w:val="center"/>
            <w:shd w:val="clear" w:color="auto" w:fill="E7E6E6"/>
          </w:tcPr>
          <w:p>
            <w:r/>
            <w:r>
              <w:rPr>
                <w:rFonts w:ascii="Calibri" w:hAnsi="Calibri"/>
                <w:b/>
                <w:sz w:val="20"/>
              </w:rPr>
              <w:t>GL-004 Capability</w:t>
            </w:r>
          </w:p>
        </w:tc>
        <w:tc>
          <w:tcPr>
            <w:tcW w:type="dxa" w:w="5184"/>
            <w:vAlign w:val="center"/>
            <w:shd w:val="clear" w:color="auto" w:fill="E7E6E6"/>
          </w:tcPr>
          <w:p>
            <w:r/>
            <w:r>
              <w:rPr>
                <w:rFonts w:ascii="Calibri" w:hAnsi="Calibri"/>
                <w:b/>
                <w:sz w:val="20"/>
              </w:rPr>
              <w:t>GL-018 Implementation Element</w:t>
            </w:r>
          </w:p>
        </w:tc>
      </w:tr>
      <w:tr>
        <w:tc>
          <w:tcPr>
            <w:tcW w:type="dxa" w:w="4608"/>
            <w:vAlign w:val="center"/>
          </w:tcPr>
          <w:p>
            <w:r/>
            <w:r>
              <w:rPr>
                <w:rFonts w:ascii="Calibri" w:hAnsi="Calibri"/>
                <w:b w:val="0"/>
                <w:sz w:val="20"/>
              </w:rPr>
              <w:t>Optimization engine for air-fuel ratio and stability</w:t>
            </w:r>
          </w:p>
        </w:tc>
        <w:tc>
          <w:tcPr>
            <w:tcW w:type="dxa" w:w="5184"/>
            <w:vAlign w:val="center"/>
          </w:tcPr>
          <w:p>
            <w:r/>
            <w:r>
              <w:rPr>
                <w:rFonts w:ascii="Calibri" w:hAnsi="Calibri"/>
                <w:b w:val="0"/>
                <w:sz w:val="20"/>
              </w:rPr>
              <w:t>Unified combustion optimizer core: constrained multi-objective optimization + control policy layer</w:t>
            </w:r>
          </w:p>
        </w:tc>
      </w:tr>
      <w:tr>
        <w:tc>
          <w:tcPr>
            <w:tcW w:type="dxa" w:w="4608"/>
            <w:vAlign w:val="center"/>
          </w:tcPr>
          <w:p>
            <w:r/>
            <w:r>
              <w:rPr>
                <w:rFonts w:ascii="Calibri" w:hAnsi="Calibri"/>
                <w:b w:val="0"/>
                <w:sz w:val="20"/>
              </w:rPr>
              <w:t>Turndown optimization logic</w:t>
            </w:r>
          </w:p>
        </w:tc>
        <w:tc>
          <w:tcPr>
            <w:tcW w:type="dxa" w:w="5184"/>
            <w:vAlign w:val="center"/>
          </w:tcPr>
          <w:p>
            <w:r/>
            <w:r>
              <w:rPr>
                <w:rFonts w:ascii="Calibri" w:hAnsi="Calibri"/>
                <w:b w:val="0"/>
                <w:sz w:val="20"/>
              </w:rPr>
              <w:t>Operating envelope model + stability classifier + recommended setpoint scheduler</w:t>
            </w:r>
          </w:p>
        </w:tc>
      </w:tr>
      <w:tr>
        <w:tc>
          <w:tcPr>
            <w:tcW w:type="dxa" w:w="4608"/>
            <w:vAlign w:val="center"/>
          </w:tcPr>
          <w:p>
            <w:r/>
            <w:r>
              <w:rPr>
                <w:rFonts w:ascii="Calibri" w:hAnsi="Calibri"/>
                <w:b w:val="0"/>
                <w:sz w:val="20"/>
              </w:rPr>
              <w:t>Burner health and instability detection</w:t>
            </w:r>
          </w:p>
        </w:tc>
        <w:tc>
          <w:tcPr>
            <w:tcW w:type="dxa" w:w="5184"/>
            <w:vAlign w:val="center"/>
          </w:tcPr>
          <w:p>
            <w:r/>
            <w:r>
              <w:rPr>
                <w:rFonts w:ascii="Calibri" w:hAnsi="Calibri"/>
                <w:b w:val="0"/>
                <w:sz w:val="20"/>
              </w:rPr>
              <w:t>Shared anomaly detection + diagnostics service; site-specific rule packs</w:t>
            </w:r>
          </w:p>
        </w:tc>
      </w:tr>
      <w:tr>
        <w:tc>
          <w:tcPr>
            <w:tcW w:type="dxa" w:w="4608"/>
            <w:vAlign w:val="center"/>
          </w:tcPr>
          <w:p>
            <w:r/>
            <w:r>
              <w:rPr>
                <w:rFonts w:ascii="Calibri" w:hAnsi="Calibri"/>
                <w:b w:val="0"/>
                <w:sz w:val="20"/>
              </w:rPr>
              <w:t>Site integration and controls interface</w:t>
            </w:r>
          </w:p>
        </w:tc>
        <w:tc>
          <w:tcPr>
            <w:tcW w:type="dxa" w:w="5184"/>
            <w:vAlign w:val="center"/>
          </w:tcPr>
          <w:p>
            <w:r/>
            <w:r>
              <w:rPr>
                <w:rFonts w:ascii="Calibri" w:hAnsi="Calibri"/>
                <w:b w:val="0"/>
                <w:sz w:val="20"/>
              </w:rPr>
              <w:t>Standardized DCS/PLC connector layer (OPC UA / Modbus / vendor APIs)</w:t>
            </w:r>
          </w:p>
        </w:tc>
      </w:tr>
      <w:tr>
        <w:tc>
          <w:tcPr>
            <w:tcW w:type="dxa" w:w="4608"/>
            <w:vAlign w:val="center"/>
          </w:tcPr>
          <w:p>
            <w:r/>
            <w:r>
              <w:rPr>
                <w:rFonts w:ascii="Calibri" w:hAnsi="Calibri"/>
                <w:b w:val="0"/>
                <w:sz w:val="20"/>
              </w:rPr>
              <w:t>Model training and lifecycle</w:t>
            </w:r>
          </w:p>
        </w:tc>
        <w:tc>
          <w:tcPr>
            <w:tcW w:type="dxa" w:w="5184"/>
            <w:vAlign w:val="center"/>
          </w:tcPr>
          <w:p>
            <w:r/>
            <w:r>
              <w:rPr>
                <w:rFonts w:ascii="Calibri" w:hAnsi="Calibri"/>
                <w:b w:val="0"/>
                <w:sz w:val="20"/>
              </w:rPr>
              <w:t>Central MLOps pipeline, feature store, monitoring, and governance</w:t>
            </w:r>
          </w:p>
        </w:tc>
      </w:tr>
    </w:tbl>
    <w:p>
      <w:pPr>
        <w:pStyle w:val="Heading1"/>
      </w:pPr>
      <w:r>
        <w:t>3. System Context and Operating Environment</w:t>
      </w:r>
    </w:p>
    <w:p>
      <w:r>
        <w:t>GL-004 is deployed in industrial combustion systems such as fired heaters, boilers, furnaces, kilns, and thermal oxidizers. It interacts with burner management systems (BMS), distributed control systems (DCS), safety systems (SIS), plant historians, and emissions monitoring infrastructure.</w:t>
      </w:r>
    </w:p>
    <w:p>
      <w:pPr>
        <w:pStyle w:val="Heading2"/>
      </w:pPr>
      <w:r>
        <w:t>3.1 Typical control loops and actuators</w:t>
      </w:r>
    </w:p>
    <w:p>
      <w:pPr>
        <w:pStyle w:val="ListBullet"/>
      </w:pPr>
      <w:r>
        <w:t>Fuel flow control (valves, regulators), sometimes per-burner or manifold-level.</w:t>
      </w:r>
    </w:p>
    <w:p>
      <w:pPr>
        <w:pStyle w:val="ListBullet"/>
      </w:pPr>
      <w:r>
        <w:t>Combustion air flow control (FD fans, dampers, VFDs).</w:t>
      </w:r>
    </w:p>
    <w:p>
      <w:pPr>
        <w:pStyle w:val="ListBullet"/>
      </w:pPr>
      <w:r>
        <w:t>O2 trim control (stack O2 analyzer feedback).</w:t>
      </w:r>
    </w:p>
    <w:p>
      <w:pPr>
        <w:pStyle w:val="ListBullet"/>
      </w:pPr>
      <w:r>
        <w:t>Furnace/boiler duty control (outlet temperature or steam pressure/flow).</w:t>
      </w:r>
    </w:p>
    <w:p>
      <w:pPr>
        <w:pStyle w:val="ListBullet"/>
      </w:pPr>
      <w:r>
        <w:t>Draft control (ID fans / stack dampers).</w:t>
      </w:r>
    </w:p>
    <w:p>
      <w:pPr>
        <w:pStyle w:val="Heading2"/>
      </w:pPr>
      <w:r>
        <w:t>3.2 Key hazards and operational constraints</w:t>
      </w:r>
    </w:p>
    <w:p>
      <w:pPr>
        <w:pStyle w:val="ListBullet"/>
      </w:pPr>
      <w:r>
        <w:t>Flameout, delayed ignition, and re-ignition events; avoid unstable operating points.</w:t>
      </w:r>
    </w:p>
    <w:p>
      <w:pPr>
        <w:pStyle w:val="ListBullet"/>
      </w:pPr>
      <w:r>
        <w:t>Flashback and blow-off risks with premix/lean systems.</w:t>
      </w:r>
    </w:p>
    <w:p>
      <w:pPr>
        <w:pStyle w:val="ListBullet"/>
      </w:pPr>
      <w:r>
        <w:t>Combustion oscillations (acoustics) leading to trips or hardware damage.</w:t>
      </w:r>
    </w:p>
    <w:p>
      <w:pPr>
        <w:pStyle w:val="ListBullet"/>
      </w:pPr>
      <w:r>
        <w:t>Analyzer lag/failure; sensor bias; time synchronization issues.</w:t>
      </w:r>
    </w:p>
    <w:p>
      <w:pPr>
        <w:pStyle w:val="ListBullet"/>
      </w:pPr>
      <w:r>
        <w:t>Emission permit limits and reporting requirements.</w:t>
      </w:r>
    </w:p>
    <w:p>
      <w:pPr>
        <w:pStyle w:val="Heading1"/>
      </w:pPr>
      <w:r>
        <w:t>4. Functional Requirements (What GL-018 must deliver for GL-004)</w:t>
      </w:r>
    </w:p>
    <w:p>
      <w:pPr>
        <w:pStyle w:val="Heading2"/>
      </w:pPr>
      <w:r>
        <w:t>4.1 Modes of operation</w:t>
      </w:r>
    </w:p>
    <w:p>
      <w:pPr>
        <w:pStyle w:val="ListBullet"/>
      </w:pPr>
      <w:r>
        <w:t>Observe-only: compute KPIs, stability risk, and recommended setpoints; no writes to DCS.</w:t>
      </w:r>
    </w:p>
    <w:p>
      <w:pPr>
        <w:pStyle w:val="ListBullet"/>
      </w:pPr>
      <w:r>
        <w:t>Advisory: present operator recommendations with explanation and predicted impact; manual acceptance.</w:t>
      </w:r>
    </w:p>
    <w:p>
      <w:pPr>
        <w:pStyle w:val="ListBullet"/>
      </w:pPr>
      <w:r>
        <w:t>Closed-loop: write setpoints within a bounded envelope; automatic fallback to advisory/observe on anomalies.</w:t>
      </w:r>
    </w:p>
    <w:p>
      <w:pPr>
        <w:pStyle w:val="Heading2"/>
      </w:pPr>
      <w:r>
        <w:t>4.2 Optimization objectives</w:t>
      </w:r>
    </w:p>
    <w:p>
      <w:pPr>
        <w:pStyle w:val="ListBullet"/>
      </w:pPr>
      <w:r>
        <w:t>Minimize fuel use subject to duty constraints.</w:t>
      </w:r>
    </w:p>
    <w:p>
      <w:pPr>
        <w:pStyle w:val="ListBullet"/>
      </w:pPr>
      <w:r>
        <w:t>Maintain stable combustion (stability score above threshold) and avoid restricted zones.</w:t>
      </w:r>
    </w:p>
    <w:p>
      <w:pPr>
        <w:pStyle w:val="ListBullet"/>
      </w:pPr>
      <w:r>
        <w:t>Maintain emissions within constraints (NOx, CO, O2, opacity if applicable).</w:t>
      </w:r>
    </w:p>
    <w:p>
      <w:pPr>
        <w:pStyle w:val="ListBullet"/>
      </w:pPr>
      <w:r>
        <w:t>Minimize rate-of-change of key actuators to preserve equipment and avoid operator disruption.</w:t>
      </w:r>
    </w:p>
    <w:p>
      <w:pPr>
        <w:pStyle w:val="Heading2"/>
      </w:pPr>
      <w:r>
        <w:t>4.3 Constraint handling and guardrails</w:t>
      </w:r>
    </w:p>
    <w:p>
      <w:pPr>
        <w:pStyle w:val="ListBullet"/>
      </w:pPr>
      <w:r>
        <w:t>Hard constraints: safety and permit limits; minimum O2; maximum CO; burner operating limits; fan surge limits.</w:t>
      </w:r>
    </w:p>
    <w:p>
      <w:pPr>
        <w:pStyle w:val="ListBullet"/>
      </w:pPr>
      <w:r>
        <w:t>Soft constraints: preferred operating windows and economic tradeoffs.</w:t>
      </w:r>
    </w:p>
    <w:p>
      <w:pPr>
        <w:pStyle w:val="ListBullet"/>
      </w:pPr>
      <w:r>
        <w:t>Rate limits and deadbands to avoid hunting and oscillations.</w:t>
      </w:r>
    </w:p>
    <w:p>
      <w:pPr>
        <w:pStyle w:val="ListBullet"/>
      </w:pPr>
      <w:r>
        <w:t>Fallback logic: if any critical signal is bad quality or stale, revert to safe defaults and alert operator.</w:t>
      </w:r>
    </w:p>
    <w:p>
      <w:pPr>
        <w:pStyle w:val="Heading2"/>
      </w:pPr>
      <w:r>
        <w:t>4.4 Diagnostics and explainability</w:t>
      </w:r>
    </w:p>
    <w:p>
      <w:pPr>
        <w:pStyle w:val="ListBullet"/>
      </w:pPr>
      <w:r>
        <w:t>Provide 'why' for recommendations: binding constraints, predicted O2/CO/NOx changes, stability margin.</w:t>
      </w:r>
    </w:p>
    <w:p>
      <w:pPr>
        <w:pStyle w:val="ListBullet"/>
      </w:pPr>
      <w:r>
        <w:t>Detect and report: sensor bias, analyzer calibration drift, actuator saturation, model drift, and unstable regimes.</w:t>
      </w:r>
    </w:p>
    <w:p>
      <w:pPr>
        <w:pStyle w:val="ListBullet"/>
      </w:pPr>
      <w:r>
        <w:t>Support root-cause workflows for repeated trips/instability (events, conditions, and contributing factors).</w:t>
      </w:r>
    </w:p>
    <w:p>
      <w:pPr>
        <w:pStyle w:val="Heading1"/>
      </w:pPr>
      <w:r>
        <w:t>5. Non-Functional Requirements</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val="clear" w:color="auto" w:fill="E7E6E6"/>
          </w:tcPr>
          <w:p>
            <w:r/>
            <w:r>
              <w:rPr>
                <w:rFonts w:ascii="Calibri" w:hAnsi="Calibri"/>
                <w:b/>
                <w:sz w:val="20"/>
              </w:rPr>
              <w:t>Category</w:t>
            </w:r>
          </w:p>
        </w:tc>
        <w:tc>
          <w:tcPr>
            <w:tcW w:type="dxa" w:w="7488"/>
            <w:vAlign w:val="center"/>
            <w:shd w:val="clear" w:color="auto" w:fill="E7E6E6"/>
          </w:tcPr>
          <w:p>
            <w:r/>
            <w:r>
              <w:rPr>
                <w:rFonts w:ascii="Calibri" w:hAnsi="Calibri"/>
                <w:b/>
                <w:sz w:val="20"/>
              </w:rPr>
              <w:t>Requirement</w:t>
            </w:r>
          </w:p>
        </w:tc>
      </w:tr>
      <w:tr>
        <w:tc>
          <w:tcPr>
            <w:tcW w:type="dxa" w:w="2304"/>
            <w:vAlign w:val="center"/>
          </w:tcPr>
          <w:p>
            <w:r/>
            <w:r>
              <w:rPr>
                <w:rFonts w:ascii="Calibri" w:hAnsi="Calibri"/>
                <w:b w:val="0"/>
                <w:sz w:val="20"/>
              </w:rPr>
              <w:t>Latency</w:t>
            </w:r>
          </w:p>
        </w:tc>
        <w:tc>
          <w:tcPr>
            <w:tcW w:type="dxa" w:w="7488"/>
            <w:vAlign w:val="center"/>
          </w:tcPr>
          <w:p>
            <w:r/>
            <w:r>
              <w:rPr>
                <w:rFonts w:ascii="Calibri" w:hAnsi="Calibri"/>
                <w:b w:val="0"/>
                <w:sz w:val="20"/>
              </w:rPr>
              <w:t>Edge inference cycle &lt;= 1-5 seconds (site dependent); advisory UI update &lt;= 10 seconds.</w:t>
            </w:r>
          </w:p>
        </w:tc>
      </w:tr>
      <w:tr>
        <w:tc>
          <w:tcPr>
            <w:tcW w:type="dxa" w:w="2304"/>
            <w:vAlign w:val="center"/>
          </w:tcPr>
          <w:p>
            <w:r/>
            <w:r>
              <w:rPr>
                <w:rFonts w:ascii="Calibri" w:hAnsi="Calibri"/>
                <w:b w:val="0"/>
                <w:sz w:val="20"/>
              </w:rPr>
              <w:t>Availability</w:t>
            </w:r>
          </w:p>
        </w:tc>
        <w:tc>
          <w:tcPr>
            <w:tcW w:type="dxa" w:w="7488"/>
            <w:vAlign w:val="center"/>
          </w:tcPr>
          <w:p>
            <w:r/>
            <w:r>
              <w:rPr>
                <w:rFonts w:ascii="Calibri" w:hAnsi="Calibri"/>
                <w:b w:val="0"/>
                <w:sz w:val="20"/>
              </w:rPr>
              <w:t>&gt;= 99.5% service uptime in production; degrade gracefully to observe-only if optimization is offline.</w:t>
            </w:r>
          </w:p>
        </w:tc>
      </w:tr>
      <w:tr>
        <w:tc>
          <w:tcPr>
            <w:tcW w:type="dxa" w:w="2304"/>
            <w:vAlign w:val="center"/>
          </w:tcPr>
          <w:p>
            <w:r/>
            <w:r>
              <w:rPr>
                <w:rFonts w:ascii="Calibri" w:hAnsi="Calibri"/>
                <w:b w:val="0"/>
                <w:sz w:val="20"/>
              </w:rPr>
              <w:t>Safety</w:t>
            </w:r>
          </w:p>
        </w:tc>
        <w:tc>
          <w:tcPr>
            <w:tcW w:type="dxa" w:w="7488"/>
            <w:vAlign w:val="center"/>
          </w:tcPr>
          <w:p>
            <w:r/>
            <w:r>
              <w:rPr>
                <w:rFonts w:ascii="Calibri" w:hAnsi="Calibri"/>
                <w:b w:val="0"/>
                <w:sz w:val="20"/>
              </w:rPr>
              <w:t>No action may bypass SIS/BMS; all writes must be within pre-approved envelopes; full audit trail.</w:t>
            </w:r>
          </w:p>
        </w:tc>
      </w:tr>
      <w:tr>
        <w:tc>
          <w:tcPr>
            <w:tcW w:type="dxa" w:w="2304"/>
            <w:vAlign w:val="center"/>
          </w:tcPr>
          <w:p>
            <w:r/>
            <w:r>
              <w:rPr>
                <w:rFonts w:ascii="Calibri" w:hAnsi="Calibri"/>
                <w:b w:val="0"/>
                <w:sz w:val="20"/>
              </w:rPr>
              <w:t>Cybersecurity</w:t>
            </w:r>
          </w:p>
        </w:tc>
        <w:tc>
          <w:tcPr>
            <w:tcW w:type="dxa" w:w="7488"/>
            <w:vAlign w:val="center"/>
          </w:tcPr>
          <w:p>
            <w:r/>
            <w:r>
              <w:rPr>
                <w:rFonts w:ascii="Calibri" w:hAnsi="Calibri"/>
                <w:b w:val="0"/>
                <w:sz w:val="20"/>
              </w:rPr>
              <w:t>Mutual TLS, least privilege, network segmentation (OT/IT), signed model artifacts, secure secrets management.</w:t>
            </w:r>
          </w:p>
        </w:tc>
      </w:tr>
      <w:tr>
        <w:tc>
          <w:tcPr>
            <w:tcW w:type="dxa" w:w="2304"/>
            <w:vAlign w:val="center"/>
          </w:tcPr>
          <w:p>
            <w:r/>
            <w:r>
              <w:rPr>
                <w:rFonts w:ascii="Calibri" w:hAnsi="Calibri"/>
                <w:b w:val="0"/>
                <w:sz w:val="20"/>
              </w:rPr>
              <w:t>Traceability</w:t>
            </w:r>
          </w:p>
        </w:tc>
        <w:tc>
          <w:tcPr>
            <w:tcW w:type="dxa" w:w="7488"/>
            <w:vAlign w:val="center"/>
          </w:tcPr>
          <w:p>
            <w:r/>
            <w:r>
              <w:rPr>
                <w:rFonts w:ascii="Calibri" w:hAnsi="Calibri"/>
                <w:b w:val="0"/>
                <w:sz w:val="20"/>
              </w:rPr>
              <w:t>Link recommendations to data snapshot, model version, code version, and constraint set.</w:t>
            </w:r>
          </w:p>
        </w:tc>
      </w:tr>
      <w:tr>
        <w:tc>
          <w:tcPr>
            <w:tcW w:type="dxa" w:w="2304"/>
            <w:vAlign w:val="center"/>
          </w:tcPr>
          <w:p>
            <w:r/>
            <w:r>
              <w:rPr>
                <w:rFonts w:ascii="Calibri" w:hAnsi="Calibri"/>
                <w:b w:val="0"/>
                <w:sz w:val="20"/>
              </w:rPr>
              <w:t>Maintainability</w:t>
            </w:r>
          </w:p>
        </w:tc>
        <w:tc>
          <w:tcPr>
            <w:tcW w:type="dxa" w:w="7488"/>
            <w:vAlign w:val="center"/>
          </w:tcPr>
          <w:p>
            <w:r/>
            <w:r>
              <w:rPr>
                <w:rFonts w:ascii="Calibri" w:hAnsi="Calibri"/>
                <w:b w:val="0"/>
                <w:sz w:val="20"/>
              </w:rPr>
              <w:t>Site-specific configurations managed as code; standard onboarding playbook.</w:t>
            </w:r>
          </w:p>
        </w:tc>
      </w:tr>
      <w:tr>
        <w:tc>
          <w:tcPr>
            <w:tcW w:type="dxa" w:w="2304"/>
            <w:vAlign w:val="center"/>
          </w:tcPr>
          <w:p>
            <w:r/>
            <w:r>
              <w:rPr>
                <w:rFonts w:ascii="Calibri" w:hAnsi="Calibri"/>
                <w:b w:val="0"/>
                <w:sz w:val="20"/>
              </w:rPr>
              <w:t>Explainability</w:t>
            </w:r>
          </w:p>
        </w:tc>
        <w:tc>
          <w:tcPr>
            <w:tcW w:type="dxa" w:w="7488"/>
            <w:vAlign w:val="center"/>
          </w:tcPr>
          <w:p>
            <w:r/>
            <w:r>
              <w:rPr>
                <w:rFonts w:ascii="Calibri" w:hAnsi="Calibri"/>
                <w:b w:val="0"/>
                <w:sz w:val="20"/>
              </w:rPr>
              <w:t>Operator-facing rationales; engineering-facing diagnostic plots and feature contributions.</w:t>
            </w:r>
          </w:p>
        </w:tc>
      </w:tr>
      <w:tr>
        <w:tc>
          <w:tcPr>
            <w:tcW w:type="dxa" w:w="2304"/>
            <w:vAlign w:val="center"/>
          </w:tcPr>
          <w:p>
            <w:r/>
            <w:r>
              <w:rPr>
                <w:rFonts w:ascii="Calibri" w:hAnsi="Calibri"/>
                <w:b w:val="0"/>
                <w:sz w:val="20"/>
              </w:rPr>
              <w:t>Compliance</w:t>
            </w:r>
          </w:p>
        </w:tc>
        <w:tc>
          <w:tcPr>
            <w:tcW w:type="dxa" w:w="7488"/>
            <w:vAlign w:val="center"/>
          </w:tcPr>
          <w:p>
            <w:r/>
            <w:r>
              <w:rPr>
                <w:rFonts w:ascii="Calibri" w:hAnsi="Calibri"/>
                <w:b w:val="0"/>
                <w:sz w:val="20"/>
              </w:rPr>
              <w:t>Support emissions reporting inputs and data retention as required by site policy and regulations.</w:t>
            </w:r>
          </w:p>
        </w:tc>
      </w:tr>
    </w:tbl>
    <w:p>
      <w:pPr>
        <w:pStyle w:val="Heading1"/>
      </w:pPr>
      <w:r>
        <w:t>6. Data Requirements (All Teams)</w:t>
      </w:r>
    </w:p>
    <w:p>
      <w:r>
        <w:t>GL-004 performance is data-bound. Data engineering, instrumentation, and controls teams must ensure data completeness, accuracy, time synchronization, and accessible interfaces. AI/ML teams must define feature requirements and data quality checks.</w:t>
      </w:r>
    </w:p>
    <w:p>
      <w:pPr>
        <w:pStyle w:val="Heading2"/>
      </w:pPr>
      <w:r>
        <w:t>6.1 Minimum tag set (per combustion unit)</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val="clear" w:color="auto" w:fill="E7E6E6"/>
          </w:tcPr>
          <w:p>
            <w:r/>
            <w:r>
              <w:rPr>
                <w:rFonts w:ascii="Calibri" w:hAnsi="Calibri"/>
                <w:b/>
                <w:sz w:val="20"/>
              </w:rPr>
              <w:t>Signal Group</w:t>
            </w:r>
          </w:p>
        </w:tc>
        <w:tc>
          <w:tcPr>
            <w:tcW w:type="dxa" w:w="4608"/>
            <w:vAlign w:val="center"/>
            <w:shd w:val="clear" w:color="auto" w:fill="E7E6E6"/>
          </w:tcPr>
          <w:p>
            <w:r/>
            <w:r>
              <w:rPr>
                <w:rFonts w:ascii="Calibri" w:hAnsi="Calibri"/>
                <w:b/>
                <w:sz w:val="20"/>
              </w:rPr>
              <w:t>Examples (typical tags)</w:t>
            </w:r>
          </w:p>
        </w:tc>
        <w:tc>
          <w:tcPr>
            <w:tcW w:type="dxa" w:w="3312"/>
            <w:vAlign w:val="center"/>
            <w:shd w:val="clear" w:color="auto" w:fill="E7E6E6"/>
          </w:tcPr>
          <w:p>
            <w:r/>
            <w:r>
              <w:rPr>
                <w:rFonts w:ascii="Calibri" w:hAnsi="Calibri"/>
                <w:b/>
                <w:sz w:val="20"/>
              </w:rPr>
              <w:t>Notes</w:t>
            </w:r>
          </w:p>
        </w:tc>
      </w:tr>
      <w:tr>
        <w:tc>
          <w:tcPr>
            <w:tcW w:type="dxa" w:w="1872"/>
            <w:vAlign w:val="center"/>
          </w:tcPr>
          <w:p>
            <w:r/>
            <w:r>
              <w:rPr>
                <w:rFonts w:ascii="Calibri" w:hAnsi="Calibri"/>
                <w:b w:val="0"/>
                <w:sz w:val="20"/>
              </w:rPr>
              <w:t>Fuel</w:t>
            </w:r>
          </w:p>
        </w:tc>
        <w:tc>
          <w:tcPr>
            <w:tcW w:type="dxa" w:w="4608"/>
            <w:vAlign w:val="center"/>
          </w:tcPr>
          <w:p>
            <w:r/>
            <w:r>
              <w:rPr>
                <w:rFonts w:ascii="Calibri" w:hAnsi="Calibri"/>
                <w:b w:val="0"/>
                <w:sz w:val="20"/>
              </w:rPr>
              <w:t>Fuel flow, fuel pressure, fuel temperature, fuel composition/Wobbe index (if available)</w:t>
            </w:r>
          </w:p>
        </w:tc>
        <w:tc>
          <w:tcPr>
            <w:tcW w:type="dxa" w:w="3312"/>
            <w:vAlign w:val="center"/>
          </w:tcPr>
          <w:p>
            <w:r/>
            <w:r>
              <w:rPr>
                <w:rFonts w:ascii="Calibri" w:hAnsi="Calibri"/>
                <w:b w:val="0"/>
                <w:sz w:val="20"/>
              </w:rPr>
              <w:t>Composition may come from GC or inferred; ensure units and compensation.</w:t>
            </w:r>
          </w:p>
        </w:tc>
      </w:tr>
      <w:tr>
        <w:tc>
          <w:tcPr>
            <w:tcW w:type="dxa" w:w="1872"/>
            <w:vAlign w:val="center"/>
          </w:tcPr>
          <w:p>
            <w:r/>
            <w:r>
              <w:rPr>
                <w:rFonts w:ascii="Calibri" w:hAnsi="Calibri"/>
                <w:b w:val="0"/>
                <w:sz w:val="20"/>
              </w:rPr>
              <w:t>Air</w:t>
            </w:r>
          </w:p>
        </w:tc>
        <w:tc>
          <w:tcPr>
            <w:tcW w:type="dxa" w:w="4608"/>
            <w:vAlign w:val="center"/>
          </w:tcPr>
          <w:p>
            <w:r/>
            <w:r>
              <w:rPr>
                <w:rFonts w:ascii="Calibri" w:hAnsi="Calibri"/>
                <w:b w:val="0"/>
                <w:sz w:val="20"/>
              </w:rPr>
              <w:t>Combustion air flow, air header pressure, air temperature, fan speed/VFD, damper positions</w:t>
            </w:r>
          </w:p>
        </w:tc>
        <w:tc>
          <w:tcPr>
            <w:tcW w:type="dxa" w:w="3312"/>
            <w:vAlign w:val="center"/>
          </w:tcPr>
          <w:p>
            <w:r/>
            <w:r>
              <w:rPr>
                <w:rFonts w:ascii="Calibri" w:hAnsi="Calibri"/>
                <w:b w:val="0"/>
                <w:sz w:val="20"/>
              </w:rPr>
              <w:t>Flow measurement quality is critical for lambda/excess air.</w:t>
            </w:r>
          </w:p>
        </w:tc>
      </w:tr>
      <w:tr>
        <w:tc>
          <w:tcPr>
            <w:tcW w:type="dxa" w:w="1872"/>
            <w:vAlign w:val="center"/>
          </w:tcPr>
          <w:p>
            <w:r/>
            <w:r>
              <w:rPr>
                <w:rFonts w:ascii="Calibri" w:hAnsi="Calibri"/>
                <w:b w:val="0"/>
                <w:sz w:val="20"/>
              </w:rPr>
              <w:t>Flue/Stack</w:t>
            </w:r>
          </w:p>
        </w:tc>
        <w:tc>
          <w:tcPr>
            <w:tcW w:type="dxa" w:w="4608"/>
            <w:vAlign w:val="center"/>
          </w:tcPr>
          <w:p>
            <w:r/>
            <w:r>
              <w:rPr>
                <w:rFonts w:ascii="Calibri" w:hAnsi="Calibri"/>
                <w:b w:val="0"/>
                <w:sz w:val="20"/>
              </w:rPr>
              <w:t>Stack O2, CO, NOx, stack temperature, draft/pressure</w:t>
            </w:r>
          </w:p>
        </w:tc>
        <w:tc>
          <w:tcPr>
            <w:tcW w:type="dxa" w:w="3312"/>
            <w:vAlign w:val="center"/>
          </w:tcPr>
          <w:p>
            <w:r/>
            <w:r>
              <w:rPr>
                <w:rFonts w:ascii="Calibri" w:hAnsi="Calibri"/>
                <w:b w:val="0"/>
                <w:sz w:val="20"/>
              </w:rPr>
              <w:t>Analyzer lag and validation required; include quality/status.</w:t>
            </w:r>
          </w:p>
        </w:tc>
      </w:tr>
      <w:tr>
        <w:tc>
          <w:tcPr>
            <w:tcW w:type="dxa" w:w="1872"/>
            <w:vAlign w:val="center"/>
          </w:tcPr>
          <w:p>
            <w:r/>
            <w:r>
              <w:rPr>
                <w:rFonts w:ascii="Calibri" w:hAnsi="Calibri"/>
                <w:b w:val="0"/>
                <w:sz w:val="20"/>
              </w:rPr>
              <w:t>Process Duty</w:t>
            </w:r>
          </w:p>
        </w:tc>
        <w:tc>
          <w:tcPr>
            <w:tcW w:type="dxa" w:w="4608"/>
            <w:vAlign w:val="center"/>
          </w:tcPr>
          <w:p>
            <w:r/>
            <w:r>
              <w:rPr>
                <w:rFonts w:ascii="Calibri" w:hAnsi="Calibri"/>
                <w:b w:val="0"/>
                <w:sz w:val="20"/>
              </w:rPr>
              <w:t>Outlet temperature, steam pressure/flow, furnace bridgewall temperature, heat duty estimate</w:t>
            </w:r>
          </w:p>
        </w:tc>
        <w:tc>
          <w:tcPr>
            <w:tcW w:type="dxa" w:w="3312"/>
            <w:vAlign w:val="center"/>
          </w:tcPr>
          <w:p>
            <w:r/>
            <w:r>
              <w:rPr>
                <w:rFonts w:ascii="Calibri" w:hAnsi="Calibri"/>
                <w:b w:val="0"/>
                <w:sz w:val="20"/>
              </w:rPr>
              <w:t>Select site-specific duty proxy for objective/constraint.</w:t>
            </w:r>
          </w:p>
        </w:tc>
      </w:tr>
      <w:tr>
        <w:tc>
          <w:tcPr>
            <w:tcW w:type="dxa" w:w="1872"/>
            <w:vAlign w:val="center"/>
          </w:tcPr>
          <w:p>
            <w:r/>
            <w:r>
              <w:rPr>
                <w:rFonts w:ascii="Calibri" w:hAnsi="Calibri"/>
                <w:b w:val="0"/>
                <w:sz w:val="20"/>
              </w:rPr>
              <w:t>Burner/Flame</w:t>
            </w:r>
          </w:p>
        </w:tc>
        <w:tc>
          <w:tcPr>
            <w:tcW w:type="dxa" w:w="4608"/>
            <w:vAlign w:val="center"/>
          </w:tcPr>
          <w:p>
            <w:r/>
            <w:r>
              <w:rPr>
                <w:rFonts w:ascii="Calibri" w:hAnsi="Calibri"/>
                <w:b w:val="0"/>
                <w:sz w:val="20"/>
              </w:rPr>
              <w:t>Flame scanner status, UV/IR intensity, burner on/off, igniter status</w:t>
            </w:r>
          </w:p>
        </w:tc>
        <w:tc>
          <w:tcPr>
            <w:tcW w:type="dxa" w:w="3312"/>
            <w:vAlign w:val="center"/>
          </w:tcPr>
          <w:p>
            <w:r/>
            <w:r>
              <w:rPr>
                <w:rFonts w:ascii="Calibri" w:hAnsi="Calibri"/>
                <w:b w:val="0"/>
                <w:sz w:val="20"/>
              </w:rPr>
              <w:t>Used for stability and interlock awareness.</w:t>
            </w:r>
          </w:p>
        </w:tc>
      </w:tr>
      <w:tr>
        <w:tc>
          <w:tcPr>
            <w:tcW w:type="dxa" w:w="1872"/>
            <w:vAlign w:val="center"/>
          </w:tcPr>
          <w:p>
            <w:r/>
            <w:r>
              <w:rPr>
                <w:rFonts w:ascii="Calibri" w:hAnsi="Calibri"/>
                <w:b w:val="0"/>
                <w:sz w:val="20"/>
              </w:rPr>
              <w:t>Acoustics/Vibration (if available)</w:t>
            </w:r>
          </w:p>
        </w:tc>
        <w:tc>
          <w:tcPr>
            <w:tcW w:type="dxa" w:w="4608"/>
            <w:vAlign w:val="center"/>
          </w:tcPr>
          <w:p>
            <w:r/>
            <w:r>
              <w:rPr>
                <w:rFonts w:ascii="Calibri" w:hAnsi="Calibri"/>
                <w:b w:val="0"/>
                <w:sz w:val="20"/>
              </w:rPr>
              <w:t>Combustion dynamics microphone, vibration monitors</w:t>
            </w:r>
          </w:p>
        </w:tc>
        <w:tc>
          <w:tcPr>
            <w:tcW w:type="dxa" w:w="3312"/>
            <w:vAlign w:val="center"/>
          </w:tcPr>
          <w:p>
            <w:r/>
            <w:r>
              <w:rPr>
                <w:rFonts w:ascii="Calibri" w:hAnsi="Calibri"/>
                <w:b w:val="0"/>
                <w:sz w:val="20"/>
              </w:rPr>
              <w:t>Improves oscillation detection; optional but valuable.</w:t>
            </w:r>
          </w:p>
        </w:tc>
      </w:tr>
      <w:tr>
        <w:tc>
          <w:tcPr>
            <w:tcW w:type="dxa" w:w="1872"/>
            <w:vAlign w:val="center"/>
          </w:tcPr>
          <w:p>
            <w:r/>
            <w:r>
              <w:rPr>
                <w:rFonts w:ascii="Calibri" w:hAnsi="Calibri"/>
                <w:b w:val="0"/>
                <w:sz w:val="20"/>
              </w:rPr>
              <w:t>Actuator States</w:t>
            </w:r>
          </w:p>
        </w:tc>
        <w:tc>
          <w:tcPr>
            <w:tcW w:type="dxa" w:w="4608"/>
            <w:vAlign w:val="center"/>
          </w:tcPr>
          <w:p>
            <w:r/>
            <w:r>
              <w:rPr>
                <w:rFonts w:ascii="Calibri" w:hAnsi="Calibri"/>
                <w:b w:val="0"/>
                <w:sz w:val="20"/>
              </w:rPr>
              <w:t>Valve positions, controller outputs, setpoints, mode (auto/manual)</w:t>
            </w:r>
          </w:p>
        </w:tc>
        <w:tc>
          <w:tcPr>
            <w:tcW w:type="dxa" w:w="3312"/>
            <w:vAlign w:val="center"/>
          </w:tcPr>
          <w:p>
            <w:r/>
            <w:r>
              <w:rPr>
                <w:rFonts w:ascii="Calibri" w:hAnsi="Calibri"/>
                <w:b w:val="0"/>
                <w:sz w:val="20"/>
              </w:rPr>
              <w:t>Needed for bumpless transfer and rate limiting.</w:t>
            </w:r>
          </w:p>
        </w:tc>
      </w:tr>
      <w:tr>
        <w:tc>
          <w:tcPr>
            <w:tcW w:type="dxa" w:w="1872"/>
            <w:vAlign w:val="center"/>
          </w:tcPr>
          <w:p>
            <w:r/>
            <w:r>
              <w:rPr>
                <w:rFonts w:ascii="Calibri" w:hAnsi="Calibri"/>
                <w:b w:val="0"/>
                <w:sz w:val="20"/>
              </w:rPr>
              <w:t>Trips/Alarms/Events</w:t>
            </w:r>
          </w:p>
        </w:tc>
        <w:tc>
          <w:tcPr>
            <w:tcW w:type="dxa" w:w="4608"/>
            <w:vAlign w:val="center"/>
          </w:tcPr>
          <w:p>
            <w:r/>
            <w:r>
              <w:rPr>
                <w:rFonts w:ascii="Calibri" w:hAnsi="Calibri"/>
                <w:b w:val="0"/>
                <w:sz w:val="20"/>
              </w:rPr>
              <w:t>BMS permissives, trips, alarms, operator actions</w:t>
            </w:r>
          </w:p>
        </w:tc>
        <w:tc>
          <w:tcPr>
            <w:tcW w:type="dxa" w:w="3312"/>
            <w:vAlign w:val="center"/>
          </w:tcPr>
          <w:p>
            <w:r/>
            <w:r>
              <w:rPr>
                <w:rFonts w:ascii="Calibri" w:hAnsi="Calibri"/>
                <w:b w:val="0"/>
                <w:sz w:val="20"/>
              </w:rPr>
              <w:t>Needed for labeling instability events and evaluation.</w:t>
            </w:r>
          </w:p>
        </w:tc>
      </w:tr>
    </w:tbl>
    <w:p>
      <w:pPr>
        <w:pStyle w:val="Heading2"/>
      </w:pPr>
      <w:r>
        <w:t>6.2 Sampling rates and retention</w:t>
      </w:r>
    </w:p>
    <w:p>
      <w:r>
        <w:t>Sampling and retention must support both control/inference and model development. Recommended minima (site dependent):</w:t>
      </w:r>
    </w:p>
    <w:p>
      <w:pPr>
        <w:pStyle w:val="ListBullet"/>
      </w:pPr>
      <w:r>
        <w:t>Controls-level: 1-5 second samples for fuel/air/actuators/duty proxies; 5-30 seconds for analyzers depending on response time.</w:t>
      </w:r>
    </w:p>
    <w:p>
      <w:pPr>
        <w:pStyle w:val="ListBullet"/>
      </w:pPr>
      <w:r>
        <w:t>Events/alarms: event-based capture with timestamps and state transitions.</w:t>
      </w:r>
    </w:p>
    <w:p>
      <w:pPr>
        <w:pStyle w:val="ListBullet"/>
      </w:pPr>
      <w:r>
        <w:t>Historian retention: raw or high-resolution for at least 6-12 months; aggregated (1-min/5-min) for multi-year trend analysis.</w:t>
      </w:r>
    </w:p>
    <w:p>
      <w:pPr>
        <w:pStyle w:val="ListBullet"/>
      </w:pPr>
      <w:r>
        <w:t>Time sync: NTP/PTP alignment across OT systems; record source timestamps and ingestion timestamps.</w:t>
      </w:r>
    </w:p>
    <w:p>
      <w:pPr>
        <w:pStyle w:val="Heading2"/>
      </w:pPr>
      <w:r>
        <w:t>6.3 Data quality requirements</w:t>
      </w:r>
    </w:p>
    <w:p>
      <w:pPr>
        <w:pStyle w:val="ListBullet"/>
      </w:pPr>
      <w:r>
        <w:t>Signal validation flags: good/bad/uncertain; stale detection; range checks; rate-of-change checks.</w:t>
      </w:r>
    </w:p>
    <w:p>
      <w:pPr>
        <w:pStyle w:val="ListBullet"/>
      </w:pPr>
      <w:r>
        <w:t>Analyzer validation: calibration events and drift tracking; auto-reject implausible spikes.</w:t>
      </w:r>
    </w:p>
    <w:p>
      <w:pPr>
        <w:pStyle w:val="ListBullet"/>
      </w:pPr>
      <w:r>
        <w:t>Unit normalization: consistent engineering units; document conversions (e.g., Nm3/h vs scfm).</w:t>
      </w:r>
    </w:p>
    <w:p>
      <w:pPr>
        <w:pStyle w:val="ListBullet"/>
      </w:pPr>
      <w:r>
        <w:t>Context metadata: burner type, fuel type, burner count, control strategy, maintenance changes, operating limits.</w:t>
      </w:r>
    </w:p>
    <w:p>
      <w:pPr>
        <w:pStyle w:val="Heading1"/>
      </w:pPr>
      <w:r>
        <w:t>7. Derived Variables and Feature Engineering (AI/ML + Engineering)</w:t>
      </w:r>
    </w:p>
    <w:p>
      <w:r>
        <w:t>Derived variables standardize the optimization problem across sites while preserving physics.</w:t>
      </w:r>
    </w:p>
    <w:p>
      <w:pPr>
        <w:pStyle w:val="Heading2"/>
      </w:pPr>
      <w:r>
        <w:t>7.1 Core combustion variables</w:t>
      </w:r>
    </w:p>
    <w:p>
      <w:pPr>
        <w:pStyle w:val="ListBullet"/>
      </w:pPr>
      <w:r>
        <w:t>Air-fuel ratio (AF) and stoichiometric air requirement (AF_stoich) based on fuel composition or assumed fuel.</w:t>
      </w:r>
    </w:p>
    <w:p>
      <w:pPr>
        <w:pStyle w:val="ListBullet"/>
      </w:pPr>
      <w:r>
        <w:t>Lambda (lambda) = AF / AF_stoich; Excess air (%) = (lambda - 1) * 100.</w:t>
      </w:r>
    </w:p>
    <w:p>
      <w:pPr>
        <w:pStyle w:val="ListBullet"/>
      </w:pPr>
      <w:r>
        <w:t>Excess O2 estimate from lambda and flue gas model; reconcile with analyzer O2 when available.</w:t>
      </w:r>
    </w:p>
    <w:p>
      <w:pPr>
        <w:pStyle w:val="ListBullet"/>
      </w:pPr>
      <w:r>
        <w:t>Heat input (HHV/LHV-based) = fuel_flow * heating_value.</w:t>
      </w:r>
    </w:p>
    <w:p>
      <w:pPr>
        <w:pStyle w:val="ListBullet"/>
      </w:pPr>
      <w:r>
        <w:t>Stack loss estimate using flue gas temperature, excess air, and fuel properties.</w:t>
      </w:r>
    </w:p>
    <w:p>
      <w:pPr>
        <w:pStyle w:val="ListBullet"/>
      </w:pPr>
      <w:r>
        <w:t>Stability indicators: flame signal statistics, short-term variance in O2/pressure, acoustic metrics, controller oscillation metrics.</w:t>
      </w:r>
    </w:p>
    <w:p>
      <w:pPr>
        <w:pStyle w:val="Heading2"/>
      </w:pPr>
      <w:r>
        <w:t>7.2 Operating envelope features</w:t>
      </w:r>
    </w:p>
    <w:p>
      <w:pPr>
        <w:pStyle w:val="ListBullet"/>
      </w:pPr>
      <w:r>
        <w:t>Normalized load = duty / design_duty; normalized air and fuel flows.</w:t>
      </w:r>
    </w:p>
    <w:p>
      <w:pPr>
        <w:pStyle w:val="ListBullet"/>
      </w:pPr>
      <w:r>
        <w:t>Turndown ratio = current_load / minimum_stable_load.</w:t>
      </w:r>
    </w:p>
    <w:p>
      <w:pPr>
        <w:pStyle w:val="ListBullet"/>
      </w:pPr>
      <w:r>
        <w:t>Constraint margins: distance-to-limit for O2/CO/NOx/draft, and actuator saturation margins.</w:t>
      </w:r>
    </w:p>
    <w:p>
      <w:pPr>
        <w:pStyle w:val="ListBullet"/>
      </w:pPr>
      <w:r>
        <w:t>Regime features: season/ambient effects, air temperature, humidity (if relevant).</w:t>
      </w:r>
    </w:p>
    <w:p>
      <w:pPr>
        <w:pStyle w:val="Heading1"/>
      </w:pPr>
      <w:r>
        <w:t>8. Modeling and Optimization Approach</w:t>
      </w:r>
    </w:p>
    <w:p>
      <w:r>
        <w:t>GL-004 within GL-018 should use a hybrid approach: physics-informed features and constraints, ML models for difficult-to-model relationships, and a constrained optimizer to propose setpoints.</w:t>
      </w:r>
    </w:p>
    <w:p>
      <w:pPr>
        <w:pStyle w:val="Heading2"/>
      </w:pPr>
      <w:r>
        <w:t>8.1 Model components</w:t>
      </w:r>
    </w:p>
    <w:p>
      <w:pPr>
        <w:pStyle w:val="ListBullet"/>
      </w:pPr>
      <w:r>
        <w:t>Soft sensors: infer fuel quality (e.g., Wobbe index), unmeasured excess air, or heat duty when direct measurement is weak.</w:t>
      </w:r>
    </w:p>
    <w:p>
      <w:pPr>
        <w:pStyle w:val="ListBullet"/>
      </w:pPr>
      <w:r>
        <w:t>Stability classifier/regressor: predict instability risk given operating point and recent dynamics.</w:t>
      </w:r>
    </w:p>
    <w:p>
      <w:pPr>
        <w:pStyle w:val="ListBullet"/>
      </w:pPr>
      <w:r>
        <w:t>Emissions predictors: NOx and CO models conditioned on load, excess air, and temperatures.</w:t>
      </w:r>
    </w:p>
    <w:p>
      <w:pPr>
        <w:pStyle w:val="ListBullet"/>
      </w:pPr>
      <w:r>
        <w:t>Surrogate performance model: predict efficiency/fuel rate as function of setpoints and disturbances.</w:t>
      </w:r>
    </w:p>
    <w:p>
      <w:pPr>
        <w:pStyle w:val="Heading2"/>
      </w:pPr>
      <w:r>
        <w:t>8.2 Optimization layer</w:t>
      </w:r>
    </w:p>
    <w:p>
      <w:r>
        <w:t>Formulate a multi-objective constrained optimization problem:</w:t>
      </w:r>
    </w:p>
    <w:p>
      <w:r>
        <w:t>Minimize: (fuel_cost * fuel_rate) + (emissions_cost * NOx) + (CO_penalty * max(0, CO - CO_limit)) + (stability_penalty * instability_risk) + (move_penalty * actuator_moves) subject to: duty constraint, hard safety limits, actuator bounds, and rate limits.</w:t>
      </w:r>
    </w:p>
    <w:p>
      <w:pPr>
        <w:pStyle w:val="Heading2"/>
      </w:pPr>
      <w:r>
        <w:t>8.3 Control integration strategy</w:t>
      </w:r>
    </w:p>
    <w:p>
      <w:pPr>
        <w:pStyle w:val="ListBullet"/>
      </w:pPr>
      <w:r>
        <w:t>Preferred: supervisory setpoint optimization feeding existing PID/MPC loops (optimizer recommends O2 trim bias, air/fuel ratio targets, and load-dependent schedules).</w:t>
      </w:r>
    </w:p>
    <w:p>
      <w:pPr>
        <w:pStyle w:val="ListBullet"/>
      </w:pPr>
      <w:r>
        <w:t>Optional: model-predictive control (MPC) for coordinated air and fuel moves where site control maturity supports it.</w:t>
      </w:r>
    </w:p>
    <w:p>
      <w:pPr>
        <w:pStyle w:val="ListBullet"/>
      </w:pPr>
      <w:r>
        <w:t>Avoid direct manipulation of BMS logic; use BMS status only as constraints and permissives.</w:t>
      </w:r>
    </w:p>
    <w:p>
      <w:pPr>
        <w:pStyle w:val="Heading1"/>
      </w:pPr>
      <w:r>
        <w:t>9. Mathematics Reference (Engineering + AI/ML)</w:t>
      </w:r>
    </w:p>
    <w:p>
      <w:pPr>
        <w:pStyle w:val="Heading2"/>
      </w:pPr>
      <w:r>
        <w:t>9.1 Stoichiometry and lambda</w:t>
      </w:r>
    </w:p>
    <w:p>
      <w:r>
        <w:t>For a fuel mixture, compute stoichiometric oxygen and air requirement from composition. For practical implementation, provide two tiers:</w:t>
      </w:r>
    </w:p>
    <w:p>
      <w:pPr>
        <w:pStyle w:val="ListBullet"/>
      </w:pPr>
      <w:r>
        <w:t>Tier 1 (composition available): compute AF_stoich from gas chromatograph (GC) or fuel specification.</w:t>
      </w:r>
    </w:p>
    <w:p>
      <w:pPr>
        <w:pStyle w:val="ListBullet"/>
      </w:pPr>
      <w:r>
        <w:t>Tier 2 (composition unknown): assume nominal fuel and estimate deviations with a soft sensor using O2/CO and heat balance.</w:t>
      </w:r>
    </w:p>
    <w:p>
      <w:r>
        <w:t>Key definitions: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val="clear" w:color="auto" w:fill="E7E6E6"/>
          </w:tcPr>
          <w:p>
            <w:r/>
            <w:r>
              <w:rPr>
                <w:rFonts w:ascii="Calibri" w:hAnsi="Calibri"/>
                <w:b/>
                <w:sz w:val="20"/>
              </w:rPr>
              <w:t>Quantity</w:t>
            </w:r>
          </w:p>
        </w:tc>
        <w:tc>
          <w:tcPr>
            <w:tcW w:type="dxa" w:w="6624"/>
            <w:vAlign w:val="center"/>
            <w:shd w:val="clear" w:color="auto" w:fill="E7E6E6"/>
          </w:tcPr>
          <w:p>
            <w:r/>
            <w:r>
              <w:rPr>
                <w:rFonts w:ascii="Calibri" w:hAnsi="Calibri"/>
                <w:b/>
                <w:sz w:val="20"/>
              </w:rPr>
              <w:t>Definition</w:t>
            </w:r>
          </w:p>
        </w:tc>
      </w:tr>
      <w:tr>
        <w:tc>
          <w:tcPr>
            <w:tcW w:type="dxa" w:w="3168"/>
            <w:vAlign w:val="center"/>
          </w:tcPr>
          <w:p>
            <w:r/>
            <w:r>
              <w:rPr>
                <w:rFonts w:ascii="Calibri" w:hAnsi="Calibri"/>
                <w:b w:val="0"/>
                <w:sz w:val="20"/>
              </w:rPr>
              <w:t>Lambda (lambda)</w:t>
            </w:r>
          </w:p>
        </w:tc>
        <w:tc>
          <w:tcPr>
            <w:tcW w:type="dxa" w:w="6624"/>
            <w:vAlign w:val="center"/>
          </w:tcPr>
          <w:p>
            <w:r/>
            <w:r>
              <w:rPr>
                <w:rFonts w:ascii="Calibri" w:hAnsi="Calibri"/>
                <w:b w:val="0"/>
                <w:sz w:val="20"/>
              </w:rPr>
              <w:t>lambda = AF / AF_stoich</w:t>
            </w:r>
          </w:p>
        </w:tc>
      </w:tr>
      <w:tr>
        <w:tc>
          <w:tcPr>
            <w:tcW w:type="dxa" w:w="3168"/>
            <w:vAlign w:val="center"/>
          </w:tcPr>
          <w:p>
            <w:r/>
            <w:r>
              <w:rPr>
                <w:rFonts w:ascii="Calibri" w:hAnsi="Calibri"/>
                <w:b w:val="0"/>
                <w:sz w:val="20"/>
              </w:rPr>
              <w:t>Excess air (%)</w:t>
            </w:r>
          </w:p>
        </w:tc>
        <w:tc>
          <w:tcPr>
            <w:tcW w:type="dxa" w:w="6624"/>
            <w:vAlign w:val="center"/>
          </w:tcPr>
          <w:p>
            <w:r/>
            <w:r>
              <w:rPr>
                <w:rFonts w:ascii="Calibri" w:hAnsi="Calibri"/>
                <w:b w:val="0"/>
                <w:sz w:val="20"/>
              </w:rPr>
              <w:t>(lambda - 1) * 100</w:t>
            </w:r>
          </w:p>
        </w:tc>
      </w:tr>
      <w:tr>
        <w:tc>
          <w:tcPr>
            <w:tcW w:type="dxa" w:w="3168"/>
            <w:vAlign w:val="center"/>
          </w:tcPr>
          <w:p>
            <w:r/>
            <w:r>
              <w:rPr>
                <w:rFonts w:ascii="Calibri" w:hAnsi="Calibri"/>
                <w:b w:val="0"/>
                <w:sz w:val="20"/>
              </w:rPr>
              <w:t>Combustion efficiency (proxy)</w:t>
            </w:r>
          </w:p>
        </w:tc>
        <w:tc>
          <w:tcPr>
            <w:tcW w:type="dxa" w:w="6624"/>
            <w:vAlign w:val="center"/>
          </w:tcPr>
          <w:p>
            <w:r/>
            <w:r>
              <w:rPr>
                <w:rFonts w:ascii="Calibri" w:hAnsi="Calibri"/>
                <w:b w:val="0"/>
                <w:sz w:val="20"/>
              </w:rPr>
              <w:t>1 - (stack_loss + unburned_loss) / heat_input</w:t>
            </w:r>
          </w:p>
        </w:tc>
      </w:tr>
      <w:tr>
        <w:tc>
          <w:tcPr>
            <w:tcW w:type="dxa" w:w="3168"/>
            <w:vAlign w:val="center"/>
          </w:tcPr>
          <w:p>
            <w:r/>
            <w:r>
              <w:rPr>
                <w:rFonts w:ascii="Calibri" w:hAnsi="Calibri"/>
                <w:b w:val="0"/>
                <w:sz w:val="20"/>
              </w:rPr>
              <w:t>Constraint margin</w:t>
            </w:r>
          </w:p>
        </w:tc>
        <w:tc>
          <w:tcPr>
            <w:tcW w:type="dxa" w:w="6624"/>
            <w:vAlign w:val="center"/>
          </w:tcPr>
          <w:p>
            <w:r/>
            <w:r>
              <w:rPr>
                <w:rFonts w:ascii="Calibri" w:hAnsi="Calibri"/>
                <w:b w:val="0"/>
                <w:sz w:val="20"/>
              </w:rPr>
              <w:t>margin = limit - measured (or predicted) value</w:t>
            </w:r>
          </w:p>
        </w:tc>
      </w:tr>
    </w:tbl>
    <w:p>
      <w:pPr>
        <w:pStyle w:val="Heading2"/>
      </w:pPr>
      <w:r>
        <w:t>9.2 Objective functions and constraints</w:t>
      </w:r>
    </w:p>
    <w:p>
      <w:r>
        <w:t>Optimization is performed over manipulated variables u (e.g., air flow setpoint, O2 trim bias, fuel bias) to optimize cost J(u) while satisfying constraints g(u) &lt;= 0 and equality constraints h(u) = 0.</w:t>
      </w:r>
    </w:p>
    <w:p>
      <w:pPr>
        <w:pStyle w:val="ListBullet"/>
      </w:pPr>
      <w:r>
        <w:t>J(u) includes fuel cost, emissions penalties, instability risk, and actuator move penalties.</w:t>
      </w:r>
    </w:p>
    <w:p>
      <w:pPr>
        <w:pStyle w:val="ListBullet"/>
      </w:pPr>
      <w:r>
        <w:t>g(u) covers O2/CO/NOx limits, draft limits, minimum air, fan/valve saturation, and turndown boundaries.</w:t>
      </w:r>
    </w:p>
    <w:p>
      <w:pPr>
        <w:pStyle w:val="ListBullet"/>
      </w:pPr>
      <w:r>
        <w:t>h(u) enforces duty/heat input requirements (within tolerance) and balance relations where applicable.</w:t>
      </w:r>
    </w:p>
    <w:p>
      <w:pPr>
        <w:pStyle w:val="Heading2"/>
      </w:pPr>
      <w:r>
        <w:t>9.3 Handling nonlinearity and uncertainty</w:t>
      </w:r>
    </w:p>
    <w:p>
      <w:pPr>
        <w:pStyle w:val="ListBullet"/>
      </w:pPr>
      <w:r>
        <w:t>Use robust constraints (safety margins) to account for model uncertainty and sensor errors.</w:t>
      </w:r>
    </w:p>
    <w:p>
      <w:pPr>
        <w:pStyle w:val="ListBullet"/>
      </w:pPr>
      <w:r>
        <w:t>Use scenario evaluation for disturbances (fuel quality shifts, ambient air temp, load changes).</w:t>
      </w:r>
    </w:p>
    <w:p>
      <w:pPr>
        <w:pStyle w:val="ListBullet"/>
      </w:pPr>
      <w:r>
        <w:t>Prefer convex approximations where possible; otherwise apply safe local search with constraint projection.</w:t>
      </w:r>
    </w:p>
    <w:p>
      <w:pPr>
        <w:pStyle w:val="Heading1"/>
      </w:pPr>
      <w:r>
        <w:t>10. Thermal and Process Requirements</w:t>
      </w:r>
    </w:p>
    <w:p>
      <w:pPr>
        <w:pStyle w:val="Heading2"/>
      </w:pPr>
      <w:r>
        <w:t>10.1 Duty and heat transfer considerations</w:t>
      </w:r>
    </w:p>
    <w:p>
      <w:pPr>
        <w:pStyle w:val="ListBullet"/>
      </w:pPr>
      <w:r>
        <w:t>Define the primary duty KPI per unit (e.g., outlet temperature, steam production, heat duty).</w:t>
      </w:r>
    </w:p>
    <w:p>
      <w:pPr>
        <w:pStyle w:val="ListBullet"/>
      </w:pPr>
      <w:r>
        <w:t>Identify constraints that limit duty changes: tube metal temperature, bridgewall temperature, steam drum constraints, refractory limits.</w:t>
      </w:r>
    </w:p>
    <w:p>
      <w:pPr>
        <w:pStyle w:val="ListBullet"/>
      </w:pPr>
      <w:r>
        <w:t>Quantify stack losses and air preheat benefits (if air preheater/recuperator exists).</w:t>
      </w:r>
    </w:p>
    <w:p>
      <w:pPr>
        <w:pStyle w:val="Heading2"/>
      </w:pPr>
      <w:r>
        <w:t>10.2 Turndown requirements</w:t>
      </w:r>
    </w:p>
    <w:p>
      <w:r>
        <w:t>Turndown optimization requires a validated minimum stable load. The optimizer must learn or be provided:</w:t>
      </w:r>
    </w:p>
    <w:p>
      <w:pPr>
        <w:pStyle w:val="ListBullet"/>
      </w:pPr>
      <w:r>
        <w:t>Minimum stable firing per burner and per unit (including seasonal/ambient dependencies).</w:t>
      </w:r>
    </w:p>
    <w:p>
      <w:pPr>
        <w:pStyle w:val="ListBullet"/>
      </w:pPr>
      <w:r>
        <w:t>Required purge/combustion air minimums and draft requirements.</w:t>
      </w:r>
    </w:p>
    <w:p>
      <w:pPr>
        <w:pStyle w:val="ListBullet"/>
      </w:pPr>
      <w:r>
        <w:t>Allowed burner staging patterns (if multiple burners) and rules for light-off/shutdown.</w:t>
      </w:r>
    </w:p>
    <w:p>
      <w:pPr>
        <w:pStyle w:val="Heading2"/>
      </w:pPr>
      <w:r>
        <w:t>10.3 Fuel switching and variability</w:t>
      </w:r>
    </w:p>
    <w:p>
      <w:pPr>
        <w:pStyle w:val="ListBullet"/>
      </w:pPr>
      <w:r>
        <w:t>Support multiple fuel types (natural gas, refinery gas, hydrogen blends, liquid fuels) if applicable.</w:t>
      </w:r>
    </w:p>
    <w:p>
      <w:pPr>
        <w:pStyle w:val="ListBullet"/>
      </w:pPr>
      <w:r>
        <w:t>Account for Wobbe index changes, heating value changes, and supply pressure constraints.</w:t>
      </w:r>
    </w:p>
    <w:p>
      <w:pPr>
        <w:pStyle w:val="ListBullet"/>
      </w:pPr>
      <w:r>
        <w:t>Implement conservative transitions and re-identification routines when fuel changes are detected.</w:t>
      </w:r>
    </w:p>
    <w:p>
      <w:pPr>
        <w:pStyle w:val="Heading1"/>
      </w:pPr>
      <w:r>
        <w:t>11. Integration and Interfaces (Software + Controls + OT)</w:t>
      </w:r>
    </w:p>
    <w:p>
      <w:pPr>
        <w:pStyle w:val="Heading2"/>
      </w:pPr>
      <w:r>
        <w:t>11.1 Data plane</w:t>
      </w:r>
    </w:p>
    <w:p>
      <w:pPr>
        <w:pStyle w:val="ListBullet"/>
      </w:pPr>
      <w:r>
        <w:t>Historian connector: high-frequency tag read with quality codes; backfill support.</w:t>
      </w:r>
    </w:p>
    <w:p>
      <w:pPr>
        <w:pStyle w:val="ListBullet"/>
      </w:pPr>
      <w:r>
        <w:t>Streaming layer: edge buffer with exactly-once semantics where possible; time-aligned feature computation.</w:t>
      </w:r>
    </w:p>
    <w:p>
      <w:pPr>
        <w:pStyle w:val="ListBullet"/>
      </w:pPr>
      <w:r>
        <w:t>Metadata store: unit configuration, tag mapping, limits, and calibration schedules.</w:t>
      </w:r>
    </w:p>
    <w:p>
      <w:pPr>
        <w:pStyle w:val="Heading2"/>
      </w:pPr>
      <w:r>
        <w:t>11.2 Control plane</w:t>
      </w:r>
    </w:p>
    <w:p>
      <w:pPr>
        <w:pStyle w:val="ListBullet"/>
      </w:pPr>
      <w:r>
        <w:t>Write interface: bounded setpoint writes (e.g., O2 setpoint, trim bias, air/fuel ratio target) with audit logs.</w:t>
      </w:r>
    </w:p>
    <w:p>
      <w:pPr>
        <w:pStyle w:val="ListBullet"/>
      </w:pPr>
      <w:r>
        <w:t>Handshake protocol: verify DCS mode, operator permission, and permissives before writes.</w:t>
      </w:r>
    </w:p>
    <w:p>
      <w:pPr>
        <w:pStyle w:val="ListBullet"/>
      </w:pPr>
      <w:r>
        <w:t>Bumpless transfer: ramped transitions, respect PID integral windup, and enforce rate limits.</w:t>
      </w:r>
    </w:p>
    <w:p>
      <w:pPr>
        <w:pStyle w:val="Heading2"/>
      </w:pPr>
      <w:r>
        <w:t>11.3 Operator experience</w:t>
      </w:r>
    </w:p>
    <w:p>
      <w:pPr>
        <w:pStyle w:val="ListBullet"/>
      </w:pPr>
      <w:r>
        <w:t>Operator display: current KPIs, recommended setpoints, stability risk, constraint margins, and expected impact.</w:t>
      </w:r>
    </w:p>
    <w:p>
      <w:pPr>
        <w:pStyle w:val="ListBullet"/>
      </w:pPr>
      <w:r>
        <w:t>Engineering display: trends, residuals, feature contributions, alarms for data/model quality.</w:t>
      </w:r>
    </w:p>
    <w:p>
      <w:pPr>
        <w:pStyle w:val="ListBullet"/>
      </w:pPr>
      <w:r>
        <w:t>Event review: correlate optimizer actions with alarms/trips and process outcomes.</w:t>
      </w:r>
    </w:p>
    <w:p>
      <w:pPr>
        <w:pStyle w:val="Heading1"/>
      </w:pPr>
      <w:r>
        <w:t>12. What Each Team Must Do (Execution Plan)</w:t>
      </w:r>
    </w:p>
    <w:p>
      <w:r>
        <w:t>This section is the actionable work plan. Each team is accountable for deliverables that collectively implement GL-004 within GL-018.</w:t>
      </w:r>
    </w:p>
    <w:p>
      <w:pPr>
        <w:pStyle w:val="Heading2"/>
      </w:pPr>
      <w:r>
        <w:t>12.1 RACI matrix (summary)</w:t>
      </w:r>
    </w:p>
    <w:p>
      <w:pPr>
        <w:sectPr>
          <w:headerReference w:type="default" r:id="rId9"/>
          <w:footerReference w:type="default" r:id="rId10"/>
          <w:pgSz w:w="12240" w:h="15840"/>
          <w:pgMar w:top="1440" w:right="1440" w:bottom="1440" w:left="1440" w:header="720" w:footer="720" w:gutter="0"/>
          <w:cols w:space="720"/>
          <w:docGrid w:linePitch="360"/>
        </w:sectPr>
      </w:pPr>
    </w:p>
    <w:p>
      <w:r>
        <w:rPr>
          <w:b/>
        </w:rPr>
        <w:t>RACI matrix (summary)</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tblGrid>
      <w:tr>
        <w:tc>
          <w:tcPr>
            <w:tcW w:type="dxa" w:w="4032"/>
            <w:vAlign w:val="center"/>
            <w:shd w:val="clear" w:color="auto" w:fill="E7E6E6"/>
          </w:tcPr>
          <w:p>
            <w:r/>
            <w:r>
              <w:rPr>
                <w:rFonts w:ascii="Calibri" w:hAnsi="Calibri"/>
                <w:b/>
                <w:sz w:val="18"/>
              </w:rPr>
              <w:t>Workstream</w:t>
            </w:r>
          </w:p>
        </w:tc>
        <w:tc>
          <w:tcPr>
            <w:tcW w:type="dxa" w:w="1224"/>
            <w:vAlign w:val="center"/>
            <w:shd w:val="clear" w:color="auto" w:fill="E7E6E6"/>
          </w:tcPr>
          <w:p>
            <w:r/>
            <w:r>
              <w:rPr>
                <w:rFonts w:ascii="Calibri" w:hAnsi="Calibri"/>
                <w:b/>
                <w:sz w:val="18"/>
              </w:rPr>
              <w:t>AI/ML</w:t>
            </w:r>
          </w:p>
        </w:tc>
        <w:tc>
          <w:tcPr>
            <w:tcW w:type="dxa" w:w="1512"/>
            <w:vAlign w:val="center"/>
            <w:shd w:val="clear" w:color="auto" w:fill="E7E6E6"/>
          </w:tcPr>
          <w:p>
            <w:r/>
            <w:r>
              <w:rPr>
                <w:rFonts w:ascii="Calibri" w:hAnsi="Calibri"/>
                <w:b/>
                <w:sz w:val="18"/>
              </w:rPr>
              <w:t>Software Dev</w:t>
            </w:r>
          </w:p>
        </w:tc>
        <w:tc>
          <w:tcPr>
            <w:tcW w:type="dxa" w:w="1440"/>
            <w:vAlign w:val="center"/>
            <w:shd w:val="clear" w:color="auto" w:fill="E7E6E6"/>
          </w:tcPr>
          <w:p>
            <w:r/>
            <w:r>
              <w:rPr>
                <w:rFonts w:ascii="Calibri" w:hAnsi="Calibri"/>
                <w:b/>
                <w:sz w:val="18"/>
              </w:rPr>
              <w:t>Controls Eng</w:t>
            </w:r>
          </w:p>
        </w:tc>
        <w:tc>
          <w:tcPr>
            <w:tcW w:type="dxa" w:w="1512"/>
            <w:vAlign w:val="center"/>
            <w:shd w:val="clear" w:color="auto" w:fill="E7E6E6"/>
          </w:tcPr>
          <w:p>
            <w:r/>
            <w:r>
              <w:rPr>
                <w:rFonts w:ascii="Calibri" w:hAnsi="Calibri"/>
                <w:b/>
                <w:sz w:val="18"/>
              </w:rPr>
              <w:t>Instrumentation</w:t>
            </w:r>
          </w:p>
        </w:tc>
        <w:tc>
          <w:tcPr>
            <w:tcW w:type="dxa" w:w="1800"/>
            <w:vAlign w:val="center"/>
            <w:shd w:val="clear" w:color="auto" w:fill="E7E6E6"/>
          </w:tcPr>
          <w:p>
            <w:r/>
            <w:r>
              <w:rPr>
                <w:rFonts w:ascii="Calibri" w:hAnsi="Calibri"/>
                <w:b/>
                <w:sz w:val="18"/>
              </w:rPr>
              <w:t>Process/Thermal Eng</w:t>
            </w:r>
          </w:p>
        </w:tc>
        <w:tc>
          <w:tcPr>
            <w:tcW w:type="dxa" w:w="1800"/>
            <w:vAlign w:val="center"/>
            <w:shd w:val="clear" w:color="auto" w:fill="E7E6E6"/>
          </w:tcPr>
          <w:p>
            <w:r/>
            <w:r>
              <w:rPr>
                <w:rFonts w:ascii="Calibri" w:hAnsi="Calibri"/>
                <w:b/>
                <w:sz w:val="18"/>
              </w:rPr>
              <w:t>Climate Intelligence</w:t>
            </w:r>
          </w:p>
        </w:tc>
        <w:tc>
          <w:tcPr>
            <w:tcW w:type="dxa" w:w="1296"/>
            <w:vAlign w:val="center"/>
            <w:shd w:val="clear" w:color="auto" w:fill="E7E6E6"/>
          </w:tcPr>
          <w:p>
            <w:r/>
            <w:r>
              <w:rPr>
                <w:rFonts w:ascii="Calibri" w:hAnsi="Calibri"/>
                <w:b/>
                <w:sz w:val="18"/>
              </w:rPr>
              <w:t>Ops/Site</w:t>
            </w:r>
          </w:p>
        </w:tc>
      </w:tr>
      <w:tr>
        <w:tc>
          <w:tcPr>
            <w:tcW w:type="dxa" w:w="4032"/>
            <w:vAlign w:val="center"/>
          </w:tcPr>
          <w:p>
            <w:r/>
            <w:r>
              <w:rPr>
                <w:rFonts w:ascii="Calibri" w:hAnsi="Calibri"/>
                <w:b w:val="0"/>
                <w:sz w:val="18"/>
              </w:rPr>
              <w:t>Define objectives and constraints</w:t>
            </w:r>
          </w:p>
        </w:tc>
        <w:tc>
          <w:tcPr>
            <w:tcW w:type="dxa" w:w="1224"/>
            <w:vAlign w:val="center"/>
          </w:tcPr>
          <w:p>
            <w:r/>
            <w:r>
              <w:rPr>
                <w:rFonts w:ascii="Calibri" w:hAnsi="Calibri"/>
                <w:b w:val="0"/>
                <w:sz w:val="18"/>
              </w:rPr>
              <w:t>R</w:t>
            </w:r>
          </w:p>
        </w:tc>
        <w:tc>
          <w:tcPr>
            <w:tcW w:type="dxa" w:w="1512"/>
            <w:vAlign w:val="center"/>
          </w:tcPr>
          <w:p>
            <w:r/>
            <w:r>
              <w:rPr>
                <w:rFonts w:ascii="Calibri" w:hAnsi="Calibri"/>
                <w:b w:val="0"/>
                <w:sz w:val="18"/>
              </w:rPr>
              <w:t>C</w:t>
            </w:r>
          </w:p>
        </w:tc>
        <w:tc>
          <w:tcPr>
            <w:tcW w:type="dxa" w:w="1440"/>
            <w:vAlign w:val="center"/>
          </w:tcPr>
          <w:p>
            <w:r/>
            <w:r>
              <w:rPr>
                <w:rFonts w:ascii="Calibri" w:hAnsi="Calibri"/>
                <w:b w:val="0"/>
                <w:sz w:val="18"/>
              </w:rPr>
              <w:t>R</w:t>
            </w:r>
          </w:p>
        </w:tc>
        <w:tc>
          <w:tcPr>
            <w:tcW w:type="dxa" w:w="1512"/>
            <w:vAlign w:val="center"/>
          </w:tcPr>
          <w:p>
            <w:r/>
            <w:r>
              <w:rPr>
                <w:rFonts w:ascii="Calibri" w:hAnsi="Calibri"/>
                <w:b w:val="0"/>
                <w:sz w:val="18"/>
              </w:rPr>
              <w:t>C</w:t>
            </w:r>
          </w:p>
        </w:tc>
        <w:tc>
          <w:tcPr>
            <w:tcW w:type="dxa" w:w="1800"/>
            <w:vAlign w:val="center"/>
          </w:tcPr>
          <w:p>
            <w:r/>
            <w:r>
              <w:rPr>
                <w:rFonts w:ascii="Calibri" w:hAnsi="Calibri"/>
                <w:b w:val="0"/>
                <w:sz w:val="18"/>
              </w:rPr>
              <w:t>R</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C</w:t>
            </w:r>
          </w:p>
        </w:tc>
      </w:tr>
      <w:tr>
        <w:tc>
          <w:tcPr>
            <w:tcW w:type="dxa" w:w="4032"/>
            <w:vAlign w:val="center"/>
          </w:tcPr>
          <w:p>
            <w:r/>
            <w:r>
              <w:rPr>
                <w:rFonts w:ascii="Calibri" w:hAnsi="Calibri"/>
                <w:b w:val="0"/>
                <w:sz w:val="18"/>
              </w:rPr>
              <w:t>Tag mapping and data audit</w:t>
            </w:r>
          </w:p>
        </w:tc>
        <w:tc>
          <w:tcPr>
            <w:tcW w:type="dxa" w:w="1224"/>
            <w:vAlign w:val="center"/>
          </w:tcPr>
          <w:p>
            <w:r/>
            <w:r>
              <w:rPr>
                <w:rFonts w:ascii="Calibri" w:hAnsi="Calibri"/>
                <w:b w:val="0"/>
                <w:sz w:val="18"/>
              </w:rPr>
              <w:t>C</w:t>
            </w:r>
          </w:p>
        </w:tc>
        <w:tc>
          <w:tcPr>
            <w:tcW w:type="dxa" w:w="1512"/>
            <w:vAlign w:val="center"/>
          </w:tcPr>
          <w:p>
            <w:r/>
            <w:r>
              <w:rPr>
                <w:rFonts w:ascii="Calibri" w:hAnsi="Calibri"/>
                <w:b w:val="0"/>
                <w:sz w:val="18"/>
              </w:rPr>
              <w:t>C</w:t>
            </w:r>
          </w:p>
        </w:tc>
        <w:tc>
          <w:tcPr>
            <w:tcW w:type="dxa" w:w="1440"/>
            <w:vAlign w:val="center"/>
          </w:tcPr>
          <w:p>
            <w:r/>
            <w:r>
              <w:rPr>
                <w:rFonts w:ascii="Calibri" w:hAnsi="Calibri"/>
                <w:b w:val="0"/>
                <w:sz w:val="18"/>
              </w:rPr>
              <w:t>R</w:t>
            </w:r>
          </w:p>
        </w:tc>
        <w:tc>
          <w:tcPr>
            <w:tcW w:type="dxa" w:w="1512"/>
            <w:vAlign w:val="center"/>
          </w:tcPr>
          <w:p>
            <w:r/>
            <w:r>
              <w:rPr>
                <w:rFonts w:ascii="Calibri" w:hAnsi="Calibri"/>
                <w:b w:val="0"/>
                <w:sz w:val="18"/>
              </w:rPr>
              <w:t>R</w:t>
            </w:r>
          </w:p>
        </w:tc>
        <w:tc>
          <w:tcPr>
            <w:tcW w:type="dxa" w:w="1800"/>
            <w:vAlign w:val="center"/>
          </w:tcPr>
          <w:p>
            <w:r/>
            <w:r>
              <w:rPr>
                <w:rFonts w:ascii="Calibri" w:hAnsi="Calibri"/>
                <w:b w:val="0"/>
                <w:sz w:val="18"/>
              </w:rPr>
              <w:t>R</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R</w:t>
            </w:r>
          </w:p>
        </w:tc>
      </w:tr>
      <w:tr>
        <w:tc>
          <w:tcPr>
            <w:tcW w:type="dxa" w:w="4032"/>
            <w:vAlign w:val="center"/>
          </w:tcPr>
          <w:p>
            <w:r/>
            <w:r>
              <w:rPr>
                <w:rFonts w:ascii="Calibri" w:hAnsi="Calibri"/>
                <w:b w:val="0"/>
                <w:sz w:val="18"/>
              </w:rPr>
              <w:t>Data pipeline and feature store</w:t>
            </w:r>
          </w:p>
        </w:tc>
        <w:tc>
          <w:tcPr>
            <w:tcW w:type="dxa" w:w="1224"/>
            <w:vAlign w:val="center"/>
          </w:tcPr>
          <w:p>
            <w:r/>
            <w:r>
              <w:rPr>
                <w:rFonts w:ascii="Calibri" w:hAnsi="Calibri"/>
                <w:b w:val="0"/>
                <w:sz w:val="18"/>
              </w:rPr>
              <w:t>R</w:t>
            </w:r>
          </w:p>
        </w:tc>
        <w:tc>
          <w:tcPr>
            <w:tcW w:type="dxa" w:w="1512"/>
            <w:vAlign w:val="center"/>
          </w:tcPr>
          <w:p>
            <w:r/>
            <w:r>
              <w:rPr>
                <w:rFonts w:ascii="Calibri" w:hAnsi="Calibri"/>
                <w:b w:val="0"/>
                <w:sz w:val="18"/>
              </w:rPr>
              <w:t>R</w:t>
            </w:r>
          </w:p>
        </w:tc>
        <w:tc>
          <w:tcPr>
            <w:tcW w:type="dxa" w:w="1440"/>
            <w:vAlign w:val="center"/>
          </w:tcPr>
          <w:p>
            <w:r/>
            <w:r>
              <w:rPr>
                <w:rFonts w:ascii="Calibri" w:hAnsi="Calibri"/>
                <w:b w:val="0"/>
                <w:sz w:val="18"/>
              </w:rPr>
              <w:t>C</w:t>
            </w:r>
          </w:p>
        </w:tc>
        <w:tc>
          <w:tcPr>
            <w:tcW w:type="dxa" w:w="1512"/>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C</w:t>
            </w:r>
          </w:p>
        </w:tc>
      </w:tr>
      <w:tr>
        <w:tc>
          <w:tcPr>
            <w:tcW w:type="dxa" w:w="4032"/>
            <w:vAlign w:val="center"/>
          </w:tcPr>
          <w:p>
            <w:r/>
            <w:r>
              <w:rPr>
                <w:rFonts w:ascii="Calibri" w:hAnsi="Calibri"/>
                <w:b w:val="0"/>
                <w:sz w:val="18"/>
              </w:rPr>
              <w:t>Model development (stability/emissions/performance)</w:t>
            </w:r>
          </w:p>
        </w:tc>
        <w:tc>
          <w:tcPr>
            <w:tcW w:type="dxa" w:w="1224"/>
            <w:vAlign w:val="center"/>
          </w:tcPr>
          <w:p>
            <w:r/>
            <w:r>
              <w:rPr>
                <w:rFonts w:ascii="Calibri" w:hAnsi="Calibri"/>
                <w:b w:val="0"/>
                <w:sz w:val="18"/>
              </w:rPr>
              <w:t>R</w:t>
            </w:r>
          </w:p>
        </w:tc>
        <w:tc>
          <w:tcPr>
            <w:tcW w:type="dxa" w:w="1512"/>
            <w:vAlign w:val="center"/>
          </w:tcPr>
          <w:p>
            <w:r/>
            <w:r>
              <w:rPr>
                <w:rFonts w:ascii="Calibri" w:hAnsi="Calibri"/>
                <w:b w:val="0"/>
                <w:sz w:val="18"/>
              </w:rPr>
              <w:t>C</w:t>
            </w:r>
          </w:p>
        </w:tc>
        <w:tc>
          <w:tcPr>
            <w:tcW w:type="dxa" w:w="1440"/>
            <w:vAlign w:val="center"/>
          </w:tcPr>
          <w:p>
            <w:r/>
            <w:r>
              <w:rPr>
                <w:rFonts w:ascii="Calibri" w:hAnsi="Calibri"/>
                <w:b w:val="0"/>
                <w:sz w:val="18"/>
              </w:rPr>
              <w:t>C</w:t>
            </w:r>
          </w:p>
        </w:tc>
        <w:tc>
          <w:tcPr>
            <w:tcW w:type="dxa" w:w="1512"/>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C</w:t>
            </w:r>
          </w:p>
        </w:tc>
      </w:tr>
      <w:tr>
        <w:tc>
          <w:tcPr>
            <w:tcW w:type="dxa" w:w="4032"/>
            <w:vAlign w:val="center"/>
          </w:tcPr>
          <w:p>
            <w:r/>
            <w:r>
              <w:rPr>
                <w:rFonts w:ascii="Calibri" w:hAnsi="Calibri"/>
                <w:b w:val="0"/>
                <w:sz w:val="18"/>
              </w:rPr>
              <w:t>Control integration (advisory/closed loop)</w:t>
            </w:r>
          </w:p>
        </w:tc>
        <w:tc>
          <w:tcPr>
            <w:tcW w:type="dxa" w:w="1224"/>
            <w:vAlign w:val="center"/>
          </w:tcPr>
          <w:p>
            <w:r/>
            <w:r>
              <w:rPr>
                <w:rFonts w:ascii="Calibri" w:hAnsi="Calibri"/>
                <w:b w:val="0"/>
                <w:sz w:val="18"/>
              </w:rPr>
              <w:t>C</w:t>
            </w:r>
          </w:p>
        </w:tc>
        <w:tc>
          <w:tcPr>
            <w:tcW w:type="dxa" w:w="1512"/>
            <w:vAlign w:val="center"/>
          </w:tcPr>
          <w:p>
            <w:r/>
            <w:r>
              <w:rPr>
                <w:rFonts w:ascii="Calibri" w:hAnsi="Calibri"/>
                <w:b w:val="0"/>
                <w:sz w:val="18"/>
              </w:rPr>
              <w:t>R</w:t>
            </w:r>
          </w:p>
        </w:tc>
        <w:tc>
          <w:tcPr>
            <w:tcW w:type="dxa" w:w="1440"/>
            <w:vAlign w:val="center"/>
          </w:tcPr>
          <w:p>
            <w:r/>
            <w:r>
              <w:rPr>
                <w:rFonts w:ascii="Calibri" w:hAnsi="Calibri"/>
                <w:b w:val="0"/>
                <w:sz w:val="18"/>
              </w:rPr>
              <w:t>R</w:t>
            </w:r>
          </w:p>
        </w:tc>
        <w:tc>
          <w:tcPr>
            <w:tcW w:type="dxa" w:w="1512"/>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R</w:t>
            </w:r>
          </w:p>
        </w:tc>
      </w:tr>
      <w:tr>
        <w:tc>
          <w:tcPr>
            <w:tcW w:type="dxa" w:w="4032"/>
            <w:vAlign w:val="center"/>
          </w:tcPr>
          <w:p>
            <w:r/>
            <w:r>
              <w:rPr>
                <w:rFonts w:ascii="Calibri" w:hAnsi="Calibri"/>
                <w:b w:val="0"/>
                <w:sz w:val="18"/>
              </w:rPr>
              <w:t>Safety review and approvals</w:t>
            </w:r>
          </w:p>
        </w:tc>
        <w:tc>
          <w:tcPr>
            <w:tcW w:type="dxa" w:w="1224"/>
            <w:vAlign w:val="center"/>
          </w:tcPr>
          <w:p>
            <w:r/>
            <w:r>
              <w:rPr>
                <w:rFonts w:ascii="Calibri" w:hAnsi="Calibri"/>
                <w:b w:val="0"/>
                <w:sz w:val="18"/>
              </w:rPr>
              <w:t>C</w:t>
            </w:r>
          </w:p>
        </w:tc>
        <w:tc>
          <w:tcPr>
            <w:tcW w:type="dxa" w:w="1512"/>
            <w:vAlign w:val="center"/>
          </w:tcPr>
          <w:p>
            <w:r/>
            <w:r>
              <w:rPr>
                <w:rFonts w:ascii="Calibri" w:hAnsi="Calibri"/>
                <w:b w:val="0"/>
                <w:sz w:val="18"/>
              </w:rPr>
              <w:t>C</w:t>
            </w:r>
          </w:p>
        </w:tc>
        <w:tc>
          <w:tcPr>
            <w:tcW w:type="dxa" w:w="1440"/>
            <w:vAlign w:val="center"/>
          </w:tcPr>
          <w:p>
            <w:r/>
            <w:r>
              <w:rPr>
                <w:rFonts w:ascii="Calibri" w:hAnsi="Calibri"/>
                <w:b w:val="0"/>
                <w:sz w:val="18"/>
              </w:rPr>
              <w:t>R</w:t>
            </w:r>
          </w:p>
        </w:tc>
        <w:tc>
          <w:tcPr>
            <w:tcW w:type="dxa" w:w="1512"/>
            <w:vAlign w:val="center"/>
          </w:tcPr>
          <w:p>
            <w:r/>
            <w:r>
              <w:rPr>
                <w:rFonts w:ascii="Calibri" w:hAnsi="Calibri"/>
                <w:b w:val="0"/>
                <w:sz w:val="18"/>
              </w:rPr>
              <w:t>R</w:t>
            </w:r>
          </w:p>
        </w:tc>
        <w:tc>
          <w:tcPr>
            <w:tcW w:type="dxa" w:w="1800"/>
            <w:vAlign w:val="center"/>
          </w:tcPr>
          <w:p>
            <w:r/>
            <w:r>
              <w:rPr>
                <w:rFonts w:ascii="Calibri" w:hAnsi="Calibri"/>
                <w:b w:val="0"/>
                <w:sz w:val="18"/>
              </w:rPr>
              <w:t>R</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R</w:t>
            </w:r>
          </w:p>
        </w:tc>
      </w:tr>
      <w:tr>
        <w:tc>
          <w:tcPr>
            <w:tcW w:type="dxa" w:w="4032"/>
            <w:vAlign w:val="center"/>
          </w:tcPr>
          <w:p>
            <w:r/>
            <w:r>
              <w:rPr>
                <w:rFonts w:ascii="Calibri" w:hAnsi="Calibri"/>
                <w:b w:val="0"/>
                <w:sz w:val="18"/>
              </w:rPr>
              <w:t>Emissions KPI and reporting mapping</w:t>
            </w:r>
          </w:p>
        </w:tc>
        <w:tc>
          <w:tcPr>
            <w:tcW w:type="dxa" w:w="1224"/>
            <w:vAlign w:val="center"/>
          </w:tcPr>
          <w:p>
            <w:r/>
            <w:r>
              <w:rPr>
                <w:rFonts w:ascii="Calibri" w:hAnsi="Calibri"/>
                <w:b w:val="0"/>
                <w:sz w:val="18"/>
              </w:rPr>
              <w:t>C</w:t>
            </w:r>
          </w:p>
        </w:tc>
        <w:tc>
          <w:tcPr>
            <w:tcW w:type="dxa" w:w="1512"/>
            <w:vAlign w:val="center"/>
          </w:tcPr>
          <w:p>
            <w:r/>
            <w:r>
              <w:rPr>
                <w:rFonts w:ascii="Calibri" w:hAnsi="Calibri"/>
                <w:b w:val="0"/>
                <w:sz w:val="18"/>
              </w:rPr>
              <w:t>C</w:t>
            </w:r>
          </w:p>
        </w:tc>
        <w:tc>
          <w:tcPr>
            <w:tcW w:type="dxa" w:w="1440"/>
            <w:vAlign w:val="center"/>
          </w:tcPr>
          <w:p>
            <w:r/>
            <w:r>
              <w:rPr>
                <w:rFonts w:ascii="Calibri" w:hAnsi="Calibri"/>
                <w:b w:val="0"/>
                <w:sz w:val="18"/>
              </w:rPr>
              <w:t>C</w:t>
            </w:r>
          </w:p>
        </w:tc>
        <w:tc>
          <w:tcPr>
            <w:tcW w:type="dxa" w:w="1512"/>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800"/>
            <w:vAlign w:val="center"/>
          </w:tcPr>
          <w:p>
            <w:r/>
            <w:r>
              <w:rPr>
                <w:rFonts w:ascii="Calibri" w:hAnsi="Calibri"/>
                <w:b w:val="0"/>
                <w:sz w:val="18"/>
              </w:rPr>
              <w:t>R</w:t>
            </w:r>
          </w:p>
        </w:tc>
        <w:tc>
          <w:tcPr>
            <w:tcW w:type="dxa" w:w="1296"/>
            <w:vAlign w:val="center"/>
          </w:tcPr>
          <w:p>
            <w:r/>
            <w:r>
              <w:rPr>
                <w:rFonts w:ascii="Calibri" w:hAnsi="Calibri"/>
                <w:b w:val="0"/>
                <w:sz w:val="18"/>
              </w:rPr>
              <w:t>C</w:t>
            </w:r>
          </w:p>
        </w:tc>
      </w:tr>
      <w:tr>
        <w:tc>
          <w:tcPr>
            <w:tcW w:type="dxa" w:w="4032"/>
            <w:vAlign w:val="center"/>
          </w:tcPr>
          <w:p>
            <w:r/>
            <w:r>
              <w:rPr>
                <w:rFonts w:ascii="Calibri" w:hAnsi="Calibri"/>
                <w:b w:val="0"/>
                <w:sz w:val="18"/>
              </w:rPr>
              <w:t>Testing: offline, HIL, commissioning</w:t>
            </w:r>
          </w:p>
        </w:tc>
        <w:tc>
          <w:tcPr>
            <w:tcW w:type="dxa" w:w="1224"/>
            <w:vAlign w:val="center"/>
          </w:tcPr>
          <w:p>
            <w:r/>
            <w:r>
              <w:rPr>
                <w:rFonts w:ascii="Calibri" w:hAnsi="Calibri"/>
                <w:b w:val="0"/>
                <w:sz w:val="18"/>
              </w:rPr>
              <w:t>R</w:t>
            </w:r>
          </w:p>
        </w:tc>
        <w:tc>
          <w:tcPr>
            <w:tcW w:type="dxa" w:w="1512"/>
            <w:vAlign w:val="center"/>
          </w:tcPr>
          <w:p>
            <w:r/>
            <w:r>
              <w:rPr>
                <w:rFonts w:ascii="Calibri" w:hAnsi="Calibri"/>
                <w:b w:val="0"/>
                <w:sz w:val="18"/>
              </w:rPr>
              <w:t>R</w:t>
            </w:r>
          </w:p>
        </w:tc>
        <w:tc>
          <w:tcPr>
            <w:tcW w:type="dxa" w:w="1440"/>
            <w:vAlign w:val="center"/>
          </w:tcPr>
          <w:p>
            <w:r/>
            <w:r>
              <w:rPr>
                <w:rFonts w:ascii="Calibri" w:hAnsi="Calibri"/>
                <w:b w:val="0"/>
                <w:sz w:val="18"/>
              </w:rPr>
              <w:t>R</w:t>
            </w:r>
          </w:p>
        </w:tc>
        <w:tc>
          <w:tcPr>
            <w:tcW w:type="dxa" w:w="1512"/>
            <w:vAlign w:val="center"/>
          </w:tcPr>
          <w:p>
            <w:r/>
            <w:r>
              <w:rPr>
                <w:rFonts w:ascii="Calibri" w:hAnsi="Calibri"/>
                <w:b w:val="0"/>
                <w:sz w:val="18"/>
              </w:rPr>
              <w:t>R</w:t>
            </w:r>
          </w:p>
        </w:tc>
        <w:tc>
          <w:tcPr>
            <w:tcW w:type="dxa" w:w="1800"/>
            <w:vAlign w:val="center"/>
          </w:tcPr>
          <w:p>
            <w:r/>
            <w:r>
              <w:rPr>
                <w:rFonts w:ascii="Calibri" w:hAnsi="Calibri"/>
                <w:b w:val="0"/>
                <w:sz w:val="18"/>
              </w:rPr>
              <w:t>R</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R</w:t>
            </w:r>
          </w:p>
        </w:tc>
      </w:tr>
      <w:tr>
        <w:tc>
          <w:tcPr>
            <w:tcW w:type="dxa" w:w="4032"/>
            <w:vAlign w:val="center"/>
          </w:tcPr>
          <w:p>
            <w:r/>
            <w:r>
              <w:rPr>
                <w:rFonts w:ascii="Calibri" w:hAnsi="Calibri"/>
                <w:b w:val="0"/>
                <w:sz w:val="18"/>
              </w:rPr>
              <w:t>Monitoring and sustainment</w:t>
            </w:r>
          </w:p>
        </w:tc>
        <w:tc>
          <w:tcPr>
            <w:tcW w:type="dxa" w:w="1224"/>
            <w:vAlign w:val="center"/>
          </w:tcPr>
          <w:p>
            <w:r/>
            <w:r>
              <w:rPr>
                <w:rFonts w:ascii="Calibri" w:hAnsi="Calibri"/>
                <w:b w:val="0"/>
                <w:sz w:val="18"/>
              </w:rPr>
              <w:t>R</w:t>
            </w:r>
          </w:p>
        </w:tc>
        <w:tc>
          <w:tcPr>
            <w:tcW w:type="dxa" w:w="1512"/>
            <w:vAlign w:val="center"/>
          </w:tcPr>
          <w:p>
            <w:r/>
            <w:r>
              <w:rPr>
                <w:rFonts w:ascii="Calibri" w:hAnsi="Calibri"/>
                <w:b w:val="0"/>
                <w:sz w:val="18"/>
              </w:rPr>
              <w:t>R</w:t>
            </w:r>
          </w:p>
        </w:tc>
        <w:tc>
          <w:tcPr>
            <w:tcW w:type="dxa" w:w="1440"/>
            <w:vAlign w:val="center"/>
          </w:tcPr>
          <w:p>
            <w:r/>
            <w:r>
              <w:rPr>
                <w:rFonts w:ascii="Calibri" w:hAnsi="Calibri"/>
                <w:b w:val="0"/>
                <w:sz w:val="18"/>
              </w:rPr>
              <w:t>C</w:t>
            </w:r>
          </w:p>
        </w:tc>
        <w:tc>
          <w:tcPr>
            <w:tcW w:type="dxa" w:w="1512"/>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800"/>
            <w:vAlign w:val="center"/>
          </w:tcPr>
          <w:p>
            <w:r/>
            <w:r>
              <w:rPr>
                <w:rFonts w:ascii="Calibri" w:hAnsi="Calibri"/>
                <w:b w:val="0"/>
                <w:sz w:val="18"/>
              </w:rPr>
              <w:t>C</w:t>
            </w:r>
          </w:p>
        </w:tc>
        <w:tc>
          <w:tcPr>
            <w:tcW w:type="dxa" w:w="1296"/>
            <w:vAlign w:val="center"/>
          </w:tcPr>
          <w:p>
            <w:r/>
            <w:r>
              <w:rPr>
                <w:rFonts w:ascii="Calibri" w:hAnsi="Calibri"/>
                <w:b w:val="0"/>
                <w:sz w:val="18"/>
              </w:rPr>
              <w:t>R</w:t>
            </w:r>
          </w:p>
        </w:tc>
      </w:tr>
    </w:tbl>
    <w:p>
      <w:r>
        <w:t>Legend: R = Responsible, A = Accountable (implicitly the owning lead per site), C = Consulted.</w:t>
      </w:r>
    </w:p>
    <w:p>
      <w:pPr>
        <w:sectPr>
          <w:pgSz w:w="15840" w:h="12240" w:orient="landscape"/>
          <w:pgMar w:top="1080" w:right="1080" w:bottom="1080" w:left="1080" w:header="720" w:footer="720" w:gutter="0"/>
          <w:cols w:space="720"/>
          <w:docGrid w:linePitch="360"/>
        </w:sectPr>
      </w:pPr>
    </w:p>
    <w:p>
      <w:pPr>
        <w:pStyle w:val="Heading2"/>
      </w:pPr>
      <w:r>
        <w:t>12.2 AI/ML team deliverables</w:t>
      </w:r>
    </w:p>
    <w:p>
      <w:pPr>
        <w:pStyle w:val="ListBullet"/>
      </w:pPr>
      <w:r>
        <w:t>Problem formulation: define objective terms, constraints, and stability/emissions risk definitions; align with site engineering.</w:t>
      </w:r>
    </w:p>
    <w:p>
      <w:pPr>
        <w:pStyle w:val="ListBullet"/>
      </w:pPr>
      <w:r>
        <w:t>Dataset specification: required tags, sampling, labeling strategy (instability events, operator interventions, trips).</w:t>
      </w:r>
    </w:p>
    <w:p>
      <w:pPr>
        <w:pStyle w:val="ListBullet"/>
      </w:pPr>
      <w:r>
        <w:t>Model suite: emissions predictors, stability predictor, performance surrogate, and uncertainty estimation.</w:t>
      </w:r>
    </w:p>
    <w:p>
      <w:pPr>
        <w:pStyle w:val="ListBullet"/>
      </w:pPr>
      <w:r>
        <w:t>Training pipeline: reproducible training, cross-validation by operating regime, and bias checks across seasons/fuels.</w:t>
      </w:r>
    </w:p>
    <w:p>
      <w:pPr>
        <w:pStyle w:val="ListBullet"/>
      </w:pPr>
      <w:r>
        <w:t>Evaluation: offline backtests with counterfactual analysis; safety margin calibration; interpretability outputs.</w:t>
      </w:r>
    </w:p>
    <w:p>
      <w:pPr>
        <w:pStyle w:val="ListBullet"/>
      </w:pPr>
      <w:r>
        <w:t>Monitoring: drift detection, data quality alarms, and periodic re-training triggers with governance.</w:t>
      </w:r>
    </w:p>
    <w:p>
      <w:pPr>
        <w:pStyle w:val="Heading2"/>
      </w:pPr>
      <w:r>
        <w:t>12.3 Software development deliverables</w:t>
      </w:r>
    </w:p>
    <w:p>
      <w:pPr>
        <w:pStyle w:val="ListBullet"/>
      </w:pPr>
      <w:r>
        <w:t>Edge/runtime services: feature computation, inference, optimization solver service, and fallback state machine.</w:t>
      </w:r>
    </w:p>
    <w:p>
      <w:pPr>
        <w:pStyle w:val="ListBullet"/>
      </w:pPr>
      <w:r>
        <w:t>Connector layer: historian read, event stream ingestion, and bounded write interface to DCS/PLC.</w:t>
      </w:r>
    </w:p>
    <w:p>
      <w:pPr>
        <w:pStyle w:val="ListBullet"/>
      </w:pPr>
      <w:r>
        <w:t>Operator UI: advisory workflow, explanations, acknowledgment logging, and role-based access.</w:t>
      </w:r>
    </w:p>
    <w:p>
      <w:pPr>
        <w:pStyle w:val="ListBullet"/>
      </w:pPr>
      <w:r>
        <w:t>MLOps integration: model registry, signed artifacts, canary deployments, and rollback.</w:t>
      </w:r>
    </w:p>
    <w:p>
      <w:pPr>
        <w:pStyle w:val="ListBullet"/>
      </w:pPr>
      <w:r>
        <w:t>Observability: metrics, traces, logs; audit trail for every recommendation and write.</w:t>
      </w:r>
    </w:p>
    <w:p>
      <w:pPr>
        <w:pStyle w:val="ListBullet"/>
      </w:pPr>
      <w:r>
        <w:t>Configuration as code: tag maps, limits, envelopes, and site-specific rule packs with review workflow.</w:t>
      </w:r>
    </w:p>
    <w:p>
      <w:pPr>
        <w:pStyle w:val="Heading2"/>
      </w:pPr>
      <w:r>
        <w:t>12.4 Controls and instrumentation deliverables</w:t>
      </w:r>
    </w:p>
    <w:p>
      <w:pPr>
        <w:pStyle w:val="ListBullet"/>
      </w:pPr>
      <w:r>
        <w:t>Confirm control strategy: identify manipulated variables, controlled variables, constraints, and loop interactions.</w:t>
      </w:r>
    </w:p>
    <w:p>
      <w:pPr>
        <w:pStyle w:val="ListBullet"/>
      </w:pPr>
      <w:r>
        <w:t>Ensure measurement integrity: calibrate O2/CO/NOx analyzers; validate air and fuel flow measurements; document quality flags.</w:t>
      </w:r>
    </w:p>
    <w:p>
      <w:pPr>
        <w:pStyle w:val="ListBullet"/>
      </w:pPr>
      <w:r>
        <w:t>Implement setpoint write points and interlocks: permissive signals, mode awareness, and safe envelopes.</w:t>
      </w:r>
    </w:p>
    <w:p>
      <w:pPr>
        <w:pStyle w:val="ListBullet"/>
      </w:pPr>
      <w:r>
        <w:t>Bumpless transfer and rate limits: ensure transitions between operator and optimizer control are stable.</w:t>
      </w:r>
    </w:p>
    <w:p>
      <w:pPr>
        <w:pStyle w:val="ListBullet"/>
      </w:pPr>
      <w:r>
        <w:t>Provide event markers: alarm/trip signals and operator action logs for labeling and evaluation.</w:t>
      </w:r>
    </w:p>
    <w:p>
      <w:pPr>
        <w:pStyle w:val="Heading2"/>
      </w:pPr>
      <w:r>
        <w:t>12.5 Process, thermal, and mechanical engineering deliverables</w:t>
      </w:r>
    </w:p>
    <w:p>
      <w:pPr>
        <w:pStyle w:val="ListBullet"/>
      </w:pPr>
      <w:r>
        <w:t>Define duty constraints and safe operating limits (tube metal temperature, draft, bridgewall, burner staging rules).</w:t>
      </w:r>
    </w:p>
    <w:p>
      <w:pPr>
        <w:pStyle w:val="ListBullet"/>
      </w:pPr>
      <w:r>
        <w:t>Provide burner and furnace design metadata: turndown limits, burner type, fuel specs, control narratives.</w:t>
      </w:r>
    </w:p>
    <w:p>
      <w:pPr>
        <w:pStyle w:val="ListBullet"/>
      </w:pPr>
      <w:r>
        <w:t>Validate optimization recommendations against field knowledge and past incident learnings.</w:t>
      </w:r>
    </w:p>
    <w:p>
      <w:pPr>
        <w:pStyle w:val="ListBullet"/>
      </w:pPr>
      <w:r>
        <w:t>Identify and prioritize hardware gaps (missing sensors, poor analyzers, actuator limitations) and retrofit recommendations.</w:t>
      </w:r>
    </w:p>
    <w:p>
      <w:pPr>
        <w:pStyle w:val="ListBullet"/>
      </w:pPr>
      <w:r>
        <w:t>Support commissioning and performance guarantee methodology (baseline, test periods, acceptance thresholds).</w:t>
      </w:r>
    </w:p>
    <w:p>
      <w:pPr>
        <w:pStyle w:val="Heading2"/>
      </w:pPr>
      <w:r>
        <w:t>12.6 Intelligence and climate intelligence deliverables</w:t>
      </w:r>
    </w:p>
    <w:p>
      <w:pPr>
        <w:pStyle w:val="ListBullet"/>
      </w:pPr>
      <w:r>
        <w:t>Define emissions accounting: mapping from measured/predicted NOx/CO/O2 to compliance and reporting metrics.</w:t>
      </w:r>
    </w:p>
    <w:p>
      <w:pPr>
        <w:pStyle w:val="ListBullet"/>
      </w:pPr>
      <w:r>
        <w:t>Quantify climate value: translate fuel savings and emissions reduction into CO2e impacts and cost/benefit.</w:t>
      </w:r>
    </w:p>
    <w:p>
      <w:pPr>
        <w:pStyle w:val="ListBullet"/>
      </w:pPr>
      <w:r>
        <w:t>Support regulatory constraints: identify permit limits, averaging windows, and reporting cadence.</w:t>
      </w:r>
    </w:p>
    <w:p>
      <w:pPr>
        <w:pStyle w:val="ListBullet"/>
      </w:pPr>
      <w:r>
        <w:t>Enable enterprise benchmarking: normalize KPIs across sites (per duty, per throughput, per energy).</w:t>
      </w:r>
    </w:p>
    <w:p>
      <w:pPr>
        <w:pStyle w:val="Heading2"/>
      </w:pPr>
      <w:r>
        <w:t>12.7 Operations (site) deliverables</w:t>
      </w:r>
    </w:p>
    <w:p>
      <w:pPr>
        <w:pStyle w:val="ListBullet"/>
      </w:pPr>
      <w:r>
        <w:t>Nominate operator champions and define operating procedures for advisory and closed-loop modes.</w:t>
      </w:r>
    </w:p>
    <w:p>
      <w:pPr>
        <w:pStyle w:val="ListBullet"/>
      </w:pPr>
      <w:r>
        <w:t>Provide historical operating context: known instability zones, seasonal behaviors, maintenance impacts.</w:t>
      </w:r>
    </w:p>
    <w:p>
      <w:pPr>
        <w:pStyle w:val="ListBullet"/>
      </w:pPr>
      <w:r>
        <w:t>Participate in baseline establishment and acceptance testing; approve envelopes and fallback behaviors.</w:t>
      </w:r>
    </w:p>
    <w:p>
      <w:pPr>
        <w:pStyle w:val="ListBullet"/>
      </w:pPr>
      <w:r>
        <w:t>Own day-to-day monitoring response and escalation workflows.</w:t>
      </w:r>
    </w:p>
    <w:p>
      <w:pPr>
        <w:pStyle w:val="Heading1"/>
      </w:pPr>
      <w:r>
        <w:t>13. Engineering Requirements Checklist</w:t>
      </w:r>
    </w:p>
    <w:p>
      <w:r>
        <w:t>Minimum engineering artifacts required before enabling advisory or closed-loop operation:</w:t>
      </w:r>
    </w:p>
    <w:tbl>
      <w:tblPr>
        <w:tblStyle w:val="TableGrid"/>
        <w:tblW w:type="auto" w:w="0"/>
        <w:jc w:val="center"/>
        <w:tblLook w:firstColumn="1" w:firstRow="1" w:lastColumn="0" w:lastRow="0" w:noHBand="0" w:noVBand="1" w:val="04A0"/>
      </w:tblPr>
      <w:tblGrid>
        <w:gridCol w:w="3120"/>
        <w:gridCol w:w="3120"/>
        <w:gridCol w:w="3120"/>
      </w:tblGrid>
      <w:tr>
        <w:tc>
          <w:tcPr>
            <w:tcW w:type="dxa" w:w="3024"/>
            <w:vAlign w:val="center"/>
            <w:shd w:val="clear" w:color="auto" w:fill="E7E6E6"/>
          </w:tcPr>
          <w:p>
            <w:r/>
            <w:r>
              <w:rPr>
                <w:rFonts w:ascii="Calibri" w:hAnsi="Calibri"/>
                <w:b/>
                <w:sz w:val="20"/>
              </w:rPr>
              <w:t>Artifact</w:t>
            </w:r>
          </w:p>
        </w:tc>
        <w:tc>
          <w:tcPr>
            <w:tcW w:type="dxa" w:w="2016"/>
            <w:vAlign w:val="center"/>
            <w:shd w:val="clear" w:color="auto" w:fill="E7E6E6"/>
          </w:tcPr>
          <w:p>
            <w:r/>
            <w:r>
              <w:rPr>
                <w:rFonts w:ascii="Calibri" w:hAnsi="Calibri"/>
                <w:b/>
                <w:sz w:val="20"/>
              </w:rPr>
              <w:t>Owner</w:t>
            </w:r>
          </w:p>
        </w:tc>
        <w:tc>
          <w:tcPr>
            <w:tcW w:type="dxa" w:w="4752"/>
            <w:vAlign w:val="center"/>
            <w:shd w:val="clear" w:color="auto" w:fill="E7E6E6"/>
          </w:tcPr>
          <w:p>
            <w:r/>
            <w:r>
              <w:rPr>
                <w:rFonts w:ascii="Calibri" w:hAnsi="Calibri"/>
                <w:b/>
                <w:sz w:val="20"/>
              </w:rPr>
              <w:t>Minimum Content</w:t>
            </w:r>
          </w:p>
        </w:tc>
      </w:tr>
      <w:tr>
        <w:tc>
          <w:tcPr>
            <w:tcW w:type="dxa" w:w="3024"/>
            <w:vAlign w:val="center"/>
          </w:tcPr>
          <w:p>
            <w:r/>
            <w:r>
              <w:rPr>
                <w:rFonts w:ascii="Calibri" w:hAnsi="Calibri"/>
                <w:b w:val="0"/>
                <w:sz w:val="20"/>
              </w:rPr>
              <w:t>Unit control narrative</w:t>
            </w:r>
          </w:p>
        </w:tc>
        <w:tc>
          <w:tcPr>
            <w:tcW w:type="dxa" w:w="2016"/>
            <w:vAlign w:val="center"/>
          </w:tcPr>
          <w:p>
            <w:r/>
            <w:r>
              <w:rPr>
                <w:rFonts w:ascii="Calibri" w:hAnsi="Calibri"/>
                <w:b w:val="0"/>
                <w:sz w:val="20"/>
              </w:rPr>
              <w:t>Controls Eng</w:t>
            </w:r>
          </w:p>
        </w:tc>
        <w:tc>
          <w:tcPr>
            <w:tcW w:type="dxa" w:w="4752"/>
            <w:vAlign w:val="center"/>
          </w:tcPr>
          <w:p>
            <w:r/>
            <w:r>
              <w:rPr>
                <w:rFonts w:ascii="Calibri" w:hAnsi="Calibri"/>
                <w:b w:val="0"/>
                <w:sz w:val="20"/>
              </w:rPr>
              <w:t>Loop diagrams, manipulated/controlled variables, modes, interlocks, write points</w:t>
            </w:r>
          </w:p>
        </w:tc>
      </w:tr>
      <w:tr>
        <w:tc>
          <w:tcPr>
            <w:tcW w:type="dxa" w:w="3024"/>
            <w:vAlign w:val="center"/>
          </w:tcPr>
          <w:p>
            <w:r/>
            <w:r>
              <w:rPr>
                <w:rFonts w:ascii="Calibri" w:hAnsi="Calibri"/>
                <w:b w:val="0"/>
                <w:sz w:val="20"/>
              </w:rPr>
              <w:t>Operating limits register</w:t>
            </w:r>
          </w:p>
        </w:tc>
        <w:tc>
          <w:tcPr>
            <w:tcW w:type="dxa" w:w="2016"/>
            <w:vAlign w:val="center"/>
          </w:tcPr>
          <w:p>
            <w:r/>
            <w:r>
              <w:rPr>
                <w:rFonts w:ascii="Calibri" w:hAnsi="Calibri"/>
                <w:b w:val="0"/>
                <w:sz w:val="20"/>
              </w:rPr>
              <w:t>Process/Thermal Eng</w:t>
            </w:r>
          </w:p>
        </w:tc>
        <w:tc>
          <w:tcPr>
            <w:tcW w:type="dxa" w:w="4752"/>
            <w:vAlign w:val="center"/>
          </w:tcPr>
          <w:p>
            <w:r/>
            <w:r>
              <w:rPr>
                <w:rFonts w:ascii="Calibri" w:hAnsi="Calibri"/>
                <w:b w:val="0"/>
                <w:sz w:val="20"/>
              </w:rPr>
              <w:t>Hard/soft limits, safe envelopes, rate limits, turndown/staging rules</w:t>
            </w:r>
          </w:p>
        </w:tc>
      </w:tr>
      <w:tr>
        <w:tc>
          <w:tcPr>
            <w:tcW w:type="dxa" w:w="3024"/>
            <w:vAlign w:val="center"/>
          </w:tcPr>
          <w:p>
            <w:r/>
            <w:r>
              <w:rPr>
                <w:rFonts w:ascii="Calibri" w:hAnsi="Calibri"/>
                <w:b w:val="0"/>
                <w:sz w:val="20"/>
              </w:rPr>
              <w:t>Instrumentation validation report</w:t>
            </w:r>
          </w:p>
        </w:tc>
        <w:tc>
          <w:tcPr>
            <w:tcW w:type="dxa" w:w="2016"/>
            <w:vAlign w:val="center"/>
          </w:tcPr>
          <w:p>
            <w:r/>
            <w:r>
              <w:rPr>
                <w:rFonts w:ascii="Calibri" w:hAnsi="Calibri"/>
                <w:b w:val="0"/>
                <w:sz w:val="20"/>
              </w:rPr>
              <w:t>Instrumentation</w:t>
            </w:r>
          </w:p>
        </w:tc>
        <w:tc>
          <w:tcPr>
            <w:tcW w:type="dxa" w:w="4752"/>
            <w:vAlign w:val="center"/>
          </w:tcPr>
          <w:p>
            <w:r/>
            <w:r>
              <w:rPr>
                <w:rFonts w:ascii="Calibri" w:hAnsi="Calibri"/>
                <w:b w:val="0"/>
                <w:sz w:val="20"/>
              </w:rPr>
              <w:t>Calibration status, measurement uncertainty, analyzer lag, quality flag mapping</w:t>
            </w:r>
          </w:p>
        </w:tc>
      </w:tr>
      <w:tr>
        <w:tc>
          <w:tcPr>
            <w:tcW w:type="dxa" w:w="3024"/>
            <w:vAlign w:val="center"/>
          </w:tcPr>
          <w:p>
            <w:r/>
            <w:r>
              <w:rPr>
                <w:rFonts w:ascii="Calibri" w:hAnsi="Calibri"/>
                <w:b w:val="0"/>
                <w:sz w:val="20"/>
              </w:rPr>
              <w:t>Cybersecurity and network design</w:t>
            </w:r>
          </w:p>
        </w:tc>
        <w:tc>
          <w:tcPr>
            <w:tcW w:type="dxa" w:w="2016"/>
            <w:vAlign w:val="center"/>
          </w:tcPr>
          <w:p>
            <w:r/>
            <w:r>
              <w:rPr>
                <w:rFonts w:ascii="Calibri" w:hAnsi="Calibri"/>
                <w:b w:val="0"/>
                <w:sz w:val="20"/>
              </w:rPr>
              <w:t>OT + Security</w:t>
            </w:r>
          </w:p>
        </w:tc>
        <w:tc>
          <w:tcPr>
            <w:tcW w:type="dxa" w:w="4752"/>
            <w:vAlign w:val="center"/>
          </w:tcPr>
          <w:p>
            <w:r/>
            <w:r>
              <w:rPr>
                <w:rFonts w:ascii="Calibri" w:hAnsi="Calibri"/>
                <w:b w:val="0"/>
                <w:sz w:val="20"/>
              </w:rPr>
              <w:t>Network zones, access control, certificate management, logging/audit</w:t>
            </w:r>
          </w:p>
        </w:tc>
      </w:tr>
      <w:tr>
        <w:tc>
          <w:tcPr>
            <w:tcW w:type="dxa" w:w="3024"/>
            <w:vAlign w:val="center"/>
          </w:tcPr>
          <w:p>
            <w:r/>
            <w:r>
              <w:rPr>
                <w:rFonts w:ascii="Calibri" w:hAnsi="Calibri"/>
                <w:b w:val="0"/>
                <w:sz w:val="20"/>
              </w:rPr>
              <w:t>Data mapping and tag dictionary</w:t>
            </w:r>
          </w:p>
        </w:tc>
        <w:tc>
          <w:tcPr>
            <w:tcW w:type="dxa" w:w="2016"/>
            <w:vAlign w:val="center"/>
          </w:tcPr>
          <w:p>
            <w:r/>
            <w:r>
              <w:rPr>
                <w:rFonts w:ascii="Calibri" w:hAnsi="Calibri"/>
                <w:b w:val="0"/>
                <w:sz w:val="20"/>
              </w:rPr>
              <w:t>Data Eng + Controls</w:t>
            </w:r>
          </w:p>
        </w:tc>
        <w:tc>
          <w:tcPr>
            <w:tcW w:type="dxa" w:w="4752"/>
            <w:vAlign w:val="center"/>
          </w:tcPr>
          <w:p>
            <w:r/>
            <w:r>
              <w:rPr>
                <w:rFonts w:ascii="Calibri" w:hAnsi="Calibri"/>
                <w:b w:val="0"/>
                <w:sz w:val="20"/>
              </w:rPr>
              <w:t>Tag names, units, scaling, sampling, data quality semantics</w:t>
            </w:r>
          </w:p>
        </w:tc>
      </w:tr>
      <w:tr>
        <w:tc>
          <w:tcPr>
            <w:tcW w:type="dxa" w:w="3024"/>
            <w:vAlign w:val="center"/>
          </w:tcPr>
          <w:p>
            <w:r/>
            <w:r>
              <w:rPr>
                <w:rFonts w:ascii="Calibri" w:hAnsi="Calibri"/>
                <w:b w:val="0"/>
                <w:sz w:val="20"/>
              </w:rPr>
              <w:t>Safety review package</w:t>
            </w:r>
          </w:p>
        </w:tc>
        <w:tc>
          <w:tcPr>
            <w:tcW w:type="dxa" w:w="2016"/>
            <w:vAlign w:val="center"/>
          </w:tcPr>
          <w:p>
            <w:r/>
            <w:r>
              <w:rPr>
                <w:rFonts w:ascii="Calibri" w:hAnsi="Calibri"/>
                <w:b w:val="0"/>
                <w:sz w:val="20"/>
              </w:rPr>
              <w:t>Process Safety + Site</w:t>
            </w:r>
          </w:p>
        </w:tc>
        <w:tc>
          <w:tcPr>
            <w:tcW w:type="dxa" w:w="4752"/>
            <w:vAlign w:val="center"/>
          </w:tcPr>
          <w:p>
            <w:r/>
            <w:r>
              <w:rPr>
                <w:rFonts w:ascii="Calibri" w:hAnsi="Calibri"/>
                <w:b w:val="0"/>
                <w:sz w:val="20"/>
              </w:rPr>
              <w:t>HAZOP/LOPA impacts, MOC documents, sign-offs for write authority</w:t>
            </w:r>
          </w:p>
        </w:tc>
      </w:tr>
      <w:tr>
        <w:tc>
          <w:tcPr>
            <w:tcW w:type="dxa" w:w="3024"/>
            <w:vAlign w:val="center"/>
          </w:tcPr>
          <w:p>
            <w:r/>
            <w:r>
              <w:rPr>
                <w:rFonts w:ascii="Calibri" w:hAnsi="Calibri"/>
                <w:b w:val="0"/>
                <w:sz w:val="20"/>
              </w:rPr>
              <w:t>Commissioning test plan</w:t>
            </w:r>
          </w:p>
        </w:tc>
        <w:tc>
          <w:tcPr>
            <w:tcW w:type="dxa" w:w="2016"/>
            <w:vAlign w:val="center"/>
          </w:tcPr>
          <w:p>
            <w:r/>
            <w:r>
              <w:rPr>
                <w:rFonts w:ascii="Calibri" w:hAnsi="Calibri"/>
                <w:b w:val="0"/>
                <w:sz w:val="20"/>
              </w:rPr>
              <w:t>Program + Site</w:t>
            </w:r>
          </w:p>
        </w:tc>
        <w:tc>
          <w:tcPr>
            <w:tcW w:type="dxa" w:w="4752"/>
            <w:vAlign w:val="center"/>
          </w:tcPr>
          <w:p>
            <w:r/>
            <w:r>
              <w:rPr>
                <w:rFonts w:ascii="Calibri" w:hAnsi="Calibri"/>
                <w:b w:val="0"/>
                <w:sz w:val="20"/>
              </w:rPr>
              <w:t>Baseline, trial periods, stop criteria, acceptance thresholds, rollback plan</w:t>
            </w:r>
          </w:p>
        </w:tc>
      </w:tr>
    </w:tbl>
    <w:p>
      <w:pPr>
        <w:pStyle w:val="Heading1"/>
      </w:pPr>
      <w:r>
        <w:t>14. Testing and Validation</w:t>
      </w:r>
    </w:p>
    <w:p>
      <w:pPr>
        <w:pStyle w:val="Heading2"/>
      </w:pPr>
      <w:r>
        <w:t>14.1 Offline validation (must-pass)</w:t>
      </w:r>
    </w:p>
    <w:p>
      <w:pPr>
        <w:pStyle w:val="ListBullet"/>
      </w:pPr>
      <w:r>
        <w:t>Backtest on at least 3-6 months of representative data (covering load ranges, seasons, fuels).</w:t>
      </w:r>
    </w:p>
    <w:p>
      <w:pPr>
        <w:pStyle w:val="ListBullet"/>
      </w:pPr>
      <w:r>
        <w:t>Demonstrate constraint adherence with conservative margins under simulated disturbances.</w:t>
      </w:r>
    </w:p>
    <w:p>
      <w:pPr>
        <w:pStyle w:val="ListBullet"/>
      </w:pPr>
      <w:r>
        <w:t>Show stability risk reduction on known incident windows; verify no recommended actions push toward instability zones.</w:t>
      </w:r>
    </w:p>
    <w:p>
      <w:pPr>
        <w:pStyle w:val="ListBullet"/>
      </w:pPr>
      <w:r>
        <w:t>Quantify expected fuel savings and emissions impact with uncertainty bounds.</w:t>
      </w:r>
    </w:p>
    <w:p>
      <w:pPr>
        <w:pStyle w:val="Heading2"/>
      </w:pPr>
      <w:r>
        <w:t>14.2 Online commissioning (phased)</w:t>
      </w:r>
    </w:p>
    <w:p>
      <w:pPr>
        <w:pStyle w:val="ListBullet"/>
      </w:pPr>
      <w:r>
        <w:t>Phase 0: observe-only for 2-4 weeks; verify data quality, KPIs, and diagnostics.</w:t>
      </w:r>
    </w:p>
    <w:p>
      <w:pPr>
        <w:pStyle w:val="ListBullet"/>
      </w:pPr>
      <w:r>
        <w:t>Phase 1: advisory-only; operator acceptance logging; refine constraints and explanations.</w:t>
      </w:r>
    </w:p>
    <w:p>
      <w:pPr>
        <w:pStyle w:val="ListBullet"/>
      </w:pPr>
      <w:r>
        <w:t>Phase 2: limited closed-loop (daytime, restricted envelope); enable automated rollback on anomalies.</w:t>
      </w:r>
    </w:p>
    <w:p>
      <w:pPr>
        <w:pStyle w:val="ListBullet"/>
      </w:pPr>
      <w:r>
        <w:t>Phase 3: expanded closed-loop; continuous monitoring and periodic recalibration.</w:t>
      </w:r>
    </w:p>
    <w:p>
      <w:pPr>
        <w:pStyle w:val="Heading2"/>
      </w:pPr>
      <w:r>
        <w:t>14.3 Stop criteria and rollback</w:t>
      </w:r>
    </w:p>
    <w:p>
      <w:pPr>
        <w:pStyle w:val="ListBullet"/>
      </w:pPr>
      <w:r>
        <w:t>Any safety interlock activation, repeated instability alarms, or emission excursions triggers immediate fallback to observe-only and incident review.</w:t>
      </w:r>
    </w:p>
    <w:p>
      <w:pPr>
        <w:pStyle w:val="ListBullet"/>
      </w:pPr>
      <w:r>
        <w:t>Model drift or sensor anomalies that exceed thresholds trigger suspension of writes.</w:t>
      </w:r>
    </w:p>
    <w:p>
      <w:pPr>
        <w:pStyle w:val="ListBullet"/>
      </w:pPr>
      <w:r>
        <w:t>All changes follow site Management of Change (MOC).</w:t>
      </w:r>
    </w:p>
    <w:p>
      <w:pPr>
        <w:pStyle w:val="Heading1"/>
      </w:pPr>
      <w:r>
        <w:t>15. Deliverables, Milestones, and Timeline (Target: Q1 2026)</w:t>
      </w:r>
    </w:p>
    <w:p>
      <w:r>
        <w:t>GL-004 requirements are delivered as part of GL-018. The milestone plan below is a template; site programs should adapt durations based on instrumentation readiness and controls access.</w:t>
      </w:r>
    </w:p>
    <w:tbl>
      <w:tblPr>
        <w:tblStyle w:val="TableGrid"/>
        <w:tblW w:type="auto" w:w="0"/>
        <w:jc w:val="center"/>
        <w:tblLook w:firstColumn="1" w:firstRow="1" w:lastColumn="0" w:lastRow="0" w:noHBand="0" w:noVBand="1" w:val="04A0"/>
      </w:tblPr>
      <w:tblGrid>
        <w:gridCol w:w="3120"/>
        <w:gridCol w:w="3120"/>
        <w:gridCol w:w="3120"/>
      </w:tblGrid>
      <w:tr>
        <w:tc>
          <w:tcPr>
            <w:tcW w:type="dxa" w:w="3168"/>
            <w:vAlign w:val="center"/>
            <w:shd w:val="clear" w:color="auto" w:fill="E7E6E6"/>
          </w:tcPr>
          <w:p>
            <w:r/>
            <w:r>
              <w:rPr>
                <w:rFonts w:ascii="Calibri" w:hAnsi="Calibri"/>
                <w:b/>
                <w:sz w:val="20"/>
              </w:rPr>
              <w:t>Milestone</w:t>
            </w:r>
          </w:p>
        </w:tc>
        <w:tc>
          <w:tcPr>
            <w:tcW w:type="dxa" w:w="2304"/>
            <w:vAlign w:val="center"/>
            <w:shd w:val="clear" w:color="auto" w:fill="E7E6E6"/>
          </w:tcPr>
          <w:p>
            <w:r/>
            <w:r>
              <w:rPr>
                <w:rFonts w:ascii="Calibri" w:hAnsi="Calibri"/>
                <w:b/>
                <w:sz w:val="20"/>
              </w:rPr>
              <w:t>Owner</w:t>
            </w:r>
          </w:p>
        </w:tc>
        <w:tc>
          <w:tcPr>
            <w:tcW w:type="dxa" w:w="4176"/>
            <w:vAlign w:val="center"/>
            <w:shd w:val="clear" w:color="auto" w:fill="E7E6E6"/>
          </w:tcPr>
          <w:p>
            <w:r/>
            <w:r>
              <w:rPr>
                <w:rFonts w:ascii="Calibri" w:hAnsi="Calibri"/>
                <w:b/>
                <w:sz w:val="20"/>
              </w:rPr>
              <w:t>Outcome</w:t>
            </w:r>
          </w:p>
        </w:tc>
      </w:tr>
      <w:tr>
        <w:tc>
          <w:tcPr>
            <w:tcW w:type="dxa" w:w="3168"/>
            <w:vAlign w:val="center"/>
          </w:tcPr>
          <w:p>
            <w:r/>
            <w:r>
              <w:rPr>
                <w:rFonts w:ascii="Calibri" w:hAnsi="Calibri"/>
                <w:b w:val="0"/>
                <w:sz w:val="20"/>
              </w:rPr>
              <w:t>M1 - Site readiness assessment</w:t>
            </w:r>
          </w:p>
        </w:tc>
        <w:tc>
          <w:tcPr>
            <w:tcW w:type="dxa" w:w="2304"/>
            <w:vAlign w:val="center"/>
          </w:tcPr>
          <w:p>
            <w:r/>
            <w:r>
              <w:rPr>
                <w:rFonts w:ascii="Calibri" w:hAnsi="Calibri"/>
                <w:b w:val="0"/>
                <w:sz w:val="20"/>
              </w:rPr>
              <w:t>Program + Site</w:t>
            </w:r>
          </w:p>
        </w:tc>
        <w:tc>
          <w:tcPr>
            <w:tcW w:type="dxa" w:w="4176"/>
            <w:vAlign w:val="center"/>
          </w:tcPr>
          <w:p>
            <w:r/>
            <w:r>
              <w:rPr>
                <w:rFonts w:ascii="Calibri" w:hAnsi="Calibri"/>
                <w:b w:val="0"/>
                <w:sz w:val="20"/>
              </w:rPr>
              <w:t>Tag availability, gaps, cybersecurity review, control narrative confirmed</w:t>
            </w:r>
          </w:p>
        </w:tc>
      </w:tr>
      <w:tr>
        <w:tc>
          <w:tcPr>
            <w:tcW w:type="dxa" w:w="3168"/>
            <w:vAlign w:val="center"/>
          </w:tcPr>
          <w:p>
            <w:r/>
            <w:r>
              <w:rPr>
                <w:rFonts w:ascii="Calibri" w:hAnsi="Calibri"/>
                <w:b w:val="0"/>
                <w:sz w:val="20"/>
              </w:rPr>
              <w:t>M2 - Data pipeline live</w:t>
            </w:r>
          </w:p>
        </w:tc>
        <w:tc>
          <w:tcPr>
            <w:tcW w:type="dxa" w:w="2304"/>
            <w:vAlign w:val="center"/>
          </w:tcPr>
          <w:p>
            <w:r/>
            <w:r>
              <w:rPr>
                <w:rFonts w:ascii="Calibri" w:hAnsi="Calibri"/>
                <w:b w:val="0"/>
                <w:sz w:val="20"/>
              </w:rPr>
              <w:t>Data Eng + Dev</w:t>
            </w:r>
          </w:p>
        </w:tc>
        <w:tc>
          <w:tcPr>
            <w:tcW w:type="dxa" w:w="4176"/>
            <w:vAlign w:val="center"/>
          </w:tcPr>
          <w:p>
            <w:r/>
            <w:r>
              <w:rPr>
                <w:rFonts w:ascii="Calibri" w:hAnsi="Calibri"/>
                <w:b w:val="0"/>
                <w:sz w:val="20"/>
              </w:rPr>
              <w:t>Streaming + historian backfill; feature computation validated</w:t>
            </w:r>
          </w:p>
        </w:tc>
      </w:tr>
      <w:tr>
        <w:tc>
          <w:tcPr>
            <w:tcW w:type="dxa" w:w="3168"/>
            <w:vAlign w:val="center"/>
          </w:tcPr>
          <w:p>
            <w:r/>
            <w:r>
              <w:rPr>
                <w:rFonts w:ascii="Calibri" w:hAnsi="Calibri"/>
                <w:b w:val="0"/>
                <w:sz w:val="20"/>
              </w:rPr>
              <w:t>M3 - Baseline and model development</w:t>
            </w:r>
          </w:p>
        </w:tc>
        <w:tc>
          <w:tcPr>
            <w:tcW w:type="dxa" w:w="2304"/>
            <w:vAlign w:val="center"/>
          </w:tcPr>
          <w:p>
            <w:r/>
            <w:r>
              <w:rPr>
                <w:rFonts w:ascii="Calibri" w:hAnsi="Calibri"/>
                <w:b w:val="0"/>
                <w:sz w:val="20"/>
              </w:rPr>
              <w:t>AI/ML + Eng</w:t>
            </w:r>
          </w:p>
        </w:tc>
        <w:tc>
          <w:tcPr>
            <w:tcW w:type="dxa" w:w="4176"/>
            <w:vAlign w:val="center"/>
          </w:tcPr>
          <w:p>
            <w:r/>
            <w:r>
              <w:rPr>
                <w:rFonts w:ascii="Calibri" w:hAnsi="Calibri"/>
                <w:b w:val="0"/>
                <w:sz w:val="20"/>
              </w:rPr>
              <w:t>Backtested models, validated constraints, KPI baselines established</w:t>
            </w:r>
          </w:p>
        </w:tc>
      </w:tr>
      <w:tr>
        <w:tc>
          <w:tcPr>
            <w:tcW w:type="dxa" w:w="3168"/>
            <w:vAlign w:val="center"/>
          </w:tcPr>
          <w:p>
            <w:r/>
            <w:r>
              <w:rPr>
                <w:rFonts w:ascii="Calibri" w:hAnsi="Calibri"/>
                <w:b w:val="0"/>
                <w:sz w:val="20"/>
              </w:rPr>
              <w:t>M4 - Observe-only deployment</w:t>
            </w:r>
          </w:p>
        </w:tc>
        <w:tc>
          <w:tcPr>
            <w:tcW w:type="dxa" w:w="2304"/>
            <w:vAlign w:val="center"/>
          </w:tcPr>
          <w:p>
            <w:r/>
            <w:r>
              <w:rPr>
                <w:rFonts w:ascii="Calibri" w:hAnsi="Calibri"/>
                <w:b w:val="0"/>
                <w:sz w:val="20"/>
              </w:rPr>
              <w:t>Dev + Ops</w:t>
            </w:r>
          </w:p>
        </w:tc>
        <w:tc>
          <w:tcPr>
            <w:tcW w:type="dxa" w:w="4176"/>
            <w:vAlign w:val="center"/>
          </w:tcPr>
          <w:p>
            <w:r/>
            <w:r>
              <w:rPr>
                <w:rFonts w:ascii="Calibri" w:hAnsi="Calibri"/>
                <w:b w:val="0"/>
                <w:sz w:val="20"/>
              </w:rPr>
              <w:t>Stable runtime, dashboards, alerts; data quality acceptance</w:t>
            </w:r>
          </w:p>
        </w:tc>
      </w:tr>
      <w:tr>
        <w:tc>
          <w:tcPr>
            <w:tcW w:type="dxa" w:w="3168"/>
            <w:vAlign w:val="center"/>
          </w:tcPr>
          <w:p>
            <w:r/>
            <w:r>
              <w:rPr>
                <w:rFonts w:ascii="Calibri" w:hAnsi="Calibri"/>
                <w:b w:val="0"/>
                <w:sz w:val="20"/>
              </w:rPr>
              <w:t>M5 - Advisory commissioning</w:t>
            </w:r>
          </w:p>
        </w:tc>
        <w:tc>
          <w:tcPr>
            <w:tcW w:type="dxa" w:w="2304"/>
            <w:vAlign w:val="center"/>
          </w:tcPr>
          <w:p>
            <w:r/>
            <w:r>
              <w:rPr>
                <w:rFonts w:ascii="Calibri" w:hAnsi="Calibri"/>
                <w:b w:val="0"/>
                <w:sz w:val="20"/>
              </w:rPr>
              <w:t>Ops + Eng</w:t>
            </w:r>
          </w:p>
        </w:tc>
        <w:tc>
          <w:tcPr>
            <w:tcW w:type="dxa" w:w="4176"/>
            <w:vAlign w:val="center"/>
          </w:tcPr>
          <w:p>
            <w:r/>
            <w:r>
              <w:rPr>
                <w:rFonts w:ascii="Calibri" w:hAnsi="Calibri"/>
                <w:b w:val="0"/>
                <w:sz w:val="20"/>
              </w:rPr>
              <w:t>Operator workflow validated; recommendation accuracy and safety verified</w:t>
            </w:r>
          </w:p>
        </w:tc>
      </w:tr>
      <w:tr>
        <w:tc>
          <w:tcPr>
            <w:tcW w:type="dxa" w:w="3168"/>
            <w:vAlign w:val="center"/>
          </w:tcPr>
          <w:p>
            <w:r/>
            <w:r>
              <w:rPr>
                <w:rFonts w:ascii="Calibri" w:hAnsi="Calibri"/>
                <w:b w:val="0"/>
                <w:sz w:val="20"/>
              </w:rPr>
              <w:t>M6 - Limited closed-loop</w:t>
            </w:r>
          </w:p>
        </w:tc>
        <w:tc>
          <w:tcPr>
            <w:tcW w:type="dxa" w:w="2304"/>
            <w:vAlign w:val="center"/>
          </w:tcPr>
          <w:p>
            <w:r/>
            <w:r>
              <w:rPr>
                <w:rFonts w:ascii="Calibri" w:hAnsi="Calibri"/>
                <w:b w:val="0"/>
                <w:sz w:val="20"/>
              </w:rPr>
              <w:t>Controls + Ops</w:t>
            </w:r>
          </w:p>
        </w:tc>
        <w:tc>
          <w:tcPr>
            <w:tcW w:type="dxa" w:w="4176"/>
            <w:vAlign w:val="center"/>
          </w:tcPr>
          <w:p>
            <w:r/>
            <w:r>
              <w:rPr>
                <w:rFonts w:ascii="Calibri" w:hAnsi="Calibri"/>
                <w:b w:val="0"/>
                <w:sz w:val="20"/>
              </w:rPr>
              <w:t>Writes enabled within envelope; bumpless transfer validated</w:t>
            </w:r>
          </w:p>
        </w:tc>
      </w:tr>
      <w:tr>
        <w:tc>
          <w:tcPr>
            <w:tcW w:type="dxa" w:w="3168"/>
            <w:vAlign w:val="center"/>
          </w:tcPr>
          <w:p>
            <w:r/>
            <w:r>
              <w:rPr>
                <w:rFonts w:ascii="Calibri" w:hAnsi="Calibri"/>
                <w:b w:val="0"/>
                <w:sz w:val="20"/>
              </w:rPr>
              <w:t>M7 - Full closed-loop and sustainment</w:t>
            </w:r>
          </w:p>
        </w:tc>
        <w:tc>
          <w:tcPr>
            <w:tcW w:type="dxa" w:w="2304"/>
            <w:vAlign w:val="center"/>
          </w:tcPr>
          <w:p>
            <w:r/>
            <w:r>
              <w:rPr>
                <w:rFonts w:ascii="Calibri" w:hAnsi="Calibri"/>
                <w:b w:val="0"/>
                <w:sz w:val="20"/>
              </w:rPr>
              <w:t>All</w:t>
            </w:r>
          </w:p>
        </w:tc>
        <w:tc>
          <w:tcPr>
            <w:tcW w:type="dxa" w:w="4176"/>
            <w:vAlign w:val="center"/>
          </w:tcPr>
          <w:p>
            <w:r/>
            <w:r>
              <w:rPr>
                <w:rFonts w:ascii="Calibri" w:hAnsi="Calibri"/>
                <w:b w:val="0"/>
                <w:sz w:val="20"/>
              </w:rPr>
              <w:t>Continuous optimization with monitoring, retraining, governance</w:t>
            </w:r>
          </w:p>
        </w:tc>
      </w:tr>
    </w:tbl>
    <w:p>
      <w:pPr>
        <w:pStyle w:val="Heading2"/>
      </w:pPr>
      <w:r>
        <w:t>15.1 Definition of done for GL-004 bundle</w:t>
      </w:r>
    </w:p>
    <w:p>
      <w:pPr>
        <w:pStyle w:val="ListBullet"/>
      </w:pPr>
      <w:r>
        <w:t>All in-scope functional requirements (Section 4) are implemented within GL-018 and traced to tests.</w:t>
      </w:r>
    </w:p>
    <w:p>
      <w:pPr>
        <w:pStyle w:val="ListBullet"/>
      </w:pPr>
      <w:r>
        <w:t>Observe-only, advisory, and closed-loop modes pass validation gates with documented sign-offs.</w:t>
      </w:r>
    </w:p>
    <w:p>
      <w:pPr>
        <w:pStyle w:val="ListBullet"/>
      </w:pPr>
      <w:r>
        <w:t>KPIs demonstrate measurable improvement vs baseline over a statistically meaningful period.</w:t>
      </w:r>
    </w:p>
    <w:p>
      <w:pPr>
        <w:pStyle w:val="ListBullet"/>
      </w:pPr>
      <w:r>
        <w:t>Monitoring and governance processes are in place (alerts, drift checks, MOC).</w:t>
      </w:r>
    </w:p>
    <w:p>
      <w:pPr>
        <w:pStyle w:val="Heading1"/>
      </w:pPr>
      <w:r>
        <w:t>Appendix A - KPI Definitions (Recommended)</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E7E6E6"/>
          </w:tcPr>
          <w:p>
            <w:r/>
            <w:r>
              <w:rPr>
                <w:rFonts w:ascii="Calibri" w:hAnsi="Calibri"/>
                <w:b/>
                <w:sz w:val="20"/>
              </w:rPr>
              <w:t>KPI</w:t>
            </w:r>
          </w:p>
        </w:tc>
        <w:tc>
          <w:tcPr>
            <w:tcW w:type="dxa" w:w="6912"/>
            <w:vAlign w:val="center"/>
            <w:shd w:val="clear" w:color="auto" w:fill="E7E6E6"/>
          </w:tcPr>
          <w:p>
            <w:r/>
            <w:r>
              <w:rPr>
                <w:rFonts w:ascii="Calibri" w:hAnsi="Calibri"/>
                <w:b/>
                <w:sz w:val="20"/>
              </w:rPr>
              <w:t>Definition / Notes</w:t>
            </w:r>
          </w:p>
        </w:tc>
      </w:tr>
      <w:tr>
        <w:tc>
          <w:tcPr>
            <w:tcW w:type="dxa" w:w="2880"/>
            <w:vAlign w:val="center"/>
          </w:tcPr>
          <w:p>
            <w:r/>
            <w:r>
              <w:rPr>
                <w:rFonts w:ascii="Calibri" w:hAnsi="Calibri"/>
                <w:b w:val="0"/>
                <w:sz w:val="20"/>
              </w:rPr>
              <w:t>Fuel intensity</w:t>
            </w:r>
          </w:p>
        </w:tc>
        <w:tc>
          <w:tcPr>
            <w:tcW w:type="dxa" w:w="6912"/>
            <w:vAlign w:val="center"/>
          </w:tcPr>
          <w:p>
            <w:r/>
            <w:r>
              <w:rPr>
                <w:rFonts w:ascii="Calibri" w:hAnsi="Calibri"/>
                <w:b w:val="0"/>
                <w:sz w:val="20"/>
              </w:rPr>
              <w:t>Fuel energy input per unit duty (e.g., GJ per GJ duty, or fuel per ton product).</w:t>
            </w:r>
          </w:p>
        </w:tc>
      </w:tr>
      <w:tr>
        <w:tc>
          <w:tcPr>
            <w:tcW w:type="dxa" w:w="2880"/>
            <w:vAlign w:val="center"/>
          </w:tcPr>
          <w:p>
            <w:r/>
            <w:r>
              <w:rPr>
                <w:rFonts w:ascii="Calibri" w:hAnsi="Calibri"/>
                <w:b w:val="0"/>
                <w:sz w:val="20"/>
              </w:rPr>
              <w:t>Excess O2 / lambda</w:t>
            </w:r>
          </w:p>
        </w:tc>
        <w:tc>
          <w:tcPr>
            <w:tcW w:type="dxa" w:w="6912"/>
            <w:vAlign w:val="center"/>
          </w:tcPr>
          <w:p>
            <w:r/>
            <w:r>
              <w:rPr>
                <w:rFonts w:ascii="Calibri" w:hAnsi="Calibri"/>
                <w:b w:val="0"/>
                <w:sz w:val="20"/>
              </w:rPr>
              <w:t>Maintain target band; report average and variability.</w:t>
            </w:r>
          </w:p>
        </w:tc>
      </w:tr>
      <w:tr>
        <w:tc>
          <w:tcPr>
            <w:tcW w:type="dxa" w:w="2880"/>
            <w:vAlign w:val="center"/>
          </w:tcPr>
          <w:p>
            <w:r/>
            <w:r>
              <w:rPr>
                <w:rFonts w:ascii="Calibri" w:hAnsi="Calibri"/>
                <w:b w:val="0"/>
                <w:sz w:val="20"/>
              </w:rPr>
              <w:t>CO and NOx</w:t>
            </w:r>
          </w:p>
        </w:tc>
        <w:tc>
          <w:tcPr>
            <w:tcW w:type="dxa" w:w="6912"/>
            <w:vAlign w:val="center"/>
          </w:tcPr>
          <w:p>
            <w:r/>
            <w:r>
              <w:rPr>
                <w:rFonts w:ascii="Calibri" w:hAnsi="Calibri"/>
                <w:b w:val="0"/>
                <w:sz w:val="20"/>
              </w:rPr>
              <w:t>Average and exceedance counts; align with permit averaging windows.</w:t>
            </w:r>
          </w:p>
        </w:tc>
      </w:tr>
      <w:tr>
        <w:tc>
          <w:tcPr>
            <w:tcW w:type="dxa" w:w="2880"/>
            <w:vAlign w:val="center"/>
          </w:tcPr>
          <w:p>
            <w:r/>
            <w:r>
              <w:rPr>
                <w:rFonts w:ascii="Calibri" w:hAnsi="Calibri"/>
                <w:b w:val="0"/>
                <w:sz w:val="20"/>
              </w:rPr>
              <w:t>Stability index</w:t>
            </w:r>
          </w:p>
        </w:tc>
        <w:tc>
          <w:tcPr>
            <w:tcW w:type="dxa" w:w="6912"/>
            <w:vAlign w:val="center"/>
          </w:tcPr>
          <w:p>
            <w:r/>
            <w:r>
              <w:rPr>
                <w:rFonts w:ascii="Calibri" w:hAnsi="Calibri"/>
                <w:b w:val="0"/>
                <w:sz w:val="20"/>
              </w:rPr>
              <w:t>Composite of flame signal quality, oscillation metrics, and trip precursors.</w:t>
            </w:r>
          </w:p>
        </w:tc>
      </w:tr>
      <w:tr>
        <w:tc>
          <w:tcPr>
            <w:tcW w:type="dxa" w:w="2880"/>
            <w:vAlign w:val="center"/>
          </w:tcPr>
          <w:p>
            <w:r/>
            <w:r>
              <w:rPr>
                <w:rFonts w:ascii="Calibri" w:hAnsi="Calibri"/>
                <w:b w:val="0"/>
                <w:sz w:val="20"/>
              </w:rPr>
              <w:t>Turndown achieved</w:t>
            </w:r>
          </w:p>
        </w:tc>
        <w:tc>
          <w:tcPr>
            <w:tcW w:type="dxa" w:w="6912"/>
            <w:vAlign w:val="center"/>
          </w:tcPr>
          <w:p>
            <w:r/>
            <w:r>
              <w:rPr>
                <w:rFonts w:ascii="Calibri" w:hAnsi="Calibri"/>
                <w:b w:val="0"/>
                <w:sz w:val="20"/>
              </w:rPr>
              <w:t>Lowest stable load sustained for a defined duration without alarms or CO spikes.</w:t>
            </w:r>
          </w:p>
        </w:tc>
      </w:tr>
      <w:tr>
        <w:tc>
          <w:tcPr>
            <w:tcW w:type="dxa" w:w="2880"/>
            <w:vAlign w:val="center"/>
          </w:tcPr>
          <w:p>
            <w:r/>
            <w:r>
              <w:rPr>
                <w:rFonts w:ascii="Calibri" w:hAnsi="Calibri"/>
                <w:b w:val="0"/>
                <w:sz w:val="20"/>
              </w:rPr>
              <w:t>Trip rate</w:t>
            </w:r>
          </w:p>
        </w:tc>
        <w:tc>
          <w:tcPr>
            <w:tcW w:type="dxa" w:w="6912"/>
            <w:vAlign w:val="center"/>
          </w:tcPr>
          <w:p>
            <w:r/>
            <w:r>
              <w:rPr>
                <w:rFonts w:ascii="Calibri" w:hAnsi="Calibri"/>
                <w:b w:val="0"/>
                <w:sz w:val="20"/>
              </w:rPr>
              <w:t>Trips per month/quarter for combustion-related causes.</w:t>
            </w:r>
          </w:p>
        </w:tc>
      </w:tr>
      <w:tr>
        <w:tc>
          <w:tcPr>
            <w:tcW w:type="dxa" w:w="2880"/>
            <w:vAlign w:val="center"/>
          </w:tcPr>
          <w:p>
            <w:r/>
            <w:r>
              <w:rPr>
                <w:rFonts w:ascii="Calibri" w:hAnsi="Calibri"/>
                <w:b w:val="0"/>
                <w:sz w:val="20"/>
              </w:rPr>
              <w:t>Optimizer contribution</w:t>
            </w:r>
          </w:p>
        </w:tc>
        <w:tc>
          <w:tcPr>
            <w:tcW w:type="dxa" w:w="6912"/>
            <w:vAlign w:val="center"/>
          </w:tcPr>
          <w:p>
            <w:r/>
            <w:r>
              <w:rPr>
                <w:rFonts w:ascii="Calibri" w:hAnsi="Calibri"/>
                <w:b w:val="0"/>
                <w:sz w:val="20"/>
              </w:rPr>
              <w:t>Difference between baseline and optimized operation (counterfactual estimate + confirmed tests).</w:t>
            </w:r>
          </w:p>
        </w:tc>
      </w:tr>
    </w:tbl>
    <w:p>
      <w:pPr>
        <w:pStyle w:val="Heading1"/>
      </w:pPr>
      <w:r>
        <w:t>Appendix B - Site Tag Dictionary Template</w:t>
      </w:r>
    </w:p>
    <w:p>
      <w:r>
        <w:t>Provide one row per tag. Minimum fields: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E7E6E6"/>
          </w:tcPr>
          <w:p>
            <w:r/>
            <w:r>
              <w:rPr>
                <w:rFonts w:ascii="Calibri" w:hAnsi="Calibri"/>
                <w:b/>
                <w:sz w:val="20"/>
              </w:rPr>
              <w:t>Field</w:t>
            </w:r>
          </w:p>
        </w:tc>
        <w:tc>
          <w:tcPr>
            <w:tcW w:type="dxa" w:w="6912"/>
            <w:vAlign w:val="center"/>
            <w:shd w:val="clear" w:color="auto" w:fill="E7E6E6"/>
          </w:tcPr>
          <w:p>
            <w:r/>
            <w:r>
              <w:rPr>
                <w:rFonts w:ascii="Calibri" w:hAnsi="Calibri"/>
                <w:b/>
                <w:sz w:val="20"/>
              </w:rPr>
              <w:t>Example</w:t>
            </w:r>
          </w:p>
        </w:tc>
      </w:tr>
      <w:tr>
        <w:tc>
          <w:tcPr>
            <w:tcW w:type="dxa" w:w="2880"/>
            <w:vAlign w:val="center"/>
          </w:tcPr>
          <w:p>
            <w:r/>
            <w:r>
              <w:rPr>
                <w:rFonts w:ascii="Calibri" w:hAnsi="Calibri"/>
                <w:b w:val="0"/>
                <w:sz w:val="20"/>
              </w:rPr>
              <w:t>Tag name</w:t>
            </w:r>
          </w:p>
        </w:tc>
        <w:tc>
          <w:tcPr>
            <w:tcW w:type="dxa" w:w="6912"/>
            <w:vAlign w:val="center"/>
          </w:tcPr>
          <w:p>
            <w:r/>
            <w:r>
              <w:rPr>
                <w:rFonts w:ascii="Calibri" w:hAnsi="Calibri"/>
                <w:b w:val="0"/>
                <w:sz w:val="20"/>
              </w:rPr>
              <w:t>FIC-101.PV</w:t>
            </w:r>
          </w:p>
        </w:tc>
      </w:tr>
      <w:tr>
        <w:tc>
          <w:tcPr>
            <w:tcW w:type="dxa" w:w="2880"/>
            <w:vAlign w:val="center"/>
          </w:tcPr>
          <w:p>
            <w:r/>
            <w:r>
              <w:rPr>
                <w:rFonts w:ascii="Calibri" w:hAnsi="Calibri"/>
                <w:b w:val="0"/>
                <w:sz w:val="20"/>
              </w:rPr>
              <w:t>Description</w:t>
            </w:r>
          </w:p>
        </w:tc>
        <w:tc>
          <w:tcPr>
            <w:tcW w:type="dxa" w:w="6912"/>
            <w:vAlign w:val="center"/>
          </w:tcPr>
          <w:p>
            <w:r/>
            <w:r>
              <w:rPr>
                <w:rFonts w:ascii="Calibri" w:hAnsi="Calibri"/>
                <w:b w:val="0"/>
                <w:sz w:val="20"/>
              </w:rPr>
              <w:t>Fuel gas flow to heater</w:t>
            </w:r>
          </w:p>
        </w:tc>
      </w:tr>
      <w:tr>
        <w:tc>
          <w:tcPr>
            <w:tcW w:type="dxa" w:w="2880"/>
            <w:vAlign w:val="center"/>
          </w:tcPr>
          <w:p>
            <w:r/>
            <w:r>
              <w:rPr>
                <w:rFonts w:ascii="Calibri" w:hAnsi="Calibri"/>
                <w:b w:val="0"/>
                <w:sz w:val="20"/>
              </w:rPr>
              <w:t>Units</w:t>
            </w:r>
          </w:p>
        </w:tc>
        <w:tc>
          <w:tcPr>
            <w:tcW w:type="dxa" w:w="6912"/>
            <w:vAlign w:val="center"/>
          </w:tcPr>
          <w:p>
            <w:r/>
            <w:r>
              <w:rPr>
                <w:rFonts w:ascii="Calibri" w:hAnsi="Calibri"/>
                <w:b w:val="0"/>
                <w:sz w:val="20"/>
              </w:rPr>
              <w:t>Nm3/h</w:t>
            </w:r>
          </w:p>
        </w:tc>
      </w:tr>
      <w:tr>
        <w:tc>
          <w:tcPr>
            <w:tcW w:type="dxa" w:w="2880"/>
            <w:vAlign w:val="center"/>
          </w:tcPr>
          <w:p>
            <w:r/>
            <w:r>
              <w:rPr>
                <w:rFonts w:ascii="Calibri" w:hAnsi="Calibri"/>
                <w:b w:val="0"/>
                <w:sz w:val="20"/>
              </w:rPr>
              <w:t>Sample rate</w:t>
            </w:r>
          </w:p>
        </w:tc>
        <w:tc>
          <w:tcPr>
            <w:tcW w:type="dxa" w:w="6912"/>
            <w:vAlign w:val="center"/>
          </w:tcPr>
          <w:p>
            <w:r/>
            <w:r>
              <w:rPr>
                <w:rFonts w:ascii="Calibri" w:hAnsi="Calibri"/>
                <w:b w:val="0"/>
                <w:sz w:val="20"/>
              </w:rPr>
              <w:t>1 s</w:t>
            </w:r>
          </w:p>
        </w:tc>
      </w:tr>
      <w:tr>
        <w:tc>
          <w:tcPr>
            <w:tcW w:type="dxa" w:w="2880"/>
            <w:vAlign w:val="center"/>
          </w:tcPr>
          <w:p>
            <w:r/>
            <w:r>
              <w:rPr>
                <w:rFonts w:ascii="Calibri" w:hAnsi="Calibri"/>
                <w:b w:val="0"/>
                <w:sz w:val="20"/>
              </w:rPr>
              <w:t>Data quality source</w:t>
            </w:r>
          </w:p>
        </w:tc>
        <w:tc>
          <w:tcPr>
            <w:tcW w:type="dxa" w:w="6912"/>
            <w:vAlign w:val="center"/>
          </w:tcPr>
          <w:p>
            <w:r/>
            <w:r>
              <w:rPr>
                <w:rFonts w:ascii="Calibri" w:hAnsi="Calibri"/>
                <w:b w:val="0"/>
                <w:sz w:val="20"/>
              </w:rPr>
              <w:t>Historian quality code</w:t>
            </w:r>
          </w:p>
        </w:tc>
      </w:tr>
      <w:tr>
        <w:tc>
          <w:tcPr>
            <w:tcW w:type="dxa" w:w="2880"/>
            <w:vAlign w:val="center"/>
          </w:tcPr>
          <w:p>
            <w:r/>
            <w:r>
              <w:rPr>
                <w:rFonts w:ascii="Calibri" w:hAnsi="Calibri"/>
                <w:b w:val="0"/>
                <w:sz w:val="20"/>
              </w:rPr>
              <w:t>Location / equipment</w:t>
            </w:r>
          </w:p>
        </w:tc>
        <w:tc>
          <w:tcPr>
            <w:tcW w:type="dxa" w:w="6912"/>
            <w:vAlign w:val="center"/>
          </w:tcPr>
          <w:p>
            <w:r/>
            <w:r>
              <w:rPr>
                <w:rFonts w:ascii="Calibri" w:hAnsi="Calibri"/>
                <w:b w:val="0"/>
                <w:sz w:val="20"/>
              </w:rPr>
              <w:t>Heater H-101</w:t>
            </w:r>
          </w:p>
        </w:tc>
      </w:tr>
      <w:tr>
        <w:tc>
          <w:tcPr>
            <w:tcW w:type="dxa" w:w="2880"/>
            <w:vAlign w:val="center"/>
          </w:tcPr>
          <w:p>
            <w:r/>
            <w:r>
              <w:rPr>
                <w:rFonts w:ascii="Calibri" w:hAnsi="Calibri"/>
                <w:b w:val="0"/>
                <w:sz w:val="20"/>
              </w:rPr>
              <w:t>Criticality</w:t>
            </w:r>
          </w:p>
        </w:tc>
        <w:tc>
          <w:tcPr>
            <w:tcW w:type="dxa" w:w="6912"/>
            <w:vAlign w:val="center"/>
          </w:tcPr>
          <w:p>
            <w:r/>
            <w:r>
              <w:rPr>
                <w:rFonts w:ascii="Calibri" w:hAnsi="Calibri"/>
                <w:b w:val="0"/>
                <w:sz w:val="20"/>
              </w:rPr>
              <w:t>High / Medium / Low</w:t>
            </w:r>
          </w:p>
        </w:tc>
      </w:tr>
      <w:tr>
        <w:tc>
          <w:tcPr>
            <w:tcW w:type="dxa" w:w="2880"/>
            <w:vAlign w:val="center"/>
          </w:tcPr>
          <w:p>
            <w:r/>
            <w:r>
              <w:rPr>
                <w:rFonts w:ascii="Calibri" w:hAnsi="Calibri"/>
                <w:b w:val="0"/>
                <w:sz w:val="20"/>
              </w:rPr>
              <w:t>Notes</w:t>
            </w:r>
          </w:p>
        </w:tc>
        <w:tc>
          <w:tcPr>
            <w:tcW w:type="dxa" w:w="6912"/>
            <w:vAlign w:val="center"/>
          </w:tcPr>
          <w:p>
            <w:r/>
            <w:r>
              <w:rPr>
                <w:rFonts w:ascii="Calibri" w:hAnsi="Calibri"/>
                <w:b w:val="0"/>
                <w:sz w:val="20"/>
              </w:rPr>
              <w:t>Calibrated 2025-10-01; range 0-10,000 Nm3/h</w:t>
            </w:r>
          </w:p>
        </w:tc>
      </w:tr>
    </w:tbl>
    <w:p>
      <w:r>
        <w:br w:type="page"/>
      </w:r>
    </w:p>
    <w:p>
      <w:pPr>
        <w:pStyle w:val="Heading1"/>
      </w:pPr>
      <w:r>
        <w:t>Appendix C - Change and Governance</w:t>
      </w:r>
    </w:p>
    <w:p>
      <w:pPr>
        <w:pStyle w:val="ListBullet"/>
      </w:pPr>
      <w:r>
        <w:t>All optimizer write envelopes and constraint sets are controlled documents with approvals.</w:t>
      </w:r>
    </w:p>
    <w:p>
      <w:pPr>
        <w:pStyle w:val="ListBullet"/>
      </w:pPr>
      <w:r>
        <w:t>Model changes require: retraining report, offline validation, staged rollout, and rollback plan.</w:t>
      </w:r>
    </w:p>
    <w:p>
      <w:pPr>
        <w:pStyle w:val="ListBullet"/>
      </w:pPr>
      <w:r>
        <w:t>Incident review required for any abnormal event correlated with optimizer actions, even if not causal.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4680"/>
      <w:gridCol w:w="4680"/>
    </w:tblGrid>
    <w:tr>
      <w:tc>
        <w:tcPr>
          <w:tcW w:type="dxa" w:w="4680"/>
        </w:tcPr>
        <w:p>
          <w:r>
            <w:rPr>
              <w:sz w:val="18"/>
            </w:rPr>
            <w:t>GL-004 - BURNMASTER (Burner Optimization Agent)</w:t>
          </w:r>
        </w:p>
      </w:tc>
      <w:tc>
        <w:tcPr>
          <w:tcW w:type="dxa" w:w="4680"/>
        </w:tcPr>
        <w:p>
          <w:pPr>
            <w:jc w:val="right"/>
          </w:pPr>
          <w:r>
            <w:rPr>
              <w:sz w:val="18"/>
            </w:rPr>
            <w:t>Version 1.0 - 2025-12-17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