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GL-010 — EmissionsGuardian</w:t>
        <w:br/>
        <w:t>Emissions Compliance Agent</w:t>
        <w:br/>
        <w:t>Cross‑Team Implementation Guide</w:t>
      </w:r>
    </w:p>
    <w:p>
      <w:pPr>
        <w:jc w:val="center"/>
      </w:pPr>
      <w:r>
        <w:rPr>
          <w:sz w:val="24"/>
        </w:rPr>
        <w:t>Audience: AI/ML, Development, Data Engineering, OT/Controls, Climate Intelligence, Compliance, Security, QA, SRE, and Program Teams</w:t>
      </w:r>
    </w:p>
    <w:p>
      <w:pPr>
        <w:jc w:val="center"/>
      </w:pPr>
      <w:r>
        <w:rPr>
          <w:i/>
        </w:rPr>
        <w:t>Target Release: Q4 2025 | Priority: P0 | Criticality: High</w:t>
      </w:r>
    </w:p>
    <w:p>
      <w:pPr>
        <w:jc w:val="center"/>
      </w:pPr>
      <w:r>
        <w:rPr>
          <w:i/>
        </w:rPr>
        <w:t>Last updated: 2025-12-18</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Field</w:t>
            </w:r>
          </w:p>
        </w:tc>
        <w:tc>
          <w:tcPr>
            <w:tcW w:type="dxa" w:w="2160"/>
          </w:tcPr>
          <w:p>
            <w:r>
              <w:t>Value</w:t>
            </w:r>
          </w:p>
        </w:tc>
        <w:tc>
          <w:tcPr>
            <w:tcW w:type="dxa" w:w="2160"/>
          </w:tcPr>
          <w:p>
            <w:r>
              <w:t>Field</w:t>
            </w:r>
          </w:p>
        </w:tc>
        <w:tc>
          <w:tcPr>
            <w:tcW w:type="dxa" w:w="2160"/>
          </w:tcPr>
          <w:p>
            <w:r>
              <w:t>Value</w:t>
            </w:r>
          </w:p>
        </w:tc>
      </w:tr>
      <w:tr>
        <w:tc>
          <w:tcPr>
            <w:tcW w:type="dxa" w:w="2160"/>
          </w:tcPr>
          <w:p>
            <w:r>
              <w:t>Document ID</w:t>
            </w:r>
          </w:p>
        </w:tc>
        <w:tc>
          <w:tcPr>
            <w:tcW w:type="dxa" w:w="2160"/>
          </w:tcPr>
          <w:p>
            <w:r>
              <w:t>GL-010-ICG</w:t>
            </w:r>
          </w:p>
        </w:tc>
        <w:tc>
          <w:tcPr>
            <w:tcW w:type="dxa" w:w="2160"/>
          </w:tcPr>
          <w:p>
            <w:r>
              <w:t>Status</w:t>
            </w:r>
          </w:p>
        </w:tc>
        <w:tc>
          <w:tcPr>
            <w:tcW w:type="dxa" w:w="2160"/>
          </w:tcPr>
          <w:p>
            <w:r>
              <w:t>Draft for internal alignment</w:t>
            </w:r>
          </w:p>
        </w:tc>
      </w:tr>
      <w:tr>
        <w:tc>
          <w:tcPr>
            <w:tcW w:type="dxa" w:w="2160"/>
          </w:tcPr>
          <w:p>
            <w:r>
              <w:t>Owner</w:t>
            </w:r>
          </w:p>
        </w:tc>
        <w:tc>
          <w:tcPr>
            <w:tcW w:type="dxa" w:w="2160"/>
          </w:tcPr>
          <w:p>
            <w:r>
              <w:t>Compliance Platform PM</w:t>
            </w:r>
          </w:p>
        </w:tc>
        <w:tc>
          <w:tcPr>
            <w:tcW w:type="dxa" w:w="2160"/>
          </w:tcPr>
          <w:p>
            <w:r>
              <w:t>Approvers</w:t>
            </w:r>
          </w:p>
        </w:tc>
        <w:tc>
          <w:tcPr>
            <w:tcW w:type="dxa" w:w="2160"/>
          </w:tcPr>
          <w:p>
            <w:r>
              <w:t>Compliance Lead; Eng Lead; Security Lead</w:t>
            </w:r>
          </w:p>
        </w:tc>
      </w:tr>
      <w:tr>
        <w:tc>
          <w:tcPr>
            <w:tcW w:type="dxa" w:w="2160"/>
          </w:tcPr>
          <w:p>
            <w:r>
              <w:t>Scope</w:t>
            </w:r>
          </w:p>
        </w:tc>
        <w:tc>
          <w:tcPr>
            <w:tcW w:type="dxa" w:w="2160"/>
          </w:tcPr>
          <w:p>
            <w:r>
              <w:t>Emissions compliance monitoring + reporting automation</w:t>
            </w:r>
          </w:p>
        </w:tc>
        <w:tc>
          <w:tcPr>
            <w:tcW w:type="dxa" w:w="2160"/>
          </w:tcPr>
          <w:p>
            <w:r>
              <w:t>Applies to</w:t>
            </w:r>
          </w:p>
        </w:tc>
        <w:tc>
          <w:tcPr>
            <w:tcW w:type="dxa" w:w="2160"/>
          </w:tcPr>
          <w:p>
            <w:r>
              <w:t>All emitting assets with CEMS/DAQS integrations</w:t>
            </w:r>
          </w:p>
        </w:tc>
      </w:tr>
      <w:tr>
        <w:tc>
          <w:tcPr>
            <w:tcW w:type="dxa" w:w="2160"/>
          </w:tcPr>
          <w:p>
            <w:r>
              <w:t>Version</w:t>
            </w:r>
          </w:p>
        </w:tc>
        <w:tc>
          <w:tcPr>
            <w:tcW w:type="dxa" w:w="2160"/>
          </w:tcPr>
          <w:p>
            <w:r>
              <w:t>1.1</w:t>
            </w:r>
          </w:p>
        </w:tc>
        <w:tc>
          <w:tcPr>
            <w:tcW w:type="dxa" w:w="2160"/>
          </w:tcPr>
          <w:p>
            <w:r>
              <w:t>Confidentiality</w:t>
            </w:r>
          </w:p>
        </w:tc>
        <w:tc>
          <w:tcPr>
            <w:tcW w:type="dxa" w:w="2160"/>
          </w:tcPr>
          <w:p>
            <w:r>
              <w:t>Internal</w:t>
            </w:r>
          </w:p>
        </w:tc>
      </w:tr>
      <w:tr>
        <w:tc>
          <w:tcPr>
            <w:tcW w:type="dxa" w:w="2160"/>
          </w:tcPr>
          <w:p>
            <w:r>
              <w:t>Primary KPIs</w:t>
            </w:r>
          </w:p>
        </w:tc>
        <w:tc>
          <w:tcPr>
            <w:tcW w:type="dxa" w:w="2160"/>
          </w:tcPr>
          <w:p>
            <w:r>
              <w:t>Compliance %; reporting timeliness; audit completeness</w:t>
            </w:r>
          </w:p>
        </w:tc>
        <w:tc>
          <w:tcPr>
            <w:tcW w:type="dxa" w:w="2160"/>
          </w:tcPr>
          <w:p>
            <w:r>
              <w:t>SLOs</w:t>
            </w:r>
          </w:p>
        </w:tc>
        <w:tc>
          <w:tcPr>
            <w:tcW w:type="dxa" w:w="2160"/>
          </w:tcPr>
          <w:p>
            <w:r>
              <w:t>See §3.2 &amp; §11</w:t>
            </w:r>
          </w:p>
        </w:tc>
      </w:tr>
      <w:tr>
        <w:tc>
          <w:tcPr>
            <w:tcW w:type="dxa" w:w="2160"/>
          </w:tcPr>
          <w:p>
            <w:r>
              <w:t>Related Artifacts</w:t>
            </w:r>
          </w:p>
        </w:tc>
        <w:tc>
          <w:tcPr>
            <w:tcW w:type="dxa" w:w="2160"/>
          </w:tcPr>
          <w:p>
            <w:r>
              <w:t>Architecture diagram; data contracts; model cards; runbooks</w:t>
            </w:r>
          </w:p>
        </w:tc>
        <w:tc>
          <w:tcPr>
            <w:tcW w:type="dxa" w:w="2160"/>
          </w:tcPr>
          <w:p>
            <w:r>
              <w:t>Repos</w:t>
            </w:r>
          </w:p>
        </w:tc>
        <w:tc>
          <w:tcPr>
            <w:tcW w:type="dxa" w:w="2160"/>
          </w:tcPr>
          <w:p>
            <w:r>
              <w:t>TBD (internal)</w:t>
            </w:r>
          </w:p>
        </w:tc>
      </w:tr>
    </w:tbl>
    <w:p/>
    <w:p>
      <w:pPr>
        <w:pStyle w:val="Heading2"/>
      </w:pPr>
      <w:r>
        <w:t>How to Use This Guide</w:t>
      </w:r>
    </w:p>
    <w:p>
      <w:r>
        <w:t>This is the shared execution plan for GL-010. Each team should (1) align on scope (§2), (2) agree on data contracts (§4), and (3) implement the reference architecture (§7) and team worklists (§10). Regulatory interpretation remains owned by Compliance; the agent provides decision support and reproducible evidence.</w:t>
      </w:r>
    </w:p>
    <w:p>
      <w:r>
        <w:br w:type="page"/>
      </w:r>
    </w:p>
    <w:p>
      <w:pPr>
        <w:pStyle w:val="Heading1"/>
      </w:pPr>
      <w:r>
        <w:t>1. Executive Summary</w:t>
      </w:r>
    </w:p>
    <w:p>
      <w:r>
        <w:t>GL-010 (EmissionsGuardian) is a production-grade emissions compliance monitoring agent. It ingests continuous emissions monitoring system (CEMS) data and supporting operational and regulatory datasets; evaluates compliance against permit limits and program rules; automates Relative Accuracy Test Audit (RATA) workflows; and generates regulatory-ready reporting packages with complete audit trails. It also integrates carbon market signals for trading recommendations, tracks carbon offsets, detects likely fugitive emissions, and provides explainability (SHAP/LIME) and natural-language compliance summaries.</w:t>
      </w:r>
    </w:p>
    <w:p>
      <w:pPr>
        <w:pStyle w:val="Heading2"/>
      </w:pPr>
      <w:r>
        <w:t>1.1 Agent Snapshot (portfolio registry)</w:t>
      </w:r>
    </w:p>
    <w:tbl>
      <w:tblPr>
        <w:tblStyle w:val="TableGrid"/>
        <w:tblW w:type="auto" w:w="0"/>
        <w:tblLook w:firstColumn="1" w:firstRow="1" w:lastColumn="0" w:lastRow="0" w:noHBand="0" w:noVBand="1" w:val="04A0"/>
      </w:tblPr>
      <w:tblGrid>
        <w:gridCol w:w="4320"/>
        <w:gridCol w:w="4320"/>
      </w:tblGrid>
      <w:tr>
        <w:tc>
          <w:tcPr>
            <w:tcW w:type="dxa" w:w="4320"/>
          </w:tcPr>
          <w:p>
            <w:r>
              <w:t>Agent ID</w:t>
            </w:r>
          </w:p>
        </w:tc>
        <w:tc>
          <w:tcPr>
            <w:tcW w:type="dxa" w:w="4320"/>
          </w:tcPr>
          <w:p>
            <w:r>
              <w:t>GL-010</w:t>
            </w:r>
          </w:p>
        </w:tc>
      </w:tr>
      <w:tr>
        <w:tc>
          <w:tcPr>
            <w:tcW w:type="dxa" w:w="4320"/>
          </w:tcPr>
          <w:p>
            <w:r>
              <w:t>Codename</w:t>
            </w:r>
          </w:p>
        </w:tc>
        <w:tc>
          <w:tcPr>
            <w:tcW w:type="dxa" w:w="4320"/>
          </w:tcPr>
          <w:p>
            <w:r>
              <w:t>EMISSIONSGUARDIAN</w:t>
            </w:r>
          </w:p>
        </w:tc>
      </w:tr>
      <w:tr>
        <w:tc>
          <w:tcPr>
            <w:tcW w:type="dxa" w:w="4320"/>
          </w:tcPr>
          <w:p>
            <w:r>
              <w:t>Class</w:t>
            </w:r>
          </w:p>
        </w:tc>
        <w:tc>
          <w:tcPr>
            <w:tcW w:type="dxa" w:w="4320"/>
          </w:tcPr>
          <w:p>
            <w:r>
              <w:t>EmissionsComplianceAgent</w:t>
            </w:r>
          </w:p>
        </w:tc>
      </w:tr>
      <w:tr>
        <w:tc>
          <w:tcPr>
            <w:tcW w:type="dxa" w:w="4320"/>
          </w:tcPr>
          <w:p>
            <w:r>
              <w:t>Domain</w:t>
            </w:r>
          </w:p>
        </w:tc>
        <w:tc>
          <w:tcPr>
            <w:tcW w:type="dxa" w:w="4320"/>
          </w:tcPr>
          <w:p>
            <w:r>
              <w:t>Compliance / Monitor</w:t>
            </w:r>
          </w:p>
        </w:tc>
      </w:tr>
      <w:tr>
        <w:tc>
          <w:tcPr>
            <w:tcW w:type="dxa" w:w="4320"/>
          </w:tcPr>
          <w:p>
            <w:r>
              <w:t>Priority / Criticality</w:t>
            </w:r>
          </w:p>
        </w:tc>
        <w:tc>
          <w:tcPr>
            <w:tcW w:type="dxa" w:w="4320"/>
          </w:tcPr>
          <w:p>
            <w:r>
              <w:t>P0 / High</w:t>
            </w:r>
          </w:p>
        </w:tc>
      </w:tr>
      <w:tr>
        <w:tc>
          <w:tcPr>
            <w:tcW w:type="dxa" w:w="4320"/>
          </w:tcPr>
          <w:p>
            <w:r>
              <w:t>Economic exposure</w:t>
            </w:r>
          </w:p>
        </w:tc>
        <w:tc>
          <w:tcPr>
            <w:tcW w:type="dxa" w:w="4320"/>
          </w:tcPr>
          <w:p>
            <w:r>
              <w:t>$11B (portfolio estimate)</w:t>
            </w:r>
          </w:p>
        </w:tc>
      </w:tr>
      <w:tr>
        <w:tc>
          <w:tcPr>
            <w:tcW w:type="dxa" w:w="4320"/>
          </w:tcPr>
          <w:p>
            <w:r>
              <w:t>Target release</w:t>
            </w:r>
          </w:p>
        </w:tc>
        <w:tc>
          <w:tcPr>
            <w:tcW w:type="dxa" w:w="4320"/>
          </w:tcPr>
          <w:p>
            <w:r>
              <w:t>Q4 2025</w:t>
            </w:r>
          </w:p>
        </w:tc>
      </w:tr>
      <w:tr>
        <w:tc>
          <w:tcPr>
            <w:tcW w:type="dxa" w:w="4320"/>
          </w:tcPr>
          <w:p>
            <w:r>
              <w:t>Maturity</w:t>
            </w:r>
          </w:p>
        </w:tc>
        <w:tc>
          <w:tcPr>
            <w:tcW w:type="dxa" w:w="4320"/>
          </w:tcPr>
          <w:p>
            <w:r>
              <w:t>Implemented; enhancements in progress</w:t>
            </w:r>
          </w:p>
        </w:tc>
      </w:tr>
      <w:tr>
        <w:tc>
          <w:tcPr>
            <w:tcW w:type="dxa" w:w="4320"/>
          </w:tcPr>
          <w:p>
            <w:r>
              <w:t>Key enhancements</w:t>
            </w:r>
          </w:p>
        </w:tc>
        <w:tc>
          <w:tcPr>
            <w:tcW w:type="dxa" w:w="4320"/>
          </w:tcPr>
          <w:p>
            <w:r>
              <w:t>EPA RATA automation; emissions trading integration; fugitive emission detection; SHAP/LIME explainability; carbon offset tracking; NL summaries; automated regulatory reporting; full audit trails</w:t>
            </w:r>
          </w:p>
        </w:tc>
      </w:tr>
      <w:tr>
        <w:tc>
          <w:tcPr>
            <w:tcW w:type="dxa" w:w="4320"/>
          </w:tcPr>
          <w:p>
            <w:r>
              <w:t>Inputs</w:t>
            </w:r>
          </w:p>
        </w:tc>
        <w:tc>
          <w:tcPr>
            <w:tcW w:type="dxa" w:w="4320"/>
          </w:tcPr>
          <w:p>
            <w:r>
              <w:t>Emissions data; CEMS readings; regulatory limits; carbon prices; permit conditions; fuel consumption; weather data</w:t>
            </w:r>
          </w:p>
        </w:tc>
      </w:tr>
      <w:tr>
        <w:tc>
          <w:tcPr>
            <w:tcW w:type="dxa" w:w="4320"/>
          </w:tcPr>
          <w:p>
            <w:r>
              <w:t>Outputs</w:t>
            </w:r>
          </w:p>
        </w:tc>
        <w:tc>
          <w:tcPr>
            <w:tcW w:type="dxa" w:w="4320"/>
          </w:tcPr>
          <w:p>
            <w:r>
              <w:t>Compliance status; RATA reports; trading recommendations; offset certificates; NL summaries; explainability dashboards; audit logs; regulatory submissions</w:t>
            </w:r>
          </w:p>
        </w:tc>
      </w:tr>
    </w:tbl>
    <w:p>
      <w:pPr>
        <w:pStyle w:val="Heading2"/>
      </w:pPr>
      <w:r>
        <w:t>1.2 Non‑Negotiables</w:t>
      </w:r>
    </w:p>
    <w:p>
      <w:pPr>
        <w:pStyle w:val="ListBullet"/>
      </w:pPr>
      <w:r>
        <w:t>Deterministic compliance math: rules-based calculations are versioned, tested, and reproducible.</w:t>
      </w:r>
    </w:p>
    <w:p>
      <w:pPr>
        <w:pStyle w:val="ListBullet"/>
      </w:pPr>
      <w:r>
        <w:t>Evidence-first auditability: every conclusion is traceable to raw inputs, transformations, and approvals.</w:t>
      </w:r>
    </w:p>
    <w:p>
      <w:pPr>
        <w:pStyle w:val="ListBullet"/>
      </w:pPr>
      <w:r>
        <w:t>Human approvals for trading and reporting submissions (no autonomous external actions).</w:t>
      </w:r>
    </w:p>
    <w:p>
      <w:pPr>
        <w:pStyle w:val="ListBullet"/>
      </w:pPr>
      <w:r>
        <w:t>OT safety: no changes to control systems; read-only telemetry with segmented networks.</w:t>
      </w:r>
    </w:p>
    <w:p>
      <w:pPr>
        <w:pStyle w:val="ListBullet"/>
      </w:pPr>
      <w:r>
        <w:t>Explainability and governance for ML outputs; no ‘black box’ compliance decisions.</w:t>
      </w:r>
    </w:p>
    <w:p>
      <w:pPr>
        <w:pStyle w:val="Heading1"/>
      </w:pPr>
      <w:r>
        <w:t>2. Scope, Assumptions, and Success Criteria</w:t>
      </w:r>
    </w:p>
    <w:p>
      <w:pPr>
        <w:pStyle w:val="Heading2"/>
      </w:pPr>
      <w:r>
        <w:t>2.1 In Scope</w:t>
      </w:r>
    </w:p>
    <w:p>
      <w:pPr>
        <w:pStyle w:val="ListBullet"/>
      </w:pPr>
      <w:r>
        <w:t>Ingest and normalize CEMS/DAHS measurements and quality flags; preserve raw records immutably.</w:t>
      </w:r>
    </w:p>
    <w:p>
      <w:pPr>
        <w:pStyle w:val="ListBullet"/>
      </w:pPr>
      <w:r>
        <w:t>Evaluate compliance against applicable limits, averaging windows, and permit logic; detect exceedances and provide corrective-action workflow.</w:t>
      </w:r>
    </w:p>
    <w:p>
      <w:pPr>
        <w:pStyle w:val="ListBullet"/>
      </w:pPr>
      <w:r>
        <w:t>RATA automation support: scheduling, readiness checks, evidence capture, calculations, and report packaging.</w:t>
      </w:r>
    </w:p>
    <w:p>
      <w:pPr>
        <w:pStyle w:val="ListBullet"/>
      </w:pPr>
      <w:r>
        <w:t>Fugitive emissions detection using sensor networks/optical systems plus meteorology and equipment context; provide explainability outputs.</w:t>
      </w:r>
    </w:p>
    <w:p>
      <w:pPr>
        <w:pStyle w:val="ListBullet"/>
      </w:pPr>
      <w:r>
        <w:t>Carbon market integration: price ingestion, position tracking, and recommendation generation under policy constraints.</w:t>
      </w:r>
    </w:p>
    <w:p>
      <w:pPr>
        <w:pStyle w:val="ListBullet"/>
      </w:pPr>
      <w:r>
        <w:t>Offsets/certificates tracking: provenance checks, serial number tracking, retirement status tracking, and linkage to claims.</w:t>
      </w:r>
    </w:p>
    <w:p>
      <w:pPr>
        <w:pStyle w:val="ListBullet"/>
      </w:pPr>
      <w:r>
        <w:t>Natural-language compliance summaries and regulator-ready reporting packages with full audit trails.</w:t>
      </w:r>
    </w:p>
    <w:p>
      <w:pPr>
        <w:pStyle w:val="Heading2"/>
      </w:pPr>
      <w:r>
        <w:t>2.2 Out of Scope (unless explicitly approved)</w:t>
      </w:r>
    </w:p>
    <w:p>
      <w:pPr>
        <w:pStyle w:val="ListBullet"/>
      </w:pPr>
      <w:r>
        <w:t>Physical installation/maintenance of CEMS hardware (site projects/vendors).</w:t>
      </w:r>
    </w:p>
    <w:p>
      <w:pPr>
        <w:pStyle w:val="ListBullet"/>
      </w:pPr>
      <w:r>
        <w:t>Legal interpretation of regulations (Compliance is authority; agent supports).</w:t>
      </w:r>
    </w:p>
    <w:p>
      <w:pPr>
        <w:pStyle w:val="ListBullet"/>
      </w:pPr>
      <w:r>
        <w:t>Unattended regulator submissions where a supported electronic submission mechanism is unavailable; the agent instead generates submission-ready packages for manual upload.</w:t>
      </w:r>
    </w:p>
    <w:p>
      <w:pPr>
        <w:pStyle w:val="Heading2"/>
      </w:pPr>
      <w:r>
        <w:t>2.3 Success Criteria (Definition of Done)</w:t>
      </w:r>
    </w:p>
    <w:p>
      <w:pPr>
        <w:pStyle w:val="ListBullet"/>
      </w:pPr>
      <w:r>
        <w:t>Compliance calculations match the approved methodology and pass independent verification on historical datasets.</w:t>
      </w:r>
    </w:p>
    <w:p>
      <w:pPr>
        <w:pStyle w:val="ListBullet"/>
      </w:pPr>
      <w:r>
        <w:t>Audit completeness: every decision includes provenance pointers (inputs, transformations, versions, and human actions).</w:t>
      </w:r>
    </w:p>
    <w:p>
      <w:pPr>
        <w:pStyle w:val="ListBullet"/>
      </w:pPr>
      <w:r>
        <w:t>Data quality gating: bad/missing data cannot silently produce ‘compliant’ outputs.</w:t>
      </w:r>
    </w:p>
    <w:p>
      <w:pPr>
        <w:pStyle w:val="ListBullet"/>
      </w:pPr>
      <w:r>
        <w:t>Regulatory packages pass internal pre-submission checklist and a mock audit.</w:t>
      </w:r>
    </w:p>
    <w:p>
      <w:pPr>
        <w:pStyle w:val="ListBullet"/>
      </w:pPr>
      <w:r>
        <w:t>Operational readiness: SLO dashboards and runbooks exist; replay and correction workflows are governed and tested.</w:t>
      </w:r>
    </w:p>
    <w:p>
      <w:pPr>
        <w:pStyle w:val="Heading1"/>
      </w:pPr>
      <w:r>
        <w:t>3. Requirements</w:t>
      </w:r>
    </w:p>
    <w:p>
      <w:pPr>
        <w:pStyle w:val="Heading2"/>
      </w:pPr>
      <w:r>
        <w:t>3.1 Functional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Verification</w:t>
            </w:r>
          </w:p>
        </w:tc>
      </w:tr>
      <w:tr>
        <w:tc>
          <w:tcPr>
            <w:tcW w:type="dxa" w:w="2880"/>
          </w:tcPr>
          <w:p>
            <w:r>
              <w:t>FR-01</w:t>
            </w:r>
          </w:p>
        </w:tc>
        <w:tc>
          <w:tcPr>
            <w:tcW w:type="dxa" w:w="2880"/>
          </w:tcPr>
          <w:p>
            <w:r>
              <w:t>Ingest CEMS and supporting data streams (near real-time) with time alignment and unit normalization.</w:t>
            </w:r>
          </w:p>
        </w:tc>
        <w:tc>
          <w:tcPr>
            <w:tcW w:type="dxa" w:w="2880"/>
          </w:tcPr>
          <w:p>
            <w:r>
              <w:t>Automated tests + acceptance checklist (§11).</w:t>
            </w:r>
          </w:p>
        </w:tc>
      </w:tr>
      <w:tr>
        <w:tc>
          <w:tcPr>
            <w:tcW w:type="dxa" w:w="2880"/>
          </w:tcPr>
          <w:p>
            <w:r>
              <w:t>FR-02</w:t>
            </w:r>
          </w:p>
        </w:tc>
        <w:tc>
          <w:tcPr>
            <w:tcW w:type="dxa" w:w="2880"/>
          </w:tcPr>
          <w:p>
            <w:r>
              <w:t>Evaluate compliance against limits (hourly/daily/rolling) and permit conditions; generate exceedance events and escalation workflow.</w:t>
            </w:r>
          </w:p>
        </w:tc>
        <w:tc>
          <w:tcPr>
            <w:tcW w:type="dxa" w:w="2880"/>
          </w:tcPr>
          <w:p>
            <w:r>
              <w:t>Automated tests + acceptance checklist (§11).</w:t>
            </w:r>
          </w:p>
        </w:tc>
      </w:tr>
      <w:tr>
        <w:tc>
          <w:tcPr>
            <w:tcW w:type="dxa" w:w="2880"/>
          </w:tcPr>
          <w:p>
            <w:r>
              <w:t>FR-03</w:t>
            </w:r>
          </w:p>
        </w:tc>
        <w:tc>
          <w:tcPr>
            <w:tcW w:type="dxa" w:w="2880"/>
          </w:tcPr>
          <w:p>
            <w:r>
              <w:t>Automate RATA workflows: test readiness checks, evidence capture, relative accuracy computations, and report packaging.</w:t>
            </w:r>
          </w:p>
        </w:tc>
        <w:tc>
          <w:tcPr>
            <w:tcW w:type="dxa" w:w="2880"/>
          </w:tcPr>
          <w:p>
            <w:r>
              <w:t>Automated tests + acceptance checklist (§11).</w:t>
            </w:r>
          </w:p>
        </w:tc>
      </w:tr>
      <w:tr>
        <w:tc>
          <w:tcPr>
            <w:tcW w:type="dxa" w:w="2880"/>
          </w:tcPr>
          <w:p>
            <w:r>
              <w:t>FR-04</w:t>
            </w:r>
          </w:p>
        </w:tc>
        <w:tc>
          <w:tcPr>
            <w:tcW w:type="dxa" w:w="2880"/>
          </w:tcPr>
          <w:p>
            <w:r>
              <w:t>Detect anomalies and likely fugitive emissions; provide likelihood and explainability; support field verification loop.</w:t>
            </w:r>
          </w:p>
        </w:tc>
        <w:tc>
          <w:tcPr>
            <w:tcW w:type="dxa" w:w="2880"/>
          </w:tcPr>
          <w:p>
            <w:r>
              <w:t>Automated tests + acceptance checklist (§11).</w:t>
            </w:r>
          </w:p>
        </w:tc>
      </w:tr>
      <w:tr>
        <w:tc>
          <w:tcPr>
            <w:tcW w:type="dxa" w:w="2880"/>
          </w:tcPr>
          <w:p>
            <w:r>
              <w:t>FR-05</w:t>
            </w:r>
          </w:p>
        </w:tc>
        <w:tc>
          <w:tcPr>
            <w:tcW w:type="dxa" w:w="2880"/>
          </w:tcPr>
          <w:p>
            <w:r>
              <w:t>Track carbon prices and positions; generate trading recommendations with constraints and approvals.</w:t>
            </w:r>
          </w:p>
        </w:tc>
        <w:tc>
          <w:tcPr>
            <w:tcW w:type="dxa" w:w="2880"/>
          </w:tcPr>
          <w:p>
            <w:r>
              <w:t>Automated tests + acceptance checklist (§11).</w:t>
            </w:r>
          </w:p>
        </w:tc>
      </w:tr>
      <w:tr>
        <w:tc>
          <w:tcPr>
            <w:tcW w:type="dxa" w:w="2880"/>
          </w:tcPr>
          <w:p>
            <w:r>
              <w:t>FR-06</w:t>
            </w:r>
          </w:p>
        </w:tc>
        <w:tc>
          <w:tcPr>
            <w:tcW w:type="dxa" w:w="2880"/>
          </w:tcPr>
          <w:p>
            <w:r>
              <w:t>Track offsets/certificates with provenance, serials, retirement status, and claim linkage.</w:t>
            </w:r>
          </w:p>
        </w:tc>
        <w:tc>
          <w:tcPr>
            <w:tcW w:type="dxa" w:w="2880"/>
          </w:tcPr>
          <w:p>
            <w:r>
              <w:t>Automated tests + acceptance checklist (§11).</w:t>
            </w:r>
          </w:p>
        </w:tc>
      </w:tr>
      <w:tr>
        <w:tc>
          <w:tcPr>
            <w:tcW w:type="dxa" w:w="2880"/>
          </w:tcPr>
          <w:p>
            <w:r>
              <w:t>FR-07</w:t>
            </w:r>
          </w:p>
        </w:tc>
        <w:tc>
          <w:tcPr>
            <w:tcW w:type="dxa" w:w="2880"/>
          </w:tcPr>
          <w:p>
            <w:r>
              <w:t>Generate natural-language summaries and regulator-ready reporting packages; track submission states.</w:t>
            </w:r>
          </w:p>
        </w:tc>
        <w:tc>
          <w:tcPr>
            <w:tcW w:type="dxa" w:w="2880"/>
          </w:tcPr>
          <w:p>
            <w:r>
              <w:t>Automated tests + acceptance checklist (§11).</w:t>
            </w:r>
          </w:p>
        </w:tc>
      </w:tr>
      <w:tr>
        <w:tc>
          <w:tcPr>
            <w:tcW w:type="dxa" w:w="2880"/>
          </w:tcPr>
          <w:p>
            <w:r>
              <w:t>FR-08</w:t>
            </w:r>
          </w:p>
        </w:tc>
        <w:tc>
          <w:tcPr>
            <w:tcW w:type="dxa" w:w="2880"/>
          </w:tcPr>
          <w:p>
            <w:r>
              <w:t>Maintain immutable audit logs including approvals, overrides, and justifications.</w:t>
            </w:r>
          </w:p>
        </w:tc>
        <w:tc>
          <w:tcPr>
            <w:tcW w:type="dxa" w:w="2880"/>
          </w:tcPr>
          <w:p>
            <w:r>
              <w:t>Automated tests + acceptance checklist (§11).</w:t>
            </w:r>
          </w:p>
        </w:tc>
      </w:tr>
    </w:tbl>
    <w:p/>
    <w:p>
      <w:pPr>
        <w:pStyle w:val="Heading2"/>
      </w:pPr>
      <w:r>
        <w:t>3.2 Non‑Functional Requirements (NFRs)</w:t>
      </w:r>
    </w:p>
    <w:tbl>
      <w:tblPr>
        <w:tblStyle w:val="TableGrid"/>
        <w:tblW w:type="auto" w:w="0"/>
        <w:tblLook w:firstColumn="1" w:firstRow="1" w:lastColumn="0" w:lastRow="0" w:noHBand="0" w:noVBand="1" w:val="04A0"/>
      </w:tblPr>
      <w:tblGrid>
        <w:gridCol w:w="4320"/>
        <w:gridCol w:w="4320"/>
      </w:tblGrid>
      <w:tr>
        <w:tc>
          <w:tcPr>
            <w:tcW w:type="dxa" w:w="4320"/>
          </w:tcPr>
          <w:p>
            <w:r>
              <w:t>Area</w:t>
            </w:r>
          </w:p>
        </w:tc>
        <w:tc>
          <w:tcPr>
            <w:tcW w:type="dxa" w:w="4320"/>
          </w:tcPr>
          <w:p>
            <w:r>
              <w:t>Requirement</w:t>
            </w:r>
          </w:p>
        </w:tc>
      </w:tr>
      <w:tr>
        <w:tc>
          <w:tcPr>
            <w:tcW w:type="dxa" w:w="4320"/>
          </w:tcPr>
          <w:p>
            <w:r>
              <w:t>NFR-01 Reliability</w:t>
            </w:r>
          </w:p>
        </w:tc>
        <w:tc>
          <w:tcPr>
            <w:tcW w:type="dxa" w:w="4320"/>
          </w:tcPr>
          <w:p>
            <w:r>
              <w:t>No data loss across ingestion path; at-least-once delivery with idempotent processing; replay support.</w:t>
            </w:r>
          </w:p>
        </w:tc>
      </w:tr>
      <w:tr>
        <w:tc>
          <w:tcPr>
            <w:tcW w:type="dxa" w:w="4320"/>
          </w:tcPr>
          <w:p>
            <w:r>
              <w:t>NFR-02 Latency</w:t>
            </w:r>
          </w:p>
        </w:tc>
        <w:tc>
          <w:tcPr>
            <w:tcW w:type="dxa" w:w="4320"/>
          </w:tcPr>
          <w:p>
            <w:r>
              <w:t>Streaming compliance evaluation within agreed SLA for operational alerts (minutes, site-specific).</w:t>
            </w:r>
          </w:p>
        </w:tc>
      </w:tr>
      <w:tr>
        <w:tc>
          <w:tcPr>
            <w:tcW w:type="dxa" w:w="4320"/>
          </w:tcPr>
          <w:p>
            <w:r>
              <w:t>NFR-03 Traceability</w:t>
            </w:r>
          </w:p>
        </w:tc>
        <w:tc>
          <w:tcPr>
            <w:tcW w:type="dxa" w:w="4320"/>
          </w:tcPr>
          <w:p>
            <w:r>
              <w:t>Event-sourced lineage: raw → normalized → derived → decision → report artifact.</w:t>
            </w:r>
          </w:p>
        </w:tc>
      </w:tr>
      <w:tr>
        <w:tc>
          <w:tcPr>
            <w:tcW w:type="dxa" w:w="4320"/>
          </w:tcPr>
          <w:p>
            <w:r>
              <w:t>NFR-04 Security</w:t>
            </w:r>
          </w:p>
        </w:tc>
        <w:tc>
          <w:tcPr>
            <w:tcW w:type="dxa" w:w="4320"/>
          </w:tcPr>
          <w:p>
            <w:r>
              <w:t>Zero trust for OT integrations; strong authN/authZ; encryption in transit/at rest; secrets management.</w:t>
            </w:r>
          </w:p>
        </w:tc>
      </w:tr>
      <w:tr>
        <w:tc>
          <w:tcPr>
            <w:tcW w:type="dxa" w:w="4320"/>
          </w:tcPr>
          <w:p>
            <w:r>
              <w:t>NFR-05 Auditability</w:t>
            </w:r>
          </w:p>
        </w:tc>
        <w:tc>
          <w:tcPr>
            <w:tcW w:type="dxa" w:w="4320"/>
          </w:tcPr>
          <w:p>
            <w:r>
              <w:t>Immutable, queryable audit logs; tamper-evident artifact manifests; retention aligned to recordkeeping rules.</w:t>
            </w:r>
          </w:p>
        </w:tc>
      </w:tr>
      <w:tr>
        <w:tc>
          <w:tcPr>
            <w:tcW w:type="dxa" w:w="4320"/>
          </w:tcPr>
          <w:p>
            <w:r>
              <w:t>NFR-06 Explainability</w:t>
            </w:r>
          </w:p>
        </w:tc>
        <w:tc>
          <w:tcPr>
            <w:tcW w:type="dxa" w:w="4320"/>
          </w:tcPr>
          <w:p>
            <w:r>
              <w:t>ML alerts include SHAP/LIME explanations and data-quality context; human review workflow required.</w:t>
            </w:r>
          </w:p>
        </w:tc>
      </w:tr>
      <w:tr>
        <w:tc>
          <w:tcPr>
            <w:tcW w:type="dxa" w:w="4320"/>
          </w:tcPr>
          <w:p>
            <w:r>
              <w:t>NFR-07 Availability</w:t>
            </w:r>
          </w:p>
        </w:tc>
        <w:tc>
          <w:tcPr>
            <w:tcW w:type="dxa" w:w="4320"/>
          </w:tcPr>
          <w:p>
            <w:r>
              <w:t>High availability for monitoring and reporting; define SLOs by environment and enforce error budgets.</w:t>
            </w:r>
          </w:p>
        </w:tc>
      </w:tr>
    </w:tbl>
    <w:p>
      <w:pPr>
        <w:pStyle w:val="Heading1"/>
      </w:pPr>
      <w:r>
        <w:t>4. Data Requirements</w:t>
      </w:r>
    </w:p>
    <w:p>
      <w:pPr>
        <w:pStyle w:val="Heading2"/>
      </w:pPr>
      <w:r>
        <w:t>4.1 Input Data Domains</w:t>
      </w:r>
    </w:p>
    <w:tbl>
      <w:tblPr>
        <w:tblStyle w:val="TableGrid"/>
        <w:tblW w:type="auto" w:w="0"/>
        <w:tblLook w:firstColumn="1" w:firstRow="1" w:lastColumn="0" w:lastRow="0" w:noHBand="0" w:noVBand="1" w:val="04A0"/>
      </w:tblPr>
      <w:tblGrid>
        <w:gridCol w:w="2880"/>
        <w:gridCol w:w="2880"/>
        <w:gridCol w:w="2880"/>
      </w:tblGrid>
      <w:tr>
        <w:tc>
          <w:tcPr>
            <w:tcW w:type="dxa" w:w="2880"/>
          </w:tcPr>
          <w:p>
            <w:r>
              <w:t>Domain</w:t>
            </w:r>
          </w:p>
        </w:tc>
        <w:tc>
          <w:tcPr>
            <w:tcW w:type="dxa" w:w="2880"/>
          </w:tcPr>
          <w:p>
            <w:r>
              <w:t>Key fields (examples)</w:t>
            </w:r>
          </w:p>
        </w:tc>
        <w:tc>
          <w:tcPr>
            <w:tcW w:type="dxa" w:w="2880"/>
          </w:tcPr>
          <w:p>
            <w:r>
              <w:t>Typical cadence</w:t>
            </w:r>
          </w:p>
        </w:tc>
      </w:tr>
      <w:tr>
        <w:tc>
          <w:tcPr>
            <w:tcW w:type="dxa" w:w="2880"/>
          </w:tcPr>
          <w:p>
            <w:r>
              <w:t>CEMS / DAHS</w:t>
            </w:r>
          </w:p>
        </w:tc>
        <w:tc>
          <w:tcPr>
            <w:tcW w:type="dxa" w:w="2880"/>
          </w:tcPr>
          <w:p>
            <w:r>
              <w:t>Pollutant concentrations (e.g., CO2, NOx, SO2), flow, diluent (O2/CO2), stack conditions, QA/QC flags, calibration events.</w:t>
            </w:r>
          </w:p>
        </w:tc>
        <w:tc>
          <w:tcPr>
            <w:tcW w:type="dxa" w:w="2880"/>
          </w:tcPr>
          <w:p>
            <w:r>
              <w:t>1–60 sec</w:t>
            </w:r>
          </w:p>
        </w:tc>
      </w:tr>
      <w:tr>
        <w:tc>
          <w:tcPr>
            <w:tcW w:type="dxa" w:w="2880"/>
          </w:tcPr>
          <w:p>
            <w:r>
              <w:t>Regulatory limits &amp; permits</w:t>
            </w:r>
          </w:p>
        </w:tc>
        <w:tc>
          <w:tcPr>
            <w:tcW w:type="dxa" w:w="2880"/>
          </w:tcPr>
          <w:p>
            <w:r>
              <w:t>Limit values, averaging periods, operating-condition logic, compliance calendars, required methods, reporting formats.</w:t>
            </w:r>
          </w:p>
        </w:tc>
        <w:tc>
          <w:tcPr>
            <w:tcW w:type="dxa" w:w="2880"/>
          </w:tcPr>
          <w:p>
            <w:r>
              <w:t>Change-driven</w:t>
            </w:r>
          </w:p>
        </w:tc>
      </w:tr>
      <w:tr>
        <w:tc>
          <w:tcPr>
            <w:tcW w:type="dxa" w:w="2880"/>
          </w:tcPr>
          <w:p>
            <w:r>
              <w:t>Operations &amp; fuel</w:t>
            </w:r>
          </w:p>
        </w:tc>
        <w:tc>
          <w:tcPr>
            <w:tcW w:type="dxa" w:w="2880"/>
          </w:tcPr>
          <w:p>
            <w:r>
              <w:t>Fuel flow/consumption, fuel type &amp; composition, heating value, unit operating state, startup/shutdown tags.</w:t>
            </w:r>
          </w:p>
        </w:tc>
        <w:tc>
          <w:tcPr>
            <w:tcW w:type="dxa" w:w="2880"/>
          </w:tcPr>
          <w:p>
            <w:r>
              <w:t>1–60 sec to daily</w:t>
            </w:r>
          </w:p>
        </w:tc>
      </w:tr>
      <w:tr>
        <w:tc>
          <w:tcPr>
            <w:tcW w:type="dxa" w:w="2880"/>
          </w:tcPr>
          <w:p>
            <w:r>
              <w:t>Weather / met</w:t>
            </w:r>
          </w:p>
        </w:tc>
        <w:tc>
          <w:tcPr>
            <w:tcW w:type="dxa" w:w="2880"/>
          </w:tcPr>
          <w:p>
            <w:r>
              <w:t>Wind speed/direction, temperature, turbulence/stability proxies, precipitation; timestamps aligned.</w:t>
            </w:r>
          </w:p>
        </w:tc>
        <w:tc>
          <w:tcPr>
            <w:tcW w:type="dxa" w:w="2880"/>
          </w:tcPr>
          <w:p>
            <w:r>
              <w:t>1–10 min</w:t>
            </w:r>
          </w:p>
        </w:tc>
      </w:tr>
      <w:tr>
        <w:tc>
          <w:tcPr>
            <w:tcW w:type="dxa" w:w="2880"/>
          </w:tcPr>
          <w:p>
            <w:r>
              <w:t>Carbon markets</w:t>
            </w:r>
          </w:p>
        </w:tc>
        <w:tc>
          <w:tcPr>
            <w:tcW w:type="dxa" w:w="2880"/>
          </w:tcPr>
          <w:p>
            <w:r>
              <w:t>Spot/forward prices, product specs, positions, transaction constraints, risk limits.</w:t>
            </w:r>
          </w:p>
        </w:tc>
        <w:tc>
          <w:tcPr>
            <w:tcW w:type="dxa" w:w="2880"/>
          </w:tcPr>
          <w:p>
            <w:r>
              <w:t>1–60 min</w:t>
            </w:r>
          </w:p>
        </w:tc>
      </w:tr>
      <w:tr>
        <w:tc>
          <w:tcPr>
            <w:tcW w:type="dxa" w:w="2880"/>
          </w:tcPr>
          <w:p>
            <w:r>
              <w:t>Offsets / registries</w:t>
            </w:r>
          </w:p>
        </w:tc>
        <w:tc>
          <w:tcPr>
            <w:tcW w:type="dxa" w:w="2880"/>
          </w:tcPr>
          <w:p>
            <w:r>
              <w:t>Certificate metadata, serial ranges, vintage, project data, retirement status, claim linkage.</w:t>
            </w:r>
          </w:p>
        </w:tc>
        <w:tc>
          <w:tcPr>
            <w:tcW w:type="dxa" w:w="2880"/>
          </w:tcPr>
          <w:p>
            <w:r>
              <w:t>Change-driven</w:t>
            </w:r>
          </w:p>
        </w:tc>
      </w:tr>
    </w:tbl>
    <w:p>
      <w:pPr>
        <w:pStyle w:val="Heading2"/>
      </w:pPr>
      <w:r>
        <w:t>4.2 Canonical Time-Series Record (minimum required fields)</w:t>
      </w:r>
    </w:p>
    <w:p>
      <w:pPr>
        <w:pStyle w:val="ListBullet"/>
      </w:pPr>
      <w:r>
        <w:t>asset_id, unit_id, stack_id (where applicable)</w:t>
      </w:r>
    </w:p>
    <w:p>
      <w:pPr>
        <w:pStyle w:val="ListBullet"/>
      </w:pPr>
      <w:r>
        <w:t>timestamp_utc (source timestamp) and ingest_timestamp_utc</w:t>
      </w:r>
    </w:p>
    <w:p>
      <w:pPr>
        <w:pStyle w:val="ListBullet"/>
      </w:pPr>
      <w:r>
        <w:t>parameter and value</w:t>
      </w:r>
    </w:p>
    <w:p>
      <w:pPr>
        <w:pStyle w:val="ListBullet"/>
      </w:pPr>
      <w:r>
        <w:t>unit_of_measure + basis (wet/dry, standard conditions, etc.)</w:t>
      </w:r>
    </w:p>
    <w:p>
      <w:pPr>
        <w:pStyle w:val="ListBullet"/>
      </w:pPr>
      <w:r>
        <w:t>quality_flag(s): valid/suspect/missing/substituted + reason codes</w:t>
      </w:r>
    </w:p>
    <w:p>
      <w:pPr>
        <w:pStyle w:val="ListBullet"/>
      </w:pPr>
      <w:r>
        <w:t>source_system (CEMS vendor/DAHS), tag/path (OPC UA node id), raw payload hash</w:t>
      </w:r>
    </w:p>
    <w:p>
      <w:pPr>
        <w:pStyle w:val="Heading2"/>
      </w:pPr>
      <w:r>
        <w:t>4.3 Data Quality Gates (DQ)</w:t>
      </w:r>
    </w:p>
    <w:p>
      <w:r>
        <w:t>Hard gates must prevent compliance-green outputs when data are untrustworthy.</w:t>
      </w:r>
    </w:p>
    <w:p>
      <w:pPr>
        <w:pStyle w:val="ListBullet"/>
      </w:pPr>
      <w:r>
        <w:t>Range checks per parameter and per asset (engineering limits).</w:t>
      </w:r>
    </w:p>
    <w:p>
      <w:pPr>
        <w:pStyle w:val="ListBullet"/>
      </w:pPr>
      <w:r>
        <w:t>Rate-of-change checks (spikes/dropouts) and persistence checks (flatline).</w:t>
      </w:r>
    </w:p>
    <w:p>
      <w:pPr>
        <w:pStyle w:val="ListBullet"/>
      </w:pPr>
      <w:r>
        <w:t>Time sanity: monotonic timestamps, drift thresholds, and explicit handling of DST (store UTC).</w:t>
      </w:r>
    </w:p>
    <w:p>
      <w:pPr>
        <w:pStyle w:val="ListBullet"/>
      </w:pPr>
      <w:r>
        <w:t>Completeness thresholds per compliance period; substitution logic only when allowed and explicitly labeled.</w:t>
      </w:r>
    </w:p>
    <w:p>
      <w:pPr>
        <w:pStyle w:val="ListBullet"/>
      </w:pPr>
      <w:r>
        <w:t>Cross-signal consistency (e.g., flow vs unit load; diluent plausibility).</w:t>
      </w:r>
    </w:p>
    <w:p>
      <w:pPr>
        <w:pStyle w:val="ListBullet"/>
      </w:pPr>
      <w:r>
        <w:t>Calibration/maintenance windows: annotate decisions; enforce post-maintenance validation.</w:t>
      </w:r>
    </w:p>
    <w:p>
      <w:pPr>
        <w:pStyle w:val="Heading2"/>
      </w:pPr>
      <w:r>
        <w:t>4.4 Example Message Schemas (simplified)</w:t>
      </w:r>
    </w:p>
    <w:p>
      <w:r>
        <w:t>Example: normalized CEMS point (JSON).</w:t>
      </w:r>
    </w:p>
    <w:p>
      <w:r>
        <w:t>{</w:t>
        <w:br/>
        <w:t xml:space="preserve">  "asset_id": "PLANT_A",</w:t>
        <w:br/>
        <w:t xml:space="preserve">  "unit_id": "UNIT_1",</w:t>
        <w:br/>
        <w:t xml:space="preserve">  "stack_id": "STACK_1",</w:t>
        <w:br/>
        <w:t xml:space="preserve">  "timestamp_utc": "2025-12-18T12:00:00Z",</w:t>
        <w:br/>
        <w:t xml:space="preserve">  "parameter": "NOx_ppm_dry",</w:t>
        <w:br/>
        <w:t xml:space="preserve">  "value": 87.2,</w:t>
        <w:br/>
        <w:t xml:space="preserve">  "uom": "ppm",</w:t>
        <w:br/>
        <w:t xml:space="preserve">  "basis": "dry",</w:t>
        <w:br/>
        <w:t xml:space="preserve">  "quality": {</w:t>
        <w:br/>
        <w:t xml:space="preserve">    "flag": "valid",</w:t>
        <w:br/>
        <w:t xml:space="preserve">    "reason": null</w:t>
        <w:br/>
        <w:t xml:space="preserve">  },</w:t>
        <w:br/>
        <w:t xml:space="preserve">  "source": {</w:t>
        <w:br/>
        <w:t xml:space="preserve">    "system": "DAHS_VENDOR_X",</w:t>
        <w:br/>
        <w:t xml:space="preserve">    "opcua_node": "ns=2;s=Tag.NOX",</w:t>
        <w:br/>
        <w:t xml:space="preserve">    "raw_hash": "sha256:..."</w:t>
        <w:br/>
        <w:t xml:space="preserve">  }</w:t>
        <w:br/>
        <w:t>}</w:t>
      </w:r>
    </w:p>
    <w:p>
      <w:pPr>
        <w:pStyle w:val="Heading1"/>
      </w:pPr>
      <w:r>
        <w:t>5. Measurement, Instrumentation, and Thermal Requirements</w:t>
      </w:r>
    </w:p>
    <w:p>
      <w:pPr>
        <w:pStyle w:val="Heading2"/>
      </w:pPr>
      <w:r>
        <w:t>5.1 CEMS / Stack Measurement Requirements</w:t>
      </w:r>
    </w:p>
    <w:p>
      <w:r>
        <w:t>GL-010 relies on CEMS and associated sensors that are operated under the applicable program requirements and vendor specifications. Engineering must expose configuration and QA/QC evidence as structured data and artifacts.</w:t>
      </w:r>
    </w:p>
    <w:p>
      <w:pPr>
        <w:pStyle w:val="ListBullet"/>
      </w:pPr>
      <w:r>
        <w:t>CEMS configuration: analyzer type, ranges, basis (wet/dry), standardization assumptions, span gases, sample conditioning method.</w:t>
      </w:r>
    </w:p>
    <w:p>
      <w:pPr>
        <w:pStyle w:val="ListBullet"/>
      </w:pPr>
      <w:r>
        <w:t>QA/QC events: zero/span checks, drift, linearity, cylinder gas audits, maintenance, and corrective actions.</w:t>
      </w:r>
    </w:p>
    <w:p>
      <w:pPr>
        <w:pStyle w:val="ListBullet"/>
      </w:pPr>
      <w:r>
        <w:t>Flow monitor details: measurement principle, calibration factors, diagnostics, and maintenance history.</w:t>
      </w:r>
    </w:p>
    <w:p>
      <w:pPr>
        <w:pStyle w:val="ListBullet"/>
      </w:pPr>
      <w:r>
        <w:t>Stack conditions: temperature and pressure measurements used for standard-condition conversions and density/flow calculations.</w:t>
      </w:r>
    </w:p>
    <w:p>
      <w:pPr>
        <w:pStyle w:val="Heading2"/>
      </w:pPr>
      <w:r>
        <w:t>5.2 Thermal and Sample Conditioning Requirements</w:t>
      </w:r>
    </w:p>
    <w:p>
      <w:r>
        <w:t>Thermal control and sample conditioning directly impact measurement validity. Capture these conditions to support defensible compliance determinations.</w:t>
      </w:r>
    </w:p>
    <w:p>
      <w:pPr>
        <w:pStyle w:val="ListBullet"/>
      </w:pPr>
      <w:r>
        <w:t>Sample line/probe heating: maintain sample temperature above expected dew point with a documented margin to prevent condensation; log setpoints and alarms.</w:t>
      </w:r>
    </w:p>
    <w:p>
      <w:pPr>
        <w:pStyle w:val="ListBullet"/>
      </w:pPr>
      <w:r>
        <w:t>Filter and conditioning components: record dryer/heated filter configurations; annotate basis changes (wet vs dry) in the data model.</w:t>
      </w:r>
    </w:p>
    <w:p>
      <w:pPr>
        <w:pStyle w:val="ListBullet"/>
      </w:pPr>
      <w:r>
        <w:t>Analyzer enclosure environment: monitor temperature/humidity where required; alarm on excursions; include as data-quality context.</w:t>
      </w:r>
    </w:p>
    <w:p>
      <w:pPr>
        <w:pStyle w:val="ListBullet"/>
      </w:pPr>
      <w:r>
        <w:t>Instrument warm-up and stabilization: capture warm-up windows; suppress or label data until stable.</w:t>
      </w:r>
    </w:p>
    <w:p>
      <w:pPr>
        <w:pStyle w:val="Heading2"/>
      </w:pPr>
      <w:r>
        <w:t>5.3 Fugitive Emissions Sensing Requirements</w:t>
      </w:r>
    </w:p>
    <w:p>
      <w:r>
        <w:t>Fugitive detection analytics require rigorous metadata and meteorology.</w:t>
      </w:r>
    </w:p>
    <w:p>
      <w:pPr>
        <w:pStyle w:val="ListBullet"/>
      </w:pPr>
      <w:r>
        <w:t>Sensor metadata: location, height, orientation/FOV, calibration method, detection limit, cross-sensitivity notes.</w:t>
      </w:r>
    </w:p>
    <w:p>
      <w:pPr>
        <w:pStyle w:val="ListBullet"/>
      </w:pPr>
      <w:r>
        <w:t>Meteorology: colocated wind speed/direction (and height) with synchronized timestamps and QC flags.</w:t>
      </w:r>
    </w:p>
    <w:p>
      <w:pPr>
        <w:pStyle w:val="ListBullet"/>
      </w:pPr>
      <w:r>
        <w:t>Operational context: equipment state, valve states (when available), and maintenance logs.</w:t>
      </w:r>
    </w:p>
    <w:p>
      <w:pPr>
        <w:pStyle w:val="ListBullet"/>
      </w:pPr>
      <w:r>
        <w:t>Ground truth labels: confirmed leaks, repair logs, and rate estimates to train/validate models.</w:t>
      </w:r>
    </w:p>
    <w:p>
      <w:pPr>
        <w:pStyle w:val="Heading1"/>
      </w:pPr>
      <w:r>
        <w:t>6. Mathematics and Analytics Requirements</w:t>
      </w:r>
    </w:p>
    <w:p>
      <w:pPr>
        <w:pStyle w:val="Heading2"/>
      </w:pPr>
      <w:r>
        <w:t>6.1 Deterministic Compliance Math (rules engine)</w:t>
      </w:r>
    </w:p>
    <w:p>
      <w:r>
        <w:t>All compliance math is deterministic and versioned. ML does not decide compliance; ML supports investigation and prioritization.</w:t>
      </w:r>
    </w:p>
    <w:p>
      <w:pPr>
        <w:pStyle w:val="ListBullet"/>
      </w:pPr>
      <w:r>
        <w:t>Unit conversions with explicit standard conditions; store both raw and converted values.</w:t>
      </w:r>
    </w:p>
    <w:p>
      <w:pPr>
        <w:pStyle w:val="ListBullet"/>
      </w:pPr>
      <w:r>
        <w:t>Averaging windows (hourly/daily/rolling): time-weighted averaging with explicit treatment of missing/substituted records.</w:t>
      </w:r>
    </w:p>
    <w:p>
      <w:pPr>
        <w:pStyle w:val="ListBullet"/>
      </w:pPr>
      <w:r>
        <w:t>Mass emission calculations: concentration × flow × conversion factor; heat-input-based rates when required.</w:t>
      </w:r>
    </w:p>
    <w:p>
      <w:pPr>
        <w:pStyle w:val="ListBullet"/>
      </w:pPr>
      <w:r>
        <w:t>Uncertainty accounting: tag substituted values and propagate uncertainty into internal risk scores when used for decision support.</w:t>
      </w:r>
    </w:p>
    <w:p>
      <w:pPr>
        <w:pStyle w:val="Heading2"/>
      </w:pPr>
      <w:r>
        <w:t>6.2 RATA Computations (template)</w:t>
      </w:r>
    </w:p>
    <w:p>
      <w:r>
        <w:t>RATA calculations vary by program and monitor type, but GL-010 must support configurable templates that calculate and store:</w:t>
      </w:r>
    </w:p>
    <w:p>
      <w:pPr>
        <w:pStyle w:val="ListBullet"/>
      </w:pPr>
      <w:r>
        <w:t>Mean reference method value (RM_mean) across paired runs.</w:t>
      </w:r>
    </w:p>
    <w:p>
      <w:pPr>
        <w:pStyle w:val="ListBullet"/>
      </w:pPr>
      <w:r>
        <w:t>Mean CEMS value (CEMS_mean) across paired runs.</w:t>
      </w:r>
    </w:p>
    <w:p>
      <w:pPr>
        <w:pStyle w:val="ListBullet"/>
      </w:pPr>
      <w:r>
        <w:t>Confidence coefficient term (CC) derived from run-to-run variability and statistical factors.</w:t>
      </w:r>
    </w:p>
    <w:p>
      <w:pPr>
        <w:pStyle w:val="ListBullet"/>
      </w:pPr>
      <w:r>
        <w:t>Relative Accuracy (RA%) and pass/fail classification per applicable threshold.</w:t>
      </w:r>
    </w:p>
    <w:p>
      <w:r>
        <w:t>Example (illustrative) structure:</w:t>
      </w:r>
    </w:p>
    <w:p>
      <w:r>
        <w:t>RA% = ( |RM_mean − CEMS_mean| + CC ) / RM_mean × 100</w:t>
      </w:r>
    </w:p>
    <w:p>
      <w:r>
        <w:t>Implementation requirements: store per-run pairs, intermediate statistics, units/basis, and evidence artifacts; do not hard-code thresholds.</w:t>
      </w:r>
    </w:p>
    <w:p>
      <w:pPr>
        <w:pStyle w:val="Heading2"/>
      </w:pPr>
      <w:r>
        <w:t>6.3 Fugitive Detection Models (AI/ML + Climate Intelligence)</w:t>
      </w:r>
    </w:p>
    <w:p>
      <w:pPr>
        <w:pStyle w:val="ListBullet"/>
      </w:pPr>
      <w:r>
        <w:t>Time-series anomaly detection (sensor health + emissions anomalies).</w:t>
      </w:r>
    </w:p>
    <w:p>
      <w:pPr>
        <w:pStyle w:val="ListBullet"/>
      </w:pPr>
      <w:r>
        <w:t>Wind-adjusted spatial inference (upwind/downwind differentials, plume likelihood scoring).</w:t>
      </w:r>
    </w:p>
    <w:p>
      <w:pPr>
        <w:pStyle w:val="ListBullet"/>
      </w:pPr>
      <w:r>
        <w:t>Supervised classification/regression when labeled leaks exist (tree-based models favored for SHAP explainability).</w:t>
      </w:r>
    </w:p>
    <w:p>
      <w:pPr>
        <w:pStyle w:val="ListBullet"/>
      </w:pPr>
      <w:r>
        <w:t>Human-in-the-loop confirmation workflow to generate labels and manage model risk.</w:t>
      </w:r>
    </w:p>
    <w:p>
      <w:pPr>
        <w:pStyle w:val="Heading2"/>
      </w:pPr>
      <w:r>
        <w:t>6.4 Explainability (SHAP/LIME) Requirements</w:t>
      </w:r>
    </w:p>
    <w:p>
      <w:pPr>
        <w:pStyle w:val="ListBullet"/>
      </w:pPr>
      <w:r>
        <w:t>Per-alert feature contributions (top drivers) with directionality and magnitude.</w:t>
      </w:r>
    </w:p>
    <w:p>
      <w:pPr>
        <w:pStyle w:val="ListBullet"/>
      </w:pPr>
      <w:r>
        <w:t>Data-quality context (missing, substituted, or suspect inputs).</w:t>
      </w:r>
    </w:p>
    <w:p>
      <w:pPr>
        <w:pStyle w:val="ListBullet"/>
      </w:pPr>
      <w:r>
        <w:t>Model identity (name/version), training dataset hash, and validation snapshot at deployment.</w:t>
      </w:r>
    </w:p>
    <w:p>
      <w:pPr>
        <w:pStyle w:val="ListBullet"/>
      </w:pPr>
      <w:r>
        <w:t>Reviewer workflow: ability to approve/override/mark false positive with reason codes for feedback.</w:t>
      </w:r>
    </w:p>
    <w:p>
      <w:pPr>
        <w:pStyle w:val="Heading2"/>
      </w:pPr>
      <w:r>
        <w:t>6.5 Natural Language Compliance Summaries (LLM/AI)</w:t>
      </w:r>
    </w:p>
    <w:p>
      <w:r>
        <w:t>Natural-language summaries must be grounded in structured facts and evidence pointers. They are not a source of truth; they are a narrative view of the underlying deterministic results.</w:t>
      </w:r>
    </w:p>
    <w:p>
      <w:pPr>
        <w:pStyle w:val="ListBullet"/>
      </w:pPr>
      <w:r>
        <w:t>Input = structured compliance events + key metrics + audit pointers; output = controlled template + narrative.</w:t>
      </w:r>
    </w:p>
    <w:p>
      <w:pPr>
        <w:pStyle w:val="ListBullet"/>
      </w:pPr>
      <w:r>
        <w:t>Require citation-style evidence links inside the UI (e.g., ‘See event EID-123’, ‘See report artifact AID-456’).</w:t>
      </w:r>
    </w:p>
    <w:p>
      <w:pPr>
        <w:pStyle w:val="ListBullet"/>
      </w:pPr>
      <w:r>
        <w:t>No speculative language; if data are missing or suspect, the summary must explicitly say so.</w:t>
      </w:r>
    </w:p>
    <w:p>
      <w:pPr>
        <w:pStyle w:val="ListBullet"/>
      </w:pPr>
      <w:r>
        <w:t>Prompt/version control: treat prompts/templates as versioned artifacts with approvals and regression tests.</w:t>
      </w:r>
    </w:p>
    <w:p>
      <w:pPr>
        <w:pStyle w:val="Heading2"/>
      </w:pPr>
      <w:r>
        <w:t>6.6 Emissions Trading Optimization (Quant + Intelligence)</w:t>
      </w:r>
    </w:p>
    <w:p>
      <w:pPr>
        <w:pStyle w:val="ListBullet"/>
      </w:pPr>
      <w:r>
        <w:t>Cost model: expected compliance cost uses forecast emissions, allowance/credit needs, and price scenarios.</w:t>
      </w:r>
    </w:p>
    <w:p>
      <w:pPr>
        <w:pStyle w:val="ListBullet"/>
      </w:pPr>
      <w:r>
        <w:t>Optimization: linear/quadratic programming under policy constraints (vintage, banking, procurement rules).</w:t>
      </w:r>
    </w:p>
    <w:p>
      <w:pPr>
        <w:pStyle w:val="ListBullet"/>
      </w:pPr>
      <w:r>
        <w:t>Risk controls: position limits and scenario stress tests; recommendations require human approval.</w:t>
      </w:r>
    </w:p>
    <w:p>
      <w:pPr>
        <w:pStyle w:val="ListBullet"/>
      </w:pPr>
      <w:r>
        <w:t>Audit: recommendation includes inputs, assumptions, model version, and approver identity.</w:t>
      </w:r>
    </w:p>
    <w:p>
      <w:pPr>
        <w:pStyle w:val="Heading1"/>
      </w:pPr>
      <w:r>
        <w:t>7. Reference Architecture and Engineering Blueprint</w:t>
      </w:r>
    </w:p>
    <w:p>
      <w:pPr>
        <w:pStyle w:val="Heading2"/>
      </w:pPr>
      <w:r>
        <w:t>7.1 High-Level Components</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Responsibilities</w:t>
            </w:r>
          </w:p>
        </w:tc>
      </w:tr>
      <w:tr>
        <w:tc>
          <w:tcPr>
            <w:tcW w:type="dxa" w:w="4320"/>
          </w:tcPr>
          <w:p>
            <w:r>
              <w:t>Edge/OT Collector</w:t>
            </w:r>
          </w:p>
        </w:tc>
        <w:tc>
          <w:tcPr>
            <w:tcW w:type="dxa" w:w="4320"/>
          </w:tcPr>
          <w:p>
            <w:r>
              <w:t>Read-only connectors (OPC UA / DAHS) with local buffering; publishes to Kafka; OT-safe configuration.</w:t>
            </w:r>
          </w:p>
        </w:tc>
      </w:tr>
      <w:tr>
        <w:tc>
          <w:tcPr>
            <w:tcW w:type="dxa" w:w="4320"/>
          </w:tcPr>
          <w:p>
            <w:r>
              <w:t>Streaming Backbone</w:t>
            </w:r>
          </w:p>
        </w:tc>
        <w:tc>
          <w:tcPr>
            <w:tcW w:type="dxa" w:w="4320"/>
          </w:tcPr>
          <w:p>
            <w:r>
              <w:t>Kafka topics per site/asset; schema registry; idempotent consumers; dead-letter queues.</w:t>
            </w:r>
          </w:p>
        </w:tc>
      </w:tr>
      <w:tr>
        <w:tc>
          <w:tcPr>
            <w:tcW w:type="dxa" w:w="4320"/>
          </w:tcPr>
          <w:p>
            <w:r>
              <w:t>Normalization &amp; DQ</w:t>
            </w:r>
          </w:p>
        </w:tc>
        <w:tc>
          <w:tcPr>
            <w:tcW w:type="dxa" w:w="4320"/>
          </w:tcPr>
          <w:p>
            <w:r>
              <w:t>Unit conversion, basis standardization, time alignment, DQ checks, substitution tagging.</w:t>
            </w:r>
          </w:p>
        </w:tc>
      </w:tr>
      <w:tr>
        <w:tc>
          <w:tcPr>
            <w:tcW w:type="dxa" w:w="4320"/>
          </w:tcPr>
          <w:p>
            <w:r>
              <w:t>Data Stores</w:t>
            </w:r>
          </w:p>
        </w:tc>
        <w:tc>
          <w:tcPr>
            <w:tcW w:type="dxa" w:w="4320"/>
          </w:tcPr>
          <w:p>
            <w:r>
              <w:t>Immutable raw zone + normalized/derived zones; time-series optimized queries; artifact store for reports/evidence.</w:t>
            </w:r>
          </w:p>
        </w:tc>
      </w:tr>
      <w:tr>
        <w:tc>
          <w:tcPr>
            <w:tcW w:type="dxa" w:w="4320"/>
          </w:tcPr>
          <w:p>
            <w:r>
              <w:t>Rules Engine</w:t>
            </w:r>
          </w:p>
        </w:tc>
        <w:tc>
          <w:tcPr>
            <w:tcW w:type="dxa" w:w="4320"/>
          </w:tcPr>
          <w:p>
            <w:r>
              <w:t>Versioned permit rules; schedule-aware averaging; limit evaluation; event generation.</w:t>
            </w:r>
          </w:p>
        </w:tc>
      </w:tr>
      <w:tr>
        <w:tc>
          <w:tcPr>
            <w:tcW w:type="dxa" w:w="4320"/>
          </w:tcPr>
          <w:p>
            <w:r>
              <w:t>ML Services</w:t>
            </w:r>
          </w:p>
        </w:tc>
        <w:tc>
          <w:tcPr>
            <w:tcW w:type="dxa" w:w="4320"/>
          </w:tcPr>
          <w:p>
            <w:r>
              <w:t>Fugitive detection + anomaly detection; explanation generation; model registry and monitoring.</w:t>
            </w:r>
          </w:p>
        </w:tc>
      </w:tr>
      <w:tr>
        <w:tc>
          <w:tcPr>
            <w:tcW w:type="dxa" w:w="4320"/>
          </w:tcPr>
          <w:p>
            <w:r>
              <w:t>Workflow Services</w:t>
            </w:r>
          </w:p>
        </w:tc>
        <w:tc>
          <w:tcPr>
            <w:tcW w:type="dxa" w:w="4320"/>
          </w:tcPr>
          <w:p>
            <w:r>
              <w:t>RATA workflow, approvals, corrective actions, trading approvals, submission tracking.</w:t>
            </w:r>
          </w:p>
        </w:tc>
      </w:tr>
      <w:tr>
        <w:tc>
          <w:tcPr>
            <w:tcW w:type="dxa" w:w="4320"/>
          </w:tcPr>
          <w:p>
            <w:r>
              <w:t>Audit &amp; Lineage</w:t>
            </w:r>
          </w:p>
        </w:tc>
        <w:tc>
          <w:tcPr>
            <w:tcW w:type="dxa" w:w="4320"/>
          </w:tcPr>
          <w:p>
            <w:r>
              <w:t>Event store and manifests; cryptographic hashes; query UI and export for audits.</w:t>
            </w:r>
          </w:p>
        </w:tc>
      </w:tr>
      <w:tr>
        <w:tc>
          <w:tcPr>
            <w:tcW w:type="dxa" w:w="4320"/>
          </w:tcPr>
          <w:p>
            <w:r>
              <w:t>Dashboards</w:t>
            </w:r>
          </w:p>
        </w:tc>
        <w:tc>
          <w:tcPr>
            <w:tcW w:type="dxa" w:w="4320"/>
          </w:tcPr>
          <w:p>
            <w:r>
              <w:t>Compliance status, trends, alert triage, explainability, RATA packs, trading/offset modules.</w:t>
            </w:r>
          </w:p>
        </w:tc>
      </w:tr>
    </w:tbl>
    <w:p>
      <w:pPr>
        <w:pStyle w:val="Heading2"/>
      </w:pPr>
      <w:r>
        <w:t>7.2 Integration Interfaces</w:t>
      </w:r>
    </w:p>
    <w:p>
      <w:pPr>
        <w:pStyle w:val="ListBullet"/>
      </w:pPr>
      <w:r>
        <w:t>OPC UA: preferred OT telemetry standard; enforce certificate-based security and allow-listed nodes.</w:t>
      </w:r>
    </w:p>
    <w:p>
      <w:pPr>
        <w:pStyle w:val="ListBullet"/>
      </w:pPr>
      <w:r>
        <w:t>Kafka: canonical streaming backbone; define topic taxonomy and data contracts.</w:t>
      </w:r>
    </w:p>
    <w:p>
      <w:pPr>
        <w:pStyle w:val="ListBullet"/>
      </w:pPr>
      <w:r>
        <w:t>Webhooks/APIs: inbound for permit updates/trades/offset events; outbound for alerting and ticketing.</w:t>
      </w:r>
    </w:p>
    <w:p>
      <w:pPr>
        <w:pStyle w:val="ListBullet"/>
      </w:pPr>
      <w:r>
        <w:t>Regulatory reporting systems: produce regulator-ready packages and track submission states; automate where supported and approved.</w:t>
      </w:r>
    </w:p>
    <w:p>
      <w:pPr>
        <w:pStyle w:val="Heading2"/>
      </w:pPr>
      <w:r>
        <w:t>7.3 Data Lineage and Audit Design (mandatory)</w:t>
      </w:r>
    </w:p>
    <w:p>
      <w:pPr>
        <w:pStyle w:val="ListBullet"/>
      </w:pPr>
      <w:r>
        <w:t>Immutable raw zone: store original payloads (or hashes + immutable object storage) with source timestamps.</w:t>
      </w:r>
    </w:p>
    <w:p>
      <w:pPr>
        <w:pStyle w:val="ListBullet"/>
      </w:pPr>
      <w:r>
        <w:t>Transformation logs: each step records input hashes → output hashes, parameters, and code version.</w:t>
      </w:r>
    </w:p>
    <w:p>
      <w:pPr>
        <w:pStyle w:val="ListBullet"/>
      </w:pPr>
      <w:r>
        <w:t>Decision records: each compliance decision stores rule version, inputs used, and intermediate calculations.</w:t>
      </w:r>
    </w:p>
    <w:p>
      <w:pPr>
        <w:pStyle w:val="ListBullet"/>
      </w:pPr>
      <w:r>
        <w:t>Human actions: approvals, overrides, and comments captured as signed events (who/when/why).</w:t>
      </w:r>
    </w:p>
    <w:p>
      <w:pPr>
        <w:pStyle w:val="ListBullet"/>
      </w:pPr>
      <w:r>
        <w:t>Artifact bundles: every report/submission is stored with a manifest and checksums; no overwrites.</w:t>
      </w:r>
    </w:p>
    <w:p>
      <w:pPr>
        <w:pStyle w:val="Heading1"/>
      </w:pPr>
      <w:r>
        <w:t>8. Security, Privacy, and OT Safety</w:t>
      </w:r>
    </w:p>
    <w:p>
      <w:pPr>
        <w:pStyle w:val="ListBullet"/>
      </w:pPr>
      <w:r>
        <w:t>Network segmentation between OT and IT; unidirectional data flow where feasible; read-only access to OT telemetry.</w:t>
      </w:r>
    </w:p>
    <w:p>
      <w:pPr>
        <w:pStyle w:val="ListBullet"/>
      </w:pPr>
      <w:r>
        <w:t>Mutual TLS for OPC UA and internal services; certificate rotation; hardware-backed keys when available.</w:t>
      </w:r>
    </w:p>
    <w:p>
      <w:pPr>
        <w:pStyle w:val="ListBullet"/>
      </w:pPr>
      <w:r>
        <w:t>Least-privilege IAM and break-glass procedures; all privileged actions logged and reviewed.</w:t>
      </w:r>
    </w:p>
    <w:p>
      <w:pPr>
        <w:pStyle w:val="ListBullet"/>
      </w:pPr>
      <w:r>
        <w:t>Secrets management (no secrets in code/config); automated rotation and scanning.</w:t>
      </w:r>
    </w:p>
    <w:p>
      <w:pPr>
        <w:pStyle w:val="ListBullet"/>
      </w:pPr>
      <w:r>
        <w:t>Data classification and retention policies aligned to recordkeeping requirements; legal hold support for audits and investigations.</w:t>
      </w:r>
    </w:p>
    <w:p>
      <w:pPr>
        <w:pStyle w:val="Heading1"/>
      </w:pPr>
      <w:r>
        <w:t>9. Operations and Observability</w:t>
      </w:r>
    </w:p>
    <w:p>
      <w:pPr>
        <w:pStyle w:val="Heading2"/>
      </w:pPr>
      <w:r>
        <w:t>9.1 Monitoring and Alerting</w:t>
      </w:r>
    </w:p>
    <w:p>
      <w:pPr>
        <w:pStyle w:val="ListBullet"/>
      </w:pPr>
      <w:r>
        <w:t>Pipeline health: lag, throughput, consumer errors, DLQ volume, schema mismatches.</w:t>
      </w:r>
    </w:p>
    <w:p>
      <w:pPr>
        <w:pStyle w:val="ListBullet"/>
      </w:pPr>
      <w:r>
        <w:t>Data quality: missingness, substitution rate, calibration drift incidence, sensor health events.</w:t>
      </w:r>
    </w:p>
    <w:p>
      <w:pPr>
        <w:pStyle w:val="ListBullet"/>
      </w:pPr>
      <w:r>
        <w:t>Compliance operations: exceedance counts, time-to-detect, time-to-acknowledge, time-to-close.</w:t>
      </w:r>
    </w:p>
    <w:p>
      <w:pPr>
        <w:pStyle w:val="ListBullet"/>
      </w:pPr>
      <w:r>
        <w:t>Model health: feature drift, prediction drift, and reviewer-confirmed FP/FN tracking.</w:t>
      </w:r>
    </w:p>
    <w:p>
      <w:pPr>
        <w:pStyle w:val="Heading2"/>
      </w:pPr>
      <w:r>
        <w:t>9.2 Backfills, Reprocessing, and Corrections</w:t>
      </w:r>
    </w:p>
    <w:p>
      <w:pPr>
        <w:pStyle w:val="ListBullet"/>
      </w:pPr>
      <w:r>
        <w:t>Replay from immutable raw data; outputs are versioned (never overwrite).</w:t>
      </w:r>
    </w:p>
    <w:p>
      <w:pPr>
        <w:pStyle w:val="ListBullet"/>
      </w:pPr>
      <w:r>
        <w:t>Amendment workflow requires Compliance approval; produce delta explanation in the manifest.</w:t>
      </w:r>
    </w:p>
    <w:p>
      <w:pPr>
        <w:pStyle w:val="ListBullet"/>
      </w:pPr>
      <w:r>
        <w:t>Maintain report-level change log for regulators and internal audit.</w:t>
      </w:r>
    </w:p>
    <w:p>
      <w:pPr>
        <w:pStyle w:val="Heading1"/>
      </w:pPr>
      <w:r>
        <w:t>10. Team Worklists (What Each Team Must Deliver)</w:t>
      </w:r>
    </w:p>
    <w:p>
      <w:pPr>
        <w:pStyle w:val="Heading2"/>
      </w:pPr>
      <w:r>
        <w:t>10.1 Data Engineering</w:t>
      </w:r>
    </w:p>
    <w:p>
      <w:r>
        <w:t>Build ingestion, normalization, storage, and replay for CEMS and supporting datasets.</w:t>
      </w:r>
    </w:p>
    <w:p>
      <w:r>
        <w:t>Deliverables:</w:t>
      </w:r>
    </w:p>
    <w:p>
      <w:pPr>
        <w:pStyle w:val="ListBullet"/>
      </w:pPr>
      <w:r>
        <w:t>Kafka topic taxonomy and schema registry (raw, normalized, derived, audit).</w:t>
      </w:r>
    </w:p>
    <w:p>
      <w:pPr>
        <w:pStyle w:val="ListBullet"/>
      </w:pPr>
      <w:r>
        <w:t>OPC UA ingestion mapping templates (node → canonical fields) and change control.</w:t>
      </w:r>
    </w:p>
    <w:p>
      <w:pPr>
        <w:pStyle w:val="ListBullet"/>
      </w:pPr>
      <w:r>
        <w:t>DQ gates and substitution tagging; data contracts with producers/consumers.</w:t>
      </w:r>
    </w:p>
    <w:p>
      <w:pPr>
        <w:pStyle w:val="ListBullet"/>
      </w:pPr>
      <w:r>
        <w:t>Immutable raw store and replay tooling; retention and partitioning.</w:t>
      </w:r>
    </w:p>
    <w:p>
      <w:r>
        <w:t>Dependencies:</w:t>
      </w:r>
    </w:p>
    <w:p>
      <w:pPr>
        <w:pStyle w:val="ListBullet"/>
      </w:pPr>
      <w:r>
        <w:t>OT/Controls for tag lists/certificates; Compliance for permit logic; Platform for storage/compute.</w:t>
      </w:r>
    </w:p>
    <w:p>
      <w:r>
        <w:t>Acceptance criteria:</w:t>
      </w:r>
    </w:p>
    <w:p>
      <w:pPr>
        <w:pStyle w:val="ListBullet"/>
      </w:pPr>
      <w:r>
        <w:t>End-to-end replay is deterministic; DQ gates block green outputs; schema evolution is versioned.</w:t>
      </w:r>
    </w:p>
    <w:p>
      <w:pPr>
        <w:pStyle w:val="Heading2"/>
      </w:pPr>
      <w:r>
        <w:t>10.2 Platform / Backend Engineering</w:t>
      </w:r>
    </w:p>
    <w:p>
      <w:r>
        <w:t>Deliver services for rules, workflows, reporting, audit, and APIs.</w:t>
      </w:r>
    </w:p>
    <w:p>
      <w:r>
        <w:t>Deliverables:</w:t>
      </w:r>
    </w:p>
    <w:p>
      <w:pPr>
        <w:pStyle w:val="ListBullet"/>
      </w:pPr>
      <w:r>
        <w:t>Versioned rules engine service (limits, schedules, averaging, permit logic).</w:t>
      </w:r>
    </w:p>
    <w:p>
      <w:pPr>
        <w:pStyle w:val="ListBullet"/>
      </w:pPr>
      <w:r>
        <w:t>Workflow engine for exceedances, RATA tasks, approvals, and submissions.</w:t>
      </w:r>
    </w:p>
    <w:p>
      <w:pPr>
        <w:pStyle w:val="ListBullet"/>
      </w:pPr>
      <w:r>
        <w:t>Audit/lineage service (event store + artifact manifests + checksums).</w:t>
      </w:r>
    </w:p>
    <w:p>
      <w:pPr>
        <w:pStyle w:val="ListBullet"/>
      </w:pPr>
      <w:r>
        <w:t>APIs with authZ and asset scoping; rate limiting; integration adapters.</w:t>
      </w:r>
    </w:p>
    <w:p>
      <w:r>
        <w:t>Dependencies:</w:t>
      </w:r>
    </w:p>
    <w:p>
      <w:pPr>
        <w:pStyle w:val="ListBullet"/>
      </w:pPr>
      <w:r>
        <w:t>Security for IAM/secrets; UX for API needs; Compliance for workflow states.</w:t>
      </w:r>
    </w:p>
    <w:p>
      <w:r>
        <w:t>Acceptance criteria:</w:t>
      </w:r>
    </w:p>
    <w:p>
      <w:pPr>
        <w:pStyle w:val="ListBullet"/>
      </w:pPr>
      <w:r>
        <w:t>All services have SLO dashboards and runbooks; APIs return provenance pointers; artifacts are immutable.</w:t>
      </w:r>
    </w:p>
    <w:p>
      <w:pPr>
        <w:pStyle w:val="Heading2"/>
      </w:pPr>
      <w:r>
        <w:t>10.3 OT / Controls &amp; Instrumentation Engineering</w:t>
      </w:r>
    </w:p>
    <w:p>
      <w:r>
        <w:t>Provide safe OT connectivity and ensure measurement constraints are captured as data.</w:t>
      </w:r>
    </w:p>
    <w:p>
      <w:r>
        <w:t>Deliverables:</w:t>
      </w:r>
    </w:p>
    <w:p>
      <w:pPr>
        <w:pStyle w:val="ListBullet"/>
      </w:pPr>
      <w:r>
        <w:t>OPC UA configuration (certs, allowlists, tag naming, change management).</w:t>
      </w:r>
    </w:p>
    <w:p>
      <w:pPr>
        <w:pStyle w:val="ListBullet"/>
      </w:pPr>
      <w:r>
        <w:t>CEMS metadata and QA/QC event extraction into structured logs.</w:t>
      </w:r>
    </w:p>
    <w:p>
      <w:pPr>
        <w:pStyle w:val="ListBullet"/>
      </w:pPr>
      <w:r>
        <w:t>Thermal/conditioning telemetry availability (heater status, enclosure temp, alarms).</w:t>
      </w:r>
    </w:p>
    <w:p>
      <w:pPr>
        <w:pStyle w:val="ListBullet"/>
      </w:pPr>
      <w:r>
        <w:t>Operational context tags (load, fuel switching, startup/shutdown, bypass).</w:t>
      </w:r>
    </w:p>
    <w:p>
      <w:r>
        <w:t>Dependencies:</w:t>
      </w:r>
    </w:p>
    <w:p>
      <w:pPr>
        <w:pStyle w:val="ListBullet"/>
      </w:pPr>
      <w:r>
        <w:t>Site operations access; Data engineering for canonical mapping; Security for segmentation reviews.</w:t>
      </w:r>
    </w:p>
    <w:p>
      <w:r>
        <w:t>Acceptance criteria:</w:t>
      </w:r>
    </w:p>
    <w:p>
      <w:pPr>
        <w:pStyle w:val="ListBullet"/>
      </w:pPr>
      <w:r>
        <w:t>No unapproved OT exposure; canonical field coverage achieved; calibration and maintenance events are reliably captured.</w:t>
      </w:r>
    </w:p>
    <w:p>
      <w:pPr>
        <w:pStyle w:val="Heading2"/>
      </w:pPr>
      <w:r>
        <w:t>10.4 AI/ML Engineering</w:t>
      </w:r>
    </w:p>
    <w:p>
      <w:r>
        <w:t>Build and operate fugitive/anomaly models with explainability and governance.</w:t>
      </w:r>
    </w:p>
    <w:p>
      <w:r>
        <w:t>Deliverables:</w:t>
      </w:r>
    </w:p>
    <w:p>
      <w:pPr>
        <w:pStyle w:val="ListBullet"/>
      </w:pPr>
      <w:r>
        <w:t>Training datasets with labels and data-quality context; feature store definitions.</w:t>
      </w:r>
    </w:p>
    <w:p>
      <w:pPr>
        <w:pStyle w:val="ListBullet"/>
      </w:pPr>
      <w:r>
        <w:t>Model registry with reproducible training pipelines and model cards.</w:t>
      </w:r>
    </w:p>
    <w:p>
      <w:pPr>
        <w:pStyle w:val="ListBullet"/>
      </w:pPr>
      <w:r>
        <w:t>Inference service (streaming/batch) plus SHAP/LIME explanation pipeline.</w:t>
      </w:r>
    </w:p>
    <w:p>
      <w:pPr>
        <w:pStyle w:val="ListBullet"/>
      </w:pPr>
      <w:r>
        <w:t>Model monitoring (drift, calibration) and reviewer feedback integration.</w:t>
      </w:r>
    </w:p>
    <w:p>
      <w:r>
        <w:t>Dependencies:</w:t>
      </w:r>
    </w:p>
    <w:p>
      <w:pPr>
        <w:pStyle w:val="ListBullet"/>
      </w:pPr>
      <w:r>
        <w:t>Climate intelligence for met features; Compliance for thresholds and escalation policies; QA for test harnesses.</w:t>
      </w:r>
    </w:p>
    <w:p>
      <w:r>
        <w:t>Acceptance criteria:</w:t>
      </w:r>
    </w:p>
    <w:p>
      <w:pPr>
        <w:pStyle w:val="ListBullet"/>
      </w:pPr>
      <w:r>
        <w:t>Backtests meet agreed precision/recall; every alert has explainability; monitoring and rollback playbooks exist.</w:t>
      </w:r>
    </w:p>
    <w:p>
      <w:pPr>
        <w:pStyle w:val="Heading2"/>
      </w:pPr>
      <w:r>
        <w:t>10.5 Climate Intelligence / Science</w:t>
      </w:r>
    </w:p>
    <w:p>
      <w:r>
        <w:t>Provide domain-science support: meteorology, dispersion logic, emissions factors, and offset integrity checks.</w:t>
      </w:r>
    </w:p>
    <w:p>
      <w:r>
        <w:t>Deliverables:</w:t>
      </w:r>
    </w:p>
    <w:p>
      <w:pPr>
        <w:pStyle w:val="ListBullet"/>
      </w:pPr>
      <w:r>
        <w:t>Meteorological feature specs and dispersion proxy guidance (including calm-wind handling).</w:t>
      </w:r>
    </w:p>
    <w:p>
      <w:pPr>
        <w:pStyle w:val="ListBullet"/>
      </w:pPr>
      <w:r>
        <w:t>Approved reference tables for fuel properties and emissions factors (used only where allowed).</w:t>
      </w:r>
    </w:p>
    <w:p>
      <w:pPr>
        <w:pStyle w:val="ListBullet"/>
      </w:pPr>
      <w:r>
        <w:t>Offset validation rules: serial verification, retirement status tracking, claim linkage and double-counting controls.</w:t>
      </w:r>
    </w:p>
    <w:p>
      <w:r>
        <w:t>Dependencies:</w:t>
      </w:r>
    </w:p>
    <w:p>
      <w:pPr>
        <w:pStyle w:val="ListBullet"/>
      </w:pPr>
      <w:r>
        <w:t>Data engineering for met ingestion; Compliance for policy alignment.</w:t>
      </w:r>
    </w:p>
    <w:p>
      <w:r>
        <w:t>Acceptance criteria:</w:t>
      </w:r>
    </w:p>
    <w:p>
      <w:pPr>
        <w:pStyle w:val="ListBullet"/>
      </w:pPr>
      <w:r>
        <w:t>Scientific assumptions documented with references and scope; outputs deterministic and evidence-backed.</w:t>
      </w:r>
    </w:p>
    <w:p>
      <w:pPr>
        <w:pStyle w:val="Heading2"/>
      </w:pPr>
      <w:r>
        <w:t>10.6 Compliance / Legal / Reporting</w:t>
      </w:r>
    </w:p>
    <w:p>
      <w:r>
        <w:t>Own regulatory interpretation, approve methods, and define reporting and governance.</w:t>
      </w:r>
    </w:p>
    <w:p>
      <w:r>
        <w:t>Deliverables:</w:t>
      </w:r>
    </w:p>
    <w:p>
      <w:pPr>
        <w:pStyle w:val="ListBullet"/>
      </w:pPr>
      <w:r>
        <w:t>Permit and regulatory logic encoded as versioned rulesets.</w:t>
      </w:r>
    </w:p>
    <w:p>
      <w:pPr>
        <w:pStyle w:val="ListBullet"/>
      </w:pPr>
      <w:r>
        <w:t>RATA workflow checklist and evidence requirements per program/site; acceptance checklists.</w:t>
      </w:r>
    </w:p>
    <w:p>
      <w:pPr>
        <w:pStyle w:val="ListBullet"/>
      </w:pPr>
      <w:r>
        <w:t>Regulatory package templates; internal approval and sign-off workflow; submission calendar.</w:t>
      </w:r>
    </w:p>
    <w:p>
      <w:r>
        <w:t>Dependencies:</w:t>
      </w:r>
    </w:p>
    <w:p>
      <w:pPr>
        <w:pStyle w:val="ListBullet"/>
      </w:pPr>
      <w:r>
        <w:t>Engineering for rule implementation and artifact generation; Security for retention policies.</w:t>
      </w:r>
    </w:p>
    <w:p>
      <w:r>
        <w:t>Acceptance criteria:</w:t>
      </w:r>
    </w:p>
    <w:p>
      <w:pPr>
        <w:pStyle w:val="ListBullet"/>
      </w:pPr>
      <w:r>
        <w:t>Mock audit passed; permit/rules updates are governed with version history; submission packages pass checklist.</w:t>
      </w:r>
    </w:p>
    <w:p>
      <w:pPr>
        <w:pStyle w:val="Heading2"/>
      </w:pPr>
      <w:r>
        <w:t>10.7 Security Engineering</w:t>
      </w:r>
    </w:p>
    <w:p>
      <w:r>
        <w:t>Ensure GL-010 security for OT-adjacent telemetry and regulator evidence.</w:t>
      </w:r>
    </w:p>
    <w:p>
      <w:r>
        <w:t>Deliverables:</w:t>
      </w:r>
    </w:p>
    <w:p>
      <w:pPr>
        <w:pStyle w:val="ListBullet"/>
      </w:pPr>
      <w:r>
        <w:t>Threat model and mitigations; secure architecture sign-off.</w:t>
      </w:r>
    </w:p>
    <w:p>
      <w:pPr>
        <w:pStyle w:val="ListBullet"/>
      </w:pPr>
      <w:r>
        <w:t>IAM roles, least-privilege policies, secrets rotation, and access reviews.</w:t>
      </w:r>
    </w:p>
    <w:p>
      <w:pPr>
        <w:pStyle w:val="ListBullet"/>
      </w:pPr>
      <w:r>
        <w:t>Audit log integrity controls and retention/immutability enforcement.</w:t>
      </w:r>
    </w:p>
    <w:p>
      <w:r>
        <w:t>Dependencies:</w:t>
      </w:r>
    </w:p>
    <w:p>
      <w:pPr>
        <w:pStyle w:val="ListBullet"/>
      </w:pPr>
      <w:r>
        <w:t>Platform engineering for implementation; OT for segmentation controls.</w:t>
      </w:r>
    </w:p>
    <w:p>
      <w:r>
        <w:t>Acceptance criteria:</w:t>
      </w:r>
    </w:p>
    <w:p>
      <w:pPr>
        <w:pStyle w:val="ListBullet"/>
      </w:pPr>
      <w:r>
        <w:t>Security assessment complete; audit immutability verified; forensic exports supported.</w:t>
      </w:r>
    </w:p>
    <w:p>
      <w:pPr>
        <w:pStyle w:val="Heading2"/>
      </w:pPr>
      <w:r>
        <w:t>10.8 QA / Test Engineering</w:t>
      </w:r>
    </w:p>
    <w:p>
      <w:r>
        <w:t>Verify compliance logic, reporting artifacts, and ML outputs with automated regression suites.</w:t>
      </w:r>
    </w:p>
    <w:p>
      <w:r>
        <w:t>Deliverables:</w:t>
      </w:r>
    </w:p>
    <w:p>
      <w:pPr>
        <w:pStyle w:val="ListBullet"/>
      </w:pPr>
      <w:r>
        <w:t>Golden datasets with known outcomes; automated regression tests.</w:t>
      </w:r>
    </w:p>
    <w:p>
      <w:pPr>
        <w:pStyle w:val="ListBullet"/>
      </w:pPr>
      <w:r>
        <w:t>Independent verification of RATA computations on sample cases.</w:t>
      </w:r>
    </w:p>
    <w:p>
      <w:pPr>
        <w:pStyle w:val="ListBullet"/>
      </w:pPr>
      <w:r>
        <w:t>End-to-end tests: ingestion → decisions → artifacts → manifest integrity.</w:t>
      </w:r>
    </w:p>
    <w:p>
      <w:r>
        <w:t>Dependencies:</w:t>
      </w:r>
    </w:p>
    <w:p>
      <w:pPr>
        <w:pStyle w:val="ListBullet"/>
      </w:pPr>
      <w:r>
        <w:t>Compliance for expected outcomes; Data engineering for replay harness; ML team for model tests.</w:t>
      </w:r>
    </w:p>
    <w:p>
      <w:r>
        <w:t>Acceptance criteria:</w:t>
      </w:r>
    </w:p>
    <w:p>
      <w:pPr>
        <w:pStyle w:val="ListBullet"/>
      </w:pPr>
      <w:r>
        <w:t>Release gate met: all critical tests pass; variance analysis documented for any known limitations.</w:t>
      </w:r>
    </w:p>
    <w:p>
      <w:pPr>
        <w:pStyle w:val="Heading2"/>
      </w:pPr>
      <w:r>
        <w:t>10.9 SRE / DevOps</w:t>
      </w:r>
    </w:p>
    <w:p>
      <w:r>
        <w:t>Deliver deployment, reliability, and operational runbooks across environments.</w:t>
      </w:r>
    </w:p>
    <w:p>
      <w:r>
        <w:t>Deliverables:</w:t>
      </w:r>
    </w:p>
    <w:p>
      <w:pPr>
        <w:pStyle w:val="ListBullet"/>
      </w:pPr>
      <w:r>
        <w:t>IaC for services and data stores; blue/green or canary deployments.</w:t>
      </w:r>
    </w:p>
    <w:p>
      <w:pPr>
        <w:pStyle w:val="ListBullet"/>
      </w:pPr>
      <w:r>
        <w:t>Runbooks for incident classes (data gaps, false alerts, reporting deadlines).</w:t>
      </w:r>
    </w:p>
    <w:p>
      <w:pPr>
        <w:pStyle w:val="ListBullet"/>
      </w:pPr>
      <w:r>
        <w:t>Backup/restore and disaster recovery plan for audit artifacts.</w:t>
      </w:r>
    </w:p>
    <w:p>
      <w:r>
        <w:t>Dependencies:</w:t>
      </w:r>
    </w:p>
    <w:p>
      <w:pPr>
        <w:pStyle w:val="ListBullet"/>
      </w:pPr>
      <w:r>
        <w:t>Platform and Security for policies; QA for release gating.</w:t>
      </w:r>
    </w:p>
    <w:p>
      <w:r>
        <w:t>Acceptance criteria:</w:t>
      </w:r>
    </w:p>
    <w:p>
      <w:pPr>
        <w:pStyle w:val="ListBullet"/>
      </w:pPr>
      <w:r>
        <w:t>SLO dashboards live; DR tested; on-call procedures validated via game days.</w:t>
      </w:r>
    </w:p>
    <w:p>
      <w:pPr>
        <w:pStyle w:val="Heading1"/>
      </w:pPr>
      <w:r>
        <w:t>11. Verification, Validation, and Release Acceptance</w:t>
      </w:r>
    </w:p>
    <w:p>
      <w:r>
        <w:t>Minimum acceptance test suite:</w:t>
      </w:r>
    </w:p>
    <w:p>
      <w:pPr>
        <w:pStyle w:val="ListBullet"/>
      </w:pPr>
      <w:r>
        <w:t>Unit tests for conversions, averaging, limit evaluation, and substitution logic.</w:t>
      </w:r>
    </w:p>
    <w:p>
      <w:pPr>
        <w:pStyle w:val="ListBullet"/>
      </w:pPr>
      <w:r>
        <w:t>Schema validation tests for all input/output topics and APIs.</w:t>
      </w:r>
    </w:p>
    <w:p>
      <w:pPr>
        <w:pStyle w:val="ListBullet"/>
      </w:pPr>
      <w:r>
        <w:t>Determinism tests: identical raw replay yields identical outputs and hashes.</w:t>
      </w:r>
    </w:p>
    <w:p>
      <w:pPr>
        <w:pStyle w:val="ListBullet"/>
      </w:pPr>
      <w:r>
        <w:t>RATA sample-case tests: per-run pairing, intermediate stats, RA%, and report packaging.</w:t>
      </w:r>
    </w:p>
    <w:p>
      <w:pPr>
        <w:pStyle w:val="ListBullet"/>
      </w:pPr>
      <w:r>
        <w:t>ML backtests with ground truth; explainability completeness checks; reviewer workflow tests.</w:t>
      </w:r>
    </w:p>
    <w:p>
      <w:pPr>
        <w:pStyle w:val="ListBullet"/>
      </w:pPr>
      <w:r>
        <w:t>Security tests: authZ enforcement, artifact immutability, secrets scanning, and access logging.</w:t>
      </w:r>
    </w:p>
    <w:p>
      <w:pPr>
        <w:pStyle w:val="Heading1"/>
      </w:pPr>
      <w:r>
        <w:t>12. References (starting set)</w:t>
      </w:r>
    </w:p>
    <w:p>
      <w:r>
        <w:rPr>
          <w:b/>
        </w:rPr>
        <w:t xml:space="preserve">EPA — Monitoring Insights: Relative Accuracy (PDF): </w:t>
      </w:r>
      <w:r>
        <w:t>https://www.epa.gov/system/files/documents/2022-05/Monitoring%20Insights-%20Relative%20Accuracy.pdf</w:t>
      </w:r>
    </w:p>
    <w:p>
      <w:r>
        <w:rPr>
          <w:b/>
        </w:rPr>
        <w:t xml:space="preserve">eCFR — 40 CFR Part 75 (Continuous Emission Monitoring): </w:t>
      </w:r>
      <w:r>
        <w:t>https://www.ecfr.gov/current/title-40/chapter-I/subchapter-C/part-75</w:t>
      </w:r>
    </w:p>
    <w:p>
      <w:r>
        <w:rPr>
          <w:b/>
        </w:rPr>
        <w:t xml:space="preserve">EPA — Part 75 Policy and Technical Resources: </w:t>
      </w:r>
      <w:r>
        <w:t>https://www.epa.gov/power-sector/part-75-policy</w:t>
      </w:r>
    </w:p>
    <w:p>
      <w:r>
        <w:rPr>
          <w:b/>
        </w:rPr>
        <w:t xml:space="preserve">EPA — GHGRP overview: </w:t>
      </w:r>
      <w:r>
        <w:t>https://www.epa.gov/ghgreporting</w:t>
      </w:r>
    </w:p>
    <w:p>
      <w:r>
        <w:rPr>
          <w:b/>
        </w:rPr>
        <w:t xml:space="preserve">EPA — e-GGRT Training Presentations: </w:t>
      </w:r>
      <w:r>
        <w:t>https://www.epa.gov/ghgreporting/e-ggrt-training-presentations</w:t>
      </w:r>
    </w:p>
    <w:p>
      <w:r>
        <w:rPr>
          <w:b/>
        </w:rPr>
        <w:t xml:space="preserve">OPC Foundation — What is OPC?: </w:t>
      </w:r>
      <w:r>
        <w:t>https://opcfoundation.org/about/what-is-opc/</w:t>
      </w:r>
    </w:p>
    <w:p>
      <w:r>
        <w:br w:type="page"/>
      </w:r>
    </w:p>
    <w:p>
      <w:pPr>
        <w:pStyle w:val="Heading1"/>
      </w:pPr>
      <w:r>
        <w:t>Appendix A — Example Kafka Topic Naming</w:t>
      </w:r>
    </w:p>
    <w:p>
      <w:pPr>
        <w:pStyle w:val="ListBullet"/>
      </w:pPr>
      <w:r>
        <w:t>cems.raw.&lt;site&gt;.&lt;asset&gt;.&lt;parameter&gt;</w:t>
      </w:r>
    </w:p>
    <w:p>
      <w:pPr>
        <w:pStyle w:val="ListBullet"/>
      </w:pPr>
      <w:r>
        <w:t>cems.norm.&lt;site&gt;.&lt;asset&gt;.&lt;parameter&gt;</w:t>
      </w:r>
    </w:p>
    <w:p>
      <w:pPr>
        <w:pStyle w:val="ListBullet"/>
      </w:pPr>
      <w:r>
        <w:t>compliance.events.&lt;site&gt;.&lt;asset&gt;</w:t>
      </w:r>
    </w:p>
    <w:p>
      <w:pPr>
        <w:pStyle w:val="ListBullet"/>
      </w:pPr>
      <w:r>
        <w:t>fugitive.alerts.&lt;site&gt;</w:t>
      </w:r>
    </w:p>
    <w:p>
      <w:pPr>
        <w:pStyle w:val="ListBullet"/>
      </w:pPr>
      <w:r>
        <w:t>audit.events.&lt;site&gt;</w:t>
      </w:r>
    </w:p>
    <w:p>
      <w:pPr>
        <w:pStyle w:val="Heading1"/>
      </w:pPr>
      <w:r>
        <w:t>Appendix B — Minimal Report Artifact Manifest (manifest.json)</w:t>
      </w:r>
    </w:p>
    <w:p>
      <w:r>
        <w:t>{</w:t>
        <w:br/>
        <w:t xml:space="preserve">  "artifact_id": "uuid",</w:t>
        <w:br/>
        <w:t xml:space="preserve">  "artifact_type": "regulatory_package",</w:t>
        <w:br/>
        <w:t xml:space="preserve">  "created_at_utc": "2025-12-18T00:00:00Z",</w:t>
        <w:br/>
        <w:t xml:space="preserve">  "site": "SITE_A",</w:t>
        <w:br/>
        <w:t xml:space="preserve">  "period": {</w:t>
        <w:br/>
        <w:t xml:space="preserve">    "start_utc": "2025-10-01T00:00:00Z",</w:t>
        <w:br/>
        <w:t xml:space="preserve">    "end_utc": "2025-10-31T23:59:59Z"</w:t>
        <w:br/>
        <w:t xml:space="preserve">  },</w:t>
        <w:br/>
        <w:t xml:space="preserve">  "inputs": [</w:t>
        <w:br/>
        <w:t xml:space="preserve">    {</w:t>
        <w:br/>
        <w:t xml:space="preserve">      "dataset": "cems.raw",</w:t>
        <w:br/>
        <w:t xml:space="preserve">      "hash": "sha256:...",</w:t>
        <w:br/>
        <w:t xml:space="preserve">      "window": "..."</w:t>
        <w:br/>
        <w:t xml:space="preserve">    },</w:t>
        <w:br/>
        <w:t xml:space="preserve">    {</w:t>
        <w:br/>
        <w:t xml:space="preserve">      "dataset": "permits.ruleset",</w:t>
        <w:br/>
        <w:t xml:space="preserve">      "version": "2025.10.01",</w:t>
        <w:br/>
        <w:t xml:space="preserve">      "hash": "sha256:..."</w:t>
        <w:br/>
        <w:t xml:space="preserve">    }</w:t>
        <w:br/>
        <w:t xml:space="preserve">  ],</w:t>
        <w:br/>
        <w:t xml:space="preserve">  "processing": {</w:t>
        <w:br/>
        <w:t xml:space="preserve">    "pipeline_version": "gl010-1.1.0",</w:t>
        <w:br/>
        <w:t xml:space="preserve">    "rules_version": "permits-2025.10.01"</w:t>
        <w:br/>
        <w:t xml:space="preserve">  },</w:t>
        <w:br/>
        <w:t xml:space="preserve">  "outputs": [</w:t>
        <w:br/>
        <w:t xml:space="preserve">    {</w:t>
        <w:br/>
        <w:t xml:space="preserve">      "file": "report.pdf",</w:t>
        <w:br/>
        <w:t xml:space="preserve">      "hash": "sha256:..."</w:t>
        <w:br/>
        <w:t xml:space="preserve">    },</w:t>
        <w:br/>
        <w:t xml:space="preserve">    {</w:t>
        <w:br/>
        <w:t xml:space="preserve">      "file": "tables.csv",</w:t>
        <w:br/>
        <w:t xml:space="preserve">      "hash": "sha256:..."</w:t>
        <w:br/>
        <w:t xml:space="preserve">    }</w:t>
        <w:br/>
        <w:t xml:space="preserve">  ],</w:t>
        <w:br/>
        <w:t xml:space="preserve">  "approvals": [</w:t>
        <w:br/>
        <w:t xml:space="preserve">    {</w:t>
        <w:br/>
        <w:t xml:space="preserve">      "user": "j.doe",</w:t>
        <w:br/>
        <w:t xml:space="preserve">      "role": "compliance",</w:t>
        <w:br/>
        <w:t xml:space="preserve">      "timestamp_utc": "..."</w:t>
        <w:br/>
        <w:t xml:space="preserve">    }</w:t>
        <w:br/>
        <w:t xml:space="preserve">  ]</w:t>
        <w:br/>
        <w:t>}</w:t>
      </w:r>
    </w:p>
    <w:p>
      <w:pPr>
        <w:pStyle w:val="Heading1"/>
      </w:pPr>
      <w:r>
        <w:t>Appendix C — RATA Workflow Checklist (template)</w:t>
      </w:r>
    </w:p>
    <w:p>
      <w:pPr>
        <w:pStyle w:val="ListBullet"/>
      </w:pPr>
      <w:r>
        <w:t>Pre-test: confirm monitor configuration, ranges, and recent calibrations; verify data capture and time synchronization.</w:t>
      </w:r>
    </w:p>
    <w:p>
      <w:pPr>
        <w:pStyle w:val="ListBullet"/>
      </w:pPr>
      <w:r>
        <w:t>Test plan: define reference method runs, pairing logic, and operating conditions; schedule required personnel/vendor.</w:t>
      </w:r>
    </w:p>
    <w:p>
      <w:pPr>
        <w:pStyle w:val="ListBullet"/>
      </w:pPr>
      <w:r>
        <w:t>During test: capture per-run raw data, reference method sheets, environmental conditions, and any deviations.</w:t>
      </w:r>
    </w:p>
    <w:p>
      <w:pPr>
        <w:pStyle w:val="ListBullet"/>
      </w:pPr>
      <w:r>
        <w:t>Post-test: compute RA% and all intermediates; attach evidence artifacts; generate report package and internal review checklist.</w:t>
      </w:r>
    </w:p>
    <w:p>
      <w:pPr>
        <w:pStyle w:val="ListBullet"/>
      </w:pPr>
      <w:r>
        <w:t>Governance: compliance sign-off and versioned storage of final package; log any corrections/amendments.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