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GL-016 WATERGUARD</w:t>
      </w:r>
    </w:p>
    <w:p>
      <w:pPr>
        <w:pStyle w:val="Subtitle"/>
        <w:jc w:val="center"/>
      </w:pPr>
      <w:r>
        <w:t>Boiler Water Treatment Agent - Implementation Specification and Team Work Plan</w:t>
      </w:r>
    </w:p>
    <w:p/>
    <w:p>
      <w:pPr>
        <w:jc w:val="center"/>
      </w:pPr>
      <w:r>
        <w:rPr>
          <w:b/>
          <w:sz w:val="24"/>
        </w:rPr>
        <w:t>Version 1.1 | December 26, 2025</w:t>
      </w:r>
    </w:p>
    <w:p/>
    <w:p>
      <w:pPr>
        <w:jc w:val="center"/>
      </w:pPr>
      <w:r>
        <w:t>Prepared for: AI, Software Development, Data Engineering, Controls/OT Engineering, Water Treatment SMEs, Thermal Engineering, Climate Intelligence, Security/Compliance, QA/Validation, and Program Management teams.</w:t>
      </w:r>
    </w:p>
    <w:p>
      <w:r>
        <w:br w:type="page"/>
      </w:r>
    </w:p>
    <w:p>
      <w:pPr>
        <w:pStyle w:val="Heading1"/>
      </w:pPr>
      <w:r>
        <w:t>Table of Contents</w:t>
      </w:r>
    </w:p>
    <w:p>
      <w:pPr>
        <w:spacing w:after="40"/>
        <w:ind w:left="360"/>
      </w:pPr>
      <w:r>
        <w:t>1. Executive Summary</w:t>
      </w:r>
    </w:p>
    <w:p>
      <w:pPr>
        <w:spacing w:after="40"/>
        <w:ind w:left="360"/>
      </w:pPr>
      <w:r>
        <w:t>2. Agent Identity and Scope</w:t>
      </w:r>
    </w:p>
    <w:p>
      <w:pPr>
        <w:spacing w:after="40"/>
        <w:ind w:left="360"/>
      </w:pPr>
      <w:r>
        <w:t>3. System Context and Stakeholders</w:t>
      </w:r>
    </w:p>
    <w:p>
      <w:pPr>
        <w:spacing w:after="40"/>
        <w:ind w:left="360"/>
      </w:pPr>
      <w:r>
        <w:t>4. Data Requirements</w:t>
      </w:r>
    </w:p>
    <w:p>
      <w:pPr>
        <w:spacing w:after="40"/>
        <w:ind w:left="360"/>
      </w:pPr>
      <w:r>
        <w:t>5. Deterministic Chemistry and Mathematical Requirements</w:t>
      </w:r>
    </w:p>
    <w:p>
      <w:pPr>
        <w:spacing w:after="40"/>
        <w:ind w:left="360"/>
      </w:pPr>
      <w:r>
        <w:t>6. Thermal, Energy, and Water-Savings Requirements</w:t>
      </w:r>
    </w:p>
    <w:p>
      <w:pPr>
        <w:spacing w:after="40"/>
        <w:ind w:left="360"/>
      </w:pPr>
      <w:r>
        <w:t>7. Control Strategy, Safety Interlocks, and Operating Modes</w:t>
      </w:r>
    </w:p>
    <w:p>
      <w:pPr>
        <w:spacing w:after="40"/>
        <w:ind w:left="360"/>
      </w:pPr>
      <w:r>
        <w:t>8. AI/ML, Optimization, and Explainability Requirements</w:t>
      </w:r>
    </w:p>
    <w:p>
      <w:pPr>
        <w:spacing w:after="40"/>
        <w:ind w:left="360"/>
      </w:pPr>
      <w:r>
        <w:t>9. Software, Data, and Integration Architecture</w:t>
      </w:r>
    </w:p>
    <w:p>
      <w:pPr>
        <w:spacing w:after="40"/>
        <w:ind w:left="360"/>
      </w:pPr>
      <w:r>
        <w:t>10. Team Work Plan and Deliverables</w:t>
      </w:r>
    </w:p>
    <w:p>
      <w:pPr>
        <w:spacing w:after="40"/>
        <w:ind w:left="360"/>
      </w:pPr>
      <w:r>
        <w:t>11. Testing, Validation, and Acceptance Criteria</w:t>
      </w:r>
    </w:p>
    <w:p>
      <w:pPr>
        <w:spacing w:after="40"/>
        <w:ind w:left="360"/>
      </w:pPr>
      <w:r>
        <w:t>12. Monitoring, Operations, and Runbooks</w:t>
      </w:r>
    </w:p>
    <w:p>
      <w:pPr>
        <w:spacing w:after="40"/>
        <w:ind w:left="360"/>
      </w:pPr>
      <w:r>
        <w:t>13. Key Risks and Mitigations</w:t>
      </w:r>
    </w:p>
    <w:p>
      <w:pPr>
        <w:spacing w:after="40"/>
        <w:ind w:left="360"/>
      </w:pPr>
      <w:r>
        <w:t>14. Appendices</w:t>
      </w:r>
    </w:p>
    <w:p>
      <w:pPr/>
      <w:r>
        <w:rPr>
          <w:i/>
        </w:rPr>
        <w:t>This table of contents is static in this exported file.</w:t>
      </w:r>
    </w:p>
    <w:p>
      <w:r>
        <w:br w:type="page"/>
      </w:r>
    </w:p>
    <w:p>
      <w:pPr>
        <w:pStyle w:val="Heading1"/>
      </w:pPr>
      <w:r>
        <w:t>1. Executive Summary</w:t>
      </w:r>
    </w:p>
    <w:p>
      <w:pPr/>
      <w:r>
        <w:t>GL-016 (WATERGUARD) is a supervisory control and optimization agent for boiler water treatment. It continuously ingests water chemistry and operating data, calculates boiler chemistry state with deterministic (non-generative) algorithms, optimizes cycles of concentration, and recommends or executes safe, compliant blowdown and chemical dosing actions. The system produces explainability-ready recommendations (SHAP/LIME) and compliance reports aligned with relevant ASME/ABMA guidance, site SOPs, and OEM limits.</w:t>
      </w:r>
    </w:p>
    <w:p>
      <w:pPr>
        <w:pStyle w:val="Heading2"/>
      </w:pPr>
      <w:r>
        <w:t>Primary outcomes</w:t>
      </w:r>
    </w:p>
    <w:p>
      <w:pPr>
        <w:pStyle w:val="ListBullet"/>
      </w:pPr>
      <w:r>
        <w:t>Reduce blowdown while maintaining boiler water chemistry within allowable limits (cycles of concentration optimization).</w:t>
      </w:r>
    </w:p>
    <w:p>
      <w:pPr>
        <w:pStyle w:val="ListBullet"/>
      </w:pPr>
      <w:r>
        <w:t>Lower makeup water consumption and chemical consumption while avoiding scaling, corrosion, foaming, and carryover risks.</w:t>
      </w:r>
    </w:p>
    <w:p>
      <w:pPr>
        <w:pStyle w:val="ListBullet"/>
      </w:pPr>
      <w:r>
        <w:t>Provide compliant, auditable control actions and reports (who/what/why/when).</w:t>
      </w:r>
    </w:p>
    <w:p>
      <w:pPr>
        <w:pStyle w:val="ListBullet"/>
      </w:pPr>
      <w:r>
        <w:t>Deliver operator-trust features: trend views, anomaly detection, and SHAP/LIME explanations for each recommendation.</w:t>
      </w:r>
    </w:p>
    <w:p>
      <w:pPr>
        <w:pStyle w:val="ListBullet"/>
      </w:pPr>
      <w:r>
        <w:t>Integrate with plant OT/IT: analyzers and dosing skids, OPC-UA, Kafka streaming, and CMMS for maintenance workflows.</w:t>
      </w:r>
    </w:p>
    <w:p>
      <w:pPr>
        <w:pStyle w:val="Heading2"/>
      </w:pPr>
      <w:r>
        <w:t>Key design principle: zero-hallucination calculations</w:t>
      </w:r>
    </w:p>
    <w:p>
      <w:pPr/>
      <w:r>
        <w:t>Any numeric chemistry results (e.g., calculated cycles, blowdown setpoints, dosing rates, water/energy savings, compliance status) MUST be produced by deterministic calculation services with unit handling and test coverage. Generative AI may be used only for narrative explanation and report formatting, and must never invent constants, setpoints, or chemistry values.</w:t>
      </w:r>
    </w:p>
    <w:p>
      <w:pPr>
        <w:pStyle w:val="Heading2"/>
      </w:pPr>
      <w:r>
        <w:t>Deliverable for Q2 2026</w:t>
      </w:r>
    </w:p>
    <w:p>
      <w:pPr/>
      <w:r>
        <w:t>A production-grade, safety-constrained agent deployed in shadow mode first and then in supervised/closed-loop mode (site-approved), with full OT cybersecurity hardening, data quality controls, model governance, and CMMS integration.</w:t>
      </w:r>
    </w:p>
    <w:p>
      <w:pPr>
        <w:pStyle w:val="Heading1"/>
      </w:pPr>
      <w:r>
        <w:t>2. Agent Identity and Scope</w:t>
      </w:r>
    </w:p>
    <w:p>
      <w:pPr>
        <w:pStyle w:val="Heading2"/>
      </w:pPr>
      <w:r>
        <w:t>2.1 Agent metadata</w:t>
      </w:r>
    </w:p>
    <w:tbl>
      <w:tblPr>
        <w:tblStyle w:val="LightList-Accent1"/>
        <w:tblW w:type="auto" w:w="0"/>
        <w:tblLook w:firstColumn="1" w:firstRow="1" w:lastColumn="0" w:lastRow="0" w:noHBand="0" w:noVBand="1" w:val="04A0"/>
      </w:tblPr>
      <w:tblGrid>
        <w:gridCol w:w="4680"/>
        <w:gridCol w:w="4680"/>
      </w:tblGrid>
      <w:tr>
        <w:tc>
          <w:tcPr>
            <w:tcW w:type="dxa" w:w="4680"/>
          </w:tcPr>
          <w:p>
            <w:r>
              <w:t>Agent ID</w:t>
            </w:r>
          </w:p>
        </w:tc>
        <w:tc>
          <w:tcPr>
            <w:tcW w:type="dxa" w:w="4680"/>
          </w:tcPr>
          <w:p>
            <w:r>
              <w:t>GL-016</w:t>
            </w:r>
          </w:p>
        </w:tc>
      </w:tr>
      <w:tr>
        <w:tc>
          <w:tcPr>
            <w:tcW w:type="dxa" w:w="4680"/>
          </w:tcPr>
          <w:p>
            <w:r>
              <w:t>Codename</w:t>
            </w:r>
          </w:p>
        </w:tc>
        <w:tc>
          <w:tcPr>
            <w:tcW w:type="dxa" w:w="4680"/>
          </w:tcPr>
          <w:p>
            <w:r>
              <w:t>WATERGUARD</w:t>
            </w:r>
          </w:p>
        </w:tc>
      </w:tr>
      <w:tr>
        <w:tc>
          <w:tcPr>
            <w:tcW w:type="dxa" w:w="4680"/>
          </w:tcPr>
          <w:p>
            <w:r>
              <w:t>Agent Type</w:t>
            </w:r>
          </w:p>
        </w:tc>
        <w:tc>
          <w:tcPr>
            <w:tcW w:type="dxa" w:w="4680"/>
          </w:tcPr>
          <w:p>
            <w:r>
              <w:t>BoilerWaterTreatmentAgent</w:t>
            </w:r>
          </w:p>
        </w:tc>
      </w:tr>
      <w:tr>
        <w:tc>
          <w:tcPr>
            <w:tcW w:type="dxa" w:w="4680"/>
          </w:tcPr>
          <w:p>
            <w:r>
              <w:t>Asset Domain</w:t>
            </w:r>
          </w:p>
        </w:tc>
        <w:tc>
          <w:tcPr>
            <w:tcW w:type="dxa" w:w="4680"/>
          </w:tcPr>
          <w:p>
            <w:r>
              <w:t>Boiler Systems</w:t>
            </w:r>
          </w:p>
        </w:tc>
      </w:tr>
      <w:tr>
        <w:tc>
          <w:tcPr>
            <w:tcW w:type="dxa" w:w="4680"/>
          </w:tcPr>
          <w:p>
            <w:r>
              <w:t>Role</w:t>
            </w:r>
          </w:p>
        </w:tc>
        <w:tc>
          <w:tcPr>
            <w:tcW w:type="dxa" w:w="4680"/>
          </w:tcPr>
          <w:p>
            <w:r>
              <w:t>Controller (supervisory control + recommendations; can be configured as recommend-only)</w:t>
            </w:r>
          </w:p>
        </w:tc>
      </w:tr>
      <w:tr>
        <w:tc>
          <w:tcPr>
            <w:tcW w:type="dxa" w:w="4680"/>
          </w:tcPr>
          <w:p>
            <w:r>
              <w:t>Complexity</w:t>
            </w:r>
          </w:p>
        </w:tc>
        <w:tc>
          <w:tcPr>
            <w:tcW w:type="dxa" w:w="4680"/>
          </w:tcPr>
          <w:p>
            <w:r>
              <w:t>Medium</w:t>
            </w:r>
          </w:p>
        </w:tc>
      </w:tr>
      <w:tr>
        <w:tc>
          <w:tcPr>
            <w:tcW w:type="dxa" w:w="4680"/>
          </w:tcPr>
          <w:p>
            <w:r>
              <w:t>Priority</w:t>
            </w:r>
          </w:p>
        </w:tc>
        <w:tc>
          <w:tcPr>
            <w:tcW w:type="dxa" w:w="4680"/>
          </w:tcPr>
          <w:p>
            <w:r>
              <w:t>P1</w:t>
            </w:r>
          </w:p>
        </w:tc>
      </w:tr>
      <w:tr>
        <w:tc>
          <w:tcPr>
            <w:tcW w:type="dxa" w:w="4680"/>
          </w:tcPr>
          <w:p>
            <w:r>
              <w:t>Business Value Target</w:t>
            </w:r>
          </w:p>
        </w:tc>
        <w:tc>
          <w:tcPr>
            <w:tcW w:type="dxa" w:w="4680"/>
          </w:tcPr>
          <w:p>
            <w:r>
              <w:t>$5B (portfolio-level value; site ROI varies)</w:t>
            </w:r>
          </w:p>
        </w:tc>
      </w:tr>
      <w:tr>
        <w:tc>
          <w:tcPr>
            <w:tcW w:type="dxa" w:w="4680"/>
          </w:tcPr>
          <w:p>
            <w:r>
              <w:t>Target Availability</w:t>
            </w:r>
          </w:p>
        </w:tc>
        <w:tc>
          <w:tcPr>
            <w:tcW w:type="dxa" w:w="4680"/>
          </w:tcPr>
          <w:p>
            <w:r>
              <w:t>Q2 2026</w:t>
            </w:r>
          </w:p>
        </w:tc>
      </w:tr>
      <w:tr>
        <w:tc>
          <w:tcPr>
            <w:tcW w:type="dxa" w:w="4680"/>
          </w:tcPr>
          <w:p>
            <w:r>
              <w:t>Readiness/Score</w:t>
            </w:r>
          </w:p>
        </w:tc>
        <w:tc>
          <w:tcPr>
            <w:tcW w:type="dxa" w:w="4680"/>
          </w:tcPr>
          <w:p>
            <w:r>
              <w:t>94 (as provided)</w:t>
            </w:r>
          </w:p>
        </w:tc>
      </w:tr>
      <w:tr>
        <w:tc>
          <w:tcPr>
            <w:tcW w:type="dxa" w:w="4680"/>
          </w:tcPr>
          <w:p>
            <w:r>
              <w:t>Current Status</w:t>
            </w:r>
          </w:p>
        </w:tc>
        <w:tc>
          <w:tcPr>
            <w:tcW w:type="dxa" w:w="4680"/>
          </w:tcPr>
          <w:p>
            <w:r>
              <w:t>Implemented (as provided; validate site-by-site readiness)</w:t>
            </w:r>
          </w:p>
        </w:tc>
      </w:tr>
      <w:tr>
        <w:tc>
          <w:tcPr>
            <w:tcW w:type="dxa" w:w="4680"/>
          </w:tcPr>
          <w:p>
            <w:r>
              <w:t>Key Integrations</w:t>
            </w:r>
          </w:p>
        </w:tc>
        <w:tc>
          <w:tcPr>
            <w:tcW w:type="dxa" w:w="4680"/>
          </w:tcPr>
          <w:p>
            <w:r>
              <w:t>Water quality analyzers; chemical dosing systems; OPC-UA; Kafka; CMMS</w:t>
            </w:r>
          </w:p>
        </w:tc>
      </w:tr>
      <w:tr>
        <w:tc>
          <w:tcPr>
            <w:tcW w:type="dxa" w:w="4680"/>
          </w:tcPr>
          <w:p>
            <w:r>
              <w:t>Primary Inputs</w:t>
            </w:r>
          </w:p>
        </w:tc>
        <w:tc>
          <w:tcPr>
            <w:tcW w:type="dxa" w:w="4680"/>
          </w:tcPr>
          <w:p>
            <w:r>
              <w:t>Water chemistry data: conductivity, pH, alkalinity, silica, hardness, iron, copper, dissolved O2, feedwater quality</w:t>
            </w:r>
          </w:p>
        </w:tc>
      </w:tr>
      <w:tr>
        <w:tc>
          <w:tcPr>
            <w:tcW w:type="dxa" w:w="4680"/>
          </w:tcPr>
          <w:p>
            <w:r>
              <w:t>Primary Outputs</w:t>
            </w:r>
          </w:p>
        </w:tc>
        <w:tc>
          <w:tcPr>
            <w:tcW w:type="dxa" w:w="4680"/>
          </w:tcPr>
          <w:p>
            <w:r>
              <w:t>Optimal blowdown rate; chemical dosing; water savings; compliance status; chemistry trends; explainability reports; dosing recommendations</w:t>
            </w:r>
          </w:p>
        </w:tc>
      </w:tr>
    </w:tbl>
    <w:p>
      <w:pPr>
        <w:pStyle w:val="Heading2"/>
      </w:pPr>
      <w:r>
        <w:t>2.2 In-scope functions</w:t>
      </w:r>
    </w:p>
    <w:p>
      <w:pPr>
        <w:pStyle w:val="ListBullet"/>
      </w:pPr>
      <w:r>
        <w:t>Continuous ingestion and validation of boiler/feedwater chemistry and operating data.</w:t>
      </w:r>
    </w:p>
    <w:p>
      <w:pPr>
        <w:pStyle w:val="ListBullet"/>
      </w:pPr>
      <w:r>
        <w:t>Deterministic calculation of cycles of concentration and constraint checks against site/OEM limits.</w:t>
      </w:r>
    </w:p>
    <w:p>
      <w:pPr>
        <w:pStyle w:val="ListBullet"/>
      </w:pPr>
      <w:r>
        <w:t>Optimization of blowdown (continuous and/or intermittent) to meet conductivity/silica/alkalinity constraints with minimum water/energy loss.</w:t>
      </w:r>
    </w:p>
    <w:p>
      <w:pPr>
        <w:pStyle w:val="ListBullet"/>
      </w:pPr>
      <w:r>
        <w:t>Optimization of chemical dosing (feed-forward + feedback) subject to dosing equipment constraints and residual targets.</w:t>
      </w:r>
    </w:p>
    <w:p>
      <w:pPr>
        <w:pStyle w:val="ListBullet"/>
      </w:pPr>
      <w:r>
        <w:t>Explainability generation (SHAP/LIME) for model-driven recommendations and audit-ready reporting.</w:t>
      </w:r>
    </w:p>
    <w:p>
      <w:pPr>
        <w:pStyle w:val="ListBullet"/>
      </w:pPr>
      <w:r>
        <w:t>Integration with CMMS for analyzer calibration, chemical replenishment, and valve/pump maintenance actions.</w:t>
      </w:r>
    </w:p>
    <w:p>
      <w:pPr>
        <w:pStyle w:val="Heading2"/>
      </w:pPr>
      <w:r>
        <w:t>2.3 Out-of-scope (explicit exclusions)</w:t>
      </w:r>
    </w:p>
    <w:p>
      <w:pPr>
        <w:pStyle w:val="ListBullet"/>
      </w:pPr>
      <w:r>
        <w:t>Replacing mandated safety systems (boiler management system, low-water cutoff, safety valves). WATERGUARD is supervisory only and must not bypass safety interlocks.</w:t>
      </w:r>
    </w:p>
    <w:p>
      <w:pPr>
        <w:pStyle w:val="ListBullet"/>
      </w:pPr>
      <w:r>
        <w:t>Making claims of universal chemistry setpoints. All target ranges must come from site SOPs, OEM guidance, and applicable codes/standards.</w:t>
      </w:r>
    </w:p>
    <w:p>
      <w:pPr>
        <w:pStyle w:val="ListBullet"/>
      </w:pPr>
      <w:r>
        <w:t>Direct autonomous actuation without explicit site approval, management of change (MOC), and staged commissioning.</w:t>
      </w:r>
    </w:p>
    <w:p>
      <w:pPr>
        <w:pStyle w:val="Heading1"/>
      </w:pPr>
      <w:r>
        <w:t>3. System Context and Stakeholders</w:t>
      </w:r>
    </w:p>
    <w:p>
      <w:pPr>
        <w:pStyle w:val="Heading2"/>
      </w:pPr>
      <w:r>
        <w:t>3.1 High-level context</w:t>
      </w:r>
    </w:p>
    <w:p>
      <w:pPr/>
      <w:r>
        <w:t>WATERGUARD sits between plant instrumentation (water quality analyzers and boiler operating signals) and actuation endpoints (blowdown valves and chemical dosing pumps). It uses OT protocols for ingestion (OPC-UA), streams normalized data via Kafka, performs deterministic chemistry calculations and ML-driven optimization, and integrates with CMMS to operationalize maintenance and compliance workflows.</w:t>
      </w:r>
    </w:p>
    <w:p>
      <w:pPr>
        <w:pStyle w:val="Heading2"/>
      </w:pPr>
      <w:r>
        <w:t>System context diagram (logical)</w:t>
      </w:r>
    </w:p>
    <w:p>
      <w:r>
        <w:rPr>
          <w:rFonts w:ascii="Consolas" w:hAnsi="Consolas"/>
          <w:sz w:val="18"/>
        </w:rPr>
        <w:t xml:space="preserve">  [Boiler + Feedwater System]</w:t>
        <w:br/>
        <w:t xml:space="preserve">      |  sensors/analyzers (cond., pH, silica, O2, etc.)</w:t>
        <w:br/>
        <w:t xml:space="preserve">      v</w:t>
        <w:br/>
        <w:t xml:space="preserve">  [OPC-UA Gateway / Edge Collector] -----&gt; [Kafka Topics: raw/cleaned/features]</w:t>
        <w:br/>
        <w:t xml:space="preserve">      |                                      |</w:t>
        <w:br/>
        <w:t xml:space="preserve">      |                                      v</w:t>
        <w:br/>
        <w:t xml:space="preserve">      |                             [WATERGUARD Services]</w:t>
        <w:br/>
        <w:t xml:space="preserve">      |                              - Data QA/QC</w:t>
        <w:br/>
        <w:t xml:space="preserve">      |                              - Deterministic Chemistry Engine</w:t>
        <w:br/>
        <w:t xml:space="preserve">      |                              - Optimization + ML Models</w:t>
        <w:br/>
        <w:t xml:space="preserve">      |                              - Explainability + Reporting</w:t>
        <w:br/>
        <w:t xml:space="preserve">      |                                      |</w:t>
        <w:br/>
        <w:t xml:space="preserve">      v                                      v</w:t>
        <w:br/>
        <w:t xml:space="preserve">  [Actuation Endpoints]                 [Operator UI / API]</w:t>
        <w:br/>
        <w:t xml:space="preserve">  - Blowdown valves                     [CMMS Integration]</w:t>
        <w:br/>
        <w:t xml:space="preserve">  - Dosing pumps</w:t>
        <w:br/>
      </w:r>
    </w:p>
    <w:p>
      <w:pPr>
        <w:pStyle w:val="Heading2"/>
      </w:pPr>
      <w:r>
        <w:t>3.2 Teams and responsibilities (summary)</w:t>
      </w:r>
    </w:p>
    <w:p>
      <w:pPr/>
      <w:r>
        <w:t>The remainder of this document provides a work plan by team. Each team owns deliverables that are necessary for a safe, compliant controller operating in an OT environment.</w:t>
      </w:r>
    </w:p>
    <w:p>
      <w:pPr>
        <w:pStyle w:val="Heading1"/>
      </w:pPr>
      <w:r>
        <w:t>4. Data Requirements</w:t>
      </w:r>
    </w:p>
    <w:p>
      <w:pPr>
        <w:pStyle w:val="Heading2"/>
      </w:pPr>
      <w:r>
        <w:t>4.1 Required process and chemistry signals</w:t>
      </w:r>
    </w:p>
    <w:p>
      <w:pPr/>
      <w:r>
        <w:t>WATERGUARD requires time-synchronized chemistry measurements plus key boiler operating signals. Where continuous analyzers do not exist, the system must support lab/grab-sample inputs and treat them as lower-frequency, higher-latency measurements.</w:t>
      </w:r>
    </w:p>
    <w:tbl>
      <w:tblPr>
        <w:tblStyle w:val="LightList-Accent1"/>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656"/>
          </w:tcPr>
          <w:p>
            <w:r>
              <w:rPr>
                <w:rFonts w:ascii="Calibri" w:hAnsi="Calibri"/>
                <w:sz w:val="18"/>
              </w:rPr>
              <w:t>Signal</w:t>
            </w:r>
          </w:p>
        </w:tc>
        <w:tc>
          <w:tcPr>
            <w:tcW w:type="dxa" w:w="1800"/>
          </w:tcPr>
          <w:p>
            <w:r>
              <w:rPr>
                <w:rFonts w:ascii="Calibri" w:hAnsi="Calibri"/>
                <w:sz w:val="18"/>
              </w:rPr>
              <w:t>Measurement point</w:t>
            </w:r>
          </w:p>
        </w:tc>
        <w:tc>
          <w:tcPr>
            <w:tcW w:type="dxa" w:w="1368"/>
          </w:tcPr>
          <w:p>
            <w:r>
              <w:rPr>
                <w:rFonts w:ascii="Calibri" w:hAnsi="Calibri"/>
                <w:sz w:val="18"/>
              </w:rPr>
              <w:t>Units</w:t>
            </w:r>
          </w:p>
        </w:tc>
        <w:tc>
          <w:tcPr>
            <w:tcW w:type="dxa" w:w="1224"/>
          </w:tcPr>
          <w:p>
            <w:r>
              <w:rPr>
                <w:rFonts w:ascii="Calibri" w:hAnsi="Calibri"/>
                <w:sz w:val="18"/>
              </w:rPr>
              <w:t>Min update</w:t>
            </w:r>
          </w:p>
        </w:tc>
        <w:tc>
          <w:tcPr>
            <w:tcW w:type="dxa" w:w="792"/>
          </w:tcPr>
          <w:p>
            <w:r>
              <w:rPr>
                <w:rFonts w:ascii="Calibri" w:hAnsi="Calibri"/>
                <w:sz w:val="18"/>
              </w:rPr>
              <w:t>Need</w:t>
            </w:r>
          </w:p>
        </w:tc>
        <w:tc>
          <w:tcPr>
            <w:tcW w:type="dxa" w:w="2520"/>
          </w:tcPr>
          <w:p>
            <w:r>
              <w:rPr>
                <w:rFonts w:ascii="Calibri" w:hAnsi="Calibri"/>
                <w:sz w:val="18"/>
              </w:rPr>
              <w:t>Notes / QA requirements</w:t>
            </w:r>
          </w:p>
        </w:tc>
      </w:tr>
      <w:tr>
        <w:tc>
          <w:tcPr>
            <w:tcW w:type="dxa" w:w="1656"/>
          </w:tcPr>
          <w:p>
            <w:r>
              <w:rPr>
                <w:rFonts w:ascii="Calibri" w:hAnsi="Calibri"/>
                <w:sz w:val="18"/>
              </w:rPr>
              <w:t>Conductivity</w:t>
            </w:r>
          </w:p>
        </w:tc>
        <w:tc>
          <w:tcPr>
            <w:tcW w:type="dxa" w:w="1800"/>
          </w:tcPr>
          <w:p>
            <w:r>
              <w:rPr>
                <w:rFonts w:ascii="Calibri" w:hAnsi="Calibri"/>
                <w:sz w:val="18"/>
              </w:rPr>
              <w:t>Boiler water and feedwater + makeup</w:t>
            </w:r>
          </w:p>
        </w:tc>
        <w:tc>
          <w:tcPr>
            <w:tcW w:type="dxa" w:w="1368"/>
          </w:tcPr>
          <w:p>
            <w:r>
              <w:rPr>
                <w:rFonts w:ascii="Calibri" w:hAnsi="Calibri"/>
                <w:sz w:val="18"/>
              </w:rPr>
              <w:t>µS/cm</w:t>
            </w:r>
          </w:p>
        </w:tc>
        <w:tc>
          <w:tcPr>
            <w:tcW w:type="dxa" w:w="1224"/>
          </w:tcPr>
          <w:p>
            <w:r>
              <w:rPr>
                <w:rFonts w:ascii="Calibri" w:hAnsi="Calibri"/>
                <w:sz w:val="18"/>
              </w:rPr>
              <w:t>1-10 s</w:t>
            </w:r>
          </w:p>
        </w:tc>
        <w:tc>
          <w:tcPr>
            <w:tcW w:type="dxa" w:w="792"/>
          </w:tcPr>
          <w:p>
            <w:r>
              <w:rPr>
                <w:rFonts w:ascii="Calibri" w:hAnsi="Calibri"/>
                <w:sz w:val="18"/>
              </w:rPr>
              <w:t>Req</w:t>
            </w:r>
          </w:p>
        </w:tc>
        <w:tc>
          <w:tcPr>
            <w:tcW w:type="dxa" w:w="2520"/>
          </w:tcPr>
          <w:p>
            <w:r>
              <w:rPr>
                <w:rFonts w:ascii="Calibri" w:hAnsi="Calibri"/>
                <w:sz w:val="18"/>
              </w:rPr>
              <w:t>Primary proxy for dissolved solids; must include temperature compensation flag and analyzer status.</w:t>
            </w:r>
          </w:p>
        </w:tc>
      </w:tr>
      <w:tr>
        <w:tc>
          <w:tcPr>
            <w:tcW w:type="dxa" w:w="1656"/>
          </w:tcPr>
          <w:p>
            <w:r>
              <w:rPr>
                <w:rFonts w:ascii="Calibri" w:hAnsi="Calibri"/>
                <w:sz w:val="18"/>
              </w:rPr>
              <w:t>pH</w:t>
            </w:r>
          </w:p>
        </w:tc>
        <w:tc>
          <w:tcPr>
            <w:tcW w:type="dxa" w:w="1800"/>
          </w:tcPr>
          <w:p>
            <w:r>
              <w:rPr>
                <w:rFonts w:ascii="Calibri" w:hAnsi="Calibri"/>
                <w:sz w:val="18"/>
              </w:rPr>
              <w:t>Boiler water and feedwater</w:t>
            </w:r>
          </w:p>
        </w:tc>
        <w:tc>
          <w:tcPr>
            <w:tcW w:type="dxa" w:w="1368"/>
          </w:tcPr>
          <w:p>
            <w:r>
              <w:rPr>
                <w:rFonts w:ascii="Calibri" w:hAnsi="Calibri"/>
                <w:sz w:val="18"/>
              </w:rPr>
              <w:t>pH</w:t>
            </w:r>
          </w:p>
        </w:tc>
        <w:tc>
          <w:tcPr>
            <w:tcW w:type="dxa" w:w="1224"/>
          </w:tcPr>
          <w:p>
            <w:r>
              <w:rPr>
                <w:rFonts w:ascii="Calibri" w:hAnsi="Calibri"/>
                <w:sz w:val="18"/>
              </w:rPr>
              <w:t>10-60 s</w:t>
            </w:r>
          </w:p>
        </w:tc>
        <w:tc>
          <w:tcPr>
            <w:tcW w:type="dxa" w:w="792"/>
          </w:tcPr>
          <w:p>
            <w:r>
              <w:rPr>
                <w:rFonts w:ascii="Calibri" w:hAnsi="Calibri"/>
                <w:sz w:val="18"/>
              </w:rPr>
              <w:t>Req</w:t>
            </w:r>
          </w:p>
        </w:tc>
        <w:tc>
          <w:tcPr>
            <w:tcW w:type="dxa" w:w="2520"/>
          </w:tcPr>
          <w:p>
            <w:r>
              <w:rPr>
                <w:rFonts w:ascii="Calibri" w:hAnsi="Calibri"/>
                <w:sz w:val="18"/>
              </w:rPr>
              <w:t>Need analyzer temperature compensation and calibration schedule; detect out-of-range/flatline.</w:t>
            </w:r>
          </w:p>
        </w:tc>
      </w:tr>
      <w:tr>
        <w:tc>
          <w:tcPr>
            <w:tcW w:type="dxa" w:w="1656"/>
          </w:tcPr>
          <w:p>
            <w:r>
              <w:rPr>
                <w:rFonts w:ascii="Calibri" w:hAnsi="Calibri"/>
                <w:sz w:val="18"/>
              </w:rPr>
              <w:t>Alkalinity (P &amp; M as applicable)</w:t>
            </w:r>
          </w:p>
        </w:tc>
        <w:tc>
          <w:tcPr>
            <w:tcW w:type="dxa" w:w="1800"/>
          </w:tcPr>
          <w:p>
            <w:r>
              <w:rPr>
                <w:rFonts w:ascii="Calibri" w:hAnsi="Calibri"/>
                <w:sz w:val="18"/>
              </w:rPr>
              <w:t>Boiler water; feedwater</w:t>
            </w:r>
          </w:p>
        </w:tc>
        <w:tc>
          <w:tcPr>
            <w:tcW w:type="dxa" w:w="1368"/>
          </w:tcPr>
          <w:p>
            <w:r>
              <w:rPr>
                <w:rFonts w:ascii="Calibri" w:hAnsi="Calibri"/>
                <w:sz w:val="18"/>
              </w:rPr>
              <w:t>mg/L as CaCO3</w:t>
            </w:r>
          </w:p>
        </w:tc>
        <w:tc>
          <w:tcPr>
            <w:tcW w:type="dxa" w:w="1224"/>
          </w:tcPr>
          <w:p>
            <w:r>
              <w:rPr>
                <w:rFonts w:ascii="Calibri" w:hAnsi="Calibri"/>
                <w:sz w:val="18"/>
              </w:rPr>
              <w:t>15 min - 24 h</w:t>
            </w:r>
          </w:p>
        </w:tc>
        <w:tc>
          <w:tcPr>
            <w:tcW w:type="dxa" w:w="792"/>
          </w:tcPr>
          <w:p>
            <w:r>
              <w:rPr>
                <w:rFonts w:ascii="Calibri" w:hAnsi="Calibri"/>
                <w:sz w:val="18"/>
              </w:rPr>
              <w:t>Req</w:t>
            </w:r>
          </w:p>
        </w:tc>
        <w:tc>
          <w:tcPr>
            <w:tcW w:type="dxa" w:w="2520"/>
          </w:tcPr>
          <w:p>
            <w:r>
              <w:rPr>
                <w:rFonts w:ascii="Calibri" w:hAnsi="Calibri"/>
                <w:sz w:val="18"/>
              </w:rPr>
              <w:t>Continuous analyzer preferred; otherwise lab input. Must track method and timestamp.</w:t>
            </w:r>
          </w:p>
        </w:tc>
      </w:tr>
      <w:tr>
        <w:tc>
          <w:tcPr>
            <w:tcW w:type="dxa" w:w="1656"/>
          </w:tcPr>
          <w:p>
            <w:r>
              <w:rPr>
                <w:rFonts w:ascii="Calibri" w:hAnsi="Calibri"/>
                <w:sz w:val="18"/>
              </w:rPr>
              <w:t>Silica (reactive)</w:t>
            </w:r>
          </w:p>
        </w:tc>
        <w:tc>
          <w:tcPr>
            <w:tcW w:type="dxa" w:w="1800"/>
          </w:tcPr>
          <w:p>
            <w:r>
              <w:rPr>
                <w:rFonts w:ascii="Calibri" w:hAnsi="Calibri"/>
                <w:sz w:val="18"/>
              </w:rPr>
              <w:t>Boiler water and feedwater + makeup</w:t>
            </w:r>
          </w:p>
        </w:tc>
        <w:tc>
          <w:tcPr>
            <w:tcW w:type="dxa" w:w="1368"/>
          </w:tcPr>
          <w:p>
            <w:r>
              <w:rPr>
                <w:rFonts w:ascii="Calibri" w:hAnsi="Calibri"/>
                <w:sz w:val="18"/>
              </w:rPr>
              <w:t>mg/L SiO2</w:t>
            </w:r>
          </w:p>
        </w:tc>
        <w:tc>
          <w:tcPr>
            <w:tcW w:type="dxa" w:w="1224"/>
          </w:tcPr>
          <w:p>
            <w:r>
              <w:rPr>
                <w:rFonts w:ascii="Calibri" w:hAnsi="Calibri"/>
                <w:sz w:val="18"/>
              </w:rPr>
              <w:t>15 min - 24 h</w:t>
            </w:r>
          </w:p>
        </w:tc>
        <w:tc>
          <w:tcPr>
            <w:tcW w:type="dxa" w:w="792"/>
          </w:tcPr>
          <w:p>
            <w:r>
              <w:rPr>
                <w:rFonts w:ascii="Calibri" w:hAnsi="Calibri"/>
                <w:sz w:val="18"/>
              </w:rPr>
              <w:t>Req</w:t>
            </w:r>
          </w:p>
        </w:tc>
        <w:tc>
          <w:tcPr>
            <w:tcW w:type="dxa" w:w="2520"/>
          </w:tcPr>
          <w:p>
            <w:r>
              <w:rPr>
                <w:rFonts w:ascii="Calibri" w:hAnsi="Calibri"/>
                <w:sz w:val="18"/>
              </w:rPr>
              <w:t>Critical constraint for carryover and turbine/steam quality; validate analyzer reagent status.</w:t>
            </w:r>
          </w:p>
        </w:tc>
      </w:tr>
      <w:tr>
        <w:tc>
          <w:tcPr>
            <w:tcW w:type="dxa" w:w="1656"/>
          </w:tcPr>
          <w:p>
            <w:r>
              <w:rPr>
                <w:rFonts w:ascii="Calibri" w:hAnsi="Calibri"/>
                <w:sz w:val="18"/>
              </w:rPr>
              <w:t>Hardness</w:t>
            </w:r>
          </w:p>
        </w:tc>
        <w:tc>
          <w:tcPr>
            <w:tcW w:type="dxa" w:w="1800"/>
          </w:tcPr>
          <w:p>
            <w:r>
              <w:rPr>
                <w:rFonts w:ascii="Calibri" w:hAnsi="Calibri"/>
                <w:sz w:val="18"/>
              </w:rPr>
              <w:t>Makeup water; feedwater</w:t>
            </w:r>
          </w:p>
        </w:tc>
        <w:tc>
          <w:tcPr>
            <w:tcW w:type="dxa" w:w="1368"/>
          </w:tcPr>
          <w:p>
            <w:r>
              <w:rPr>
                <w:rFonts w:ascii="Calibri" w:hAnsi="Calibri"/>
                <w:sz w:val="18"/>
              </w:rPr>
              <w:t>mg/L as CaCO3</w:t>
            </w:r>
          </w:p>
        </w:tc>
        <w:tc>
          <w:tcPr>
            <w:tcW w:type="dxa" w:w="1224"/>
          </w:tcPr>
          <w:p>
            <w:r>
              <w:rPr>
                <w:rFonts w:ascii="Calibri" w:hAnsi="Calibri"/>
                <w:sz w:val="18"/>
              </w:rPr>
              <w:t>15 min - 24 h</w:t>
            </w:r>
          </w:p>
        </w:tc>
        <w:tc>
          <w:tcPr>
            <w:tcW w:type="dxa" w:w="792"/>
          </w:tcPr>
          <w:p>
            <w:r>
              <w:rPr>
                <w:rFonts w:ascii="Calibri" w:hAnsi="Calibri"/>
                <w:sz w:val="18"/>
              </w:rPr>
              <w:t>Req</w:t>
            </w:r>
          </w:p>
        </w:tc>
        <w:tc>
          <w:tcPr>
            <w:tcW w:type="dxa" w:w="2520"/>
          </w:tcPr>
          <w:p>
            <w:r>
              <w:rPr>
                <w:rFonts w:ascii="Calibri" w:hAnsi="Calibri"/>
                <w:sz w:val="18"/>
              </w:rPr>
              <w:t>Required to prevent scaling; often from softener or RO monitoring; capture resin exhaustion flags.</w:t>
            </w:r>
          </w:p>
        </w:tc>
      </w:tr>
      <w:tr>
        <w:tc>
          <w:tcPr>
            <w:tcW w:type="dxa" w:w="1656"/>
          </w:tcPr>
          <w:p>
            <w:r>
              <w:rPr>
                <w:rFonts w:ascii="Calibri" w:hAnsi="Calibri"/>
                <w:sz w:val="18"/>
              </w:rPr>
              <w:t>Iron</w:t>
            </w:r>
          </w:p>
        </w:tc>
        <w:tc>
          <w:tcPr>
            <w:tcW w:type="dxa" w:w="1800"/>
          </w:tcPr>
          <w:p>
            <w:r>
              <w:rPr>
                <w:rFonts w:ascii="Calibri" w:hAnsi="Calibri"/>
                <w:sz w:val="18"/>
              </w:rPr>
              <w:t>Condensate + feedwater</w:t>
            </w:r>
          </w:p>
        </w:tc>
        <w:tc>
          <w:tcPr>
            <w:tcW w:type="dxa" w:w="1368"/>
          </w:tcPr>
          <w:p>
            <w:r>
              <w:rPr>
                <w:rFonts w:ascii="Calibri" w:hAnsi="Calibri"/>
                <w:sz w:val="18"/>
              </w:rPr>
              <w:t>mg/L</w:t>
            </w:r>
          </w:p>
        </w:tc>
        <w:tc>
          <w:tcPr>
            <w:tcW w:type="dxa" w:w="1224"/>
          </w:tcPr>
          <w:p>
            <w:r>
              <w:rPr>
                <w:rFonts w:ascii="Calibri" w:hAnsi="Calibri"/>
                <w:sz w:val="18"/>
              </w:rPr>
              <w:t>15 min - 24 h</w:t>
            </w:r>
          </w:p>
        </w:tc>
        <w:tc>
          <w:tcPr>
            <w:tcW w:type="dxa" w:w="792"/>
          </w:tcPr>
          <w:p>
            <w:r>
              <w:rPr>
                <w:rFonts w:ascii="Calibri" w:hAnsi="Calibri"/>
                <w:sz w:val="18"/>
              </w:rPr>
              <w:t>Req</w:t>
            </w:r>
          </w:p>
        </w:tc>
        <w:tc>
          <w:tcPr>
            <w:tcW w:type="dxa" w:w="2520"/>
          </w:tcPr>
          <w:p>
            <w:r>
              <w:rPr>
                <w:rFonts w:ascii="Calibri" w:hAnsi="Calibri"/>
                <w:sz w:val="18"/>
              </w:rPr>
              <w:t>Indicator of corrosion/transport; may be lab-based. Capture detection limit and method.</w:t>
            </w:r>
          </w:p>
        </w:tc>
      </w:tr>
      <w:tr>
        <w:tc>
          <w:tcPr>
            <w:tcW w:type="dxa" w:w="1656"/>
          </w:tcPr>
          <w:p>
            <w:r>
              <w:rPr>
                <w:rFonts w:ascii="Calibri" w:hAnsi="Calibri"/>
                <w:sz w:val="18"/>
              </w:rPr>
              <w:t>Copper</w:t>
            </w:r>
          </w:p>
        </w:tc>
        <w:tc>
          <w:tcPr>
            <w:tcW w:type="dxa" w:w="1800"/>
          </w:tcPr>
          <w:p>
            <w:r>
              <w:rPr>
                <w:rFonts w:ascii="Calibri" w:hAnsi="Calibri"/>
                <w:sz w:val="18"/>
              </w:rPr>
              <w:t>Condensate + feedwater</w:t>
            </w:r>
          </w:p>
        </w:tc>
        <w:tc>
          <w:tcPr>
            <w:tcW w:type="dxa" w:w="1368"/>
          </w:tcPr>
          <w:p>
            <w:r>
              <w:rPr>
                <w:rFonts w:ascii="Calibri" w:hAnsi="Calibri"/>
                <w:sz w:val="18"/>
              </w:rPr>
              <w:t>mg/L</w:t>
            </w:r>
          </w:p>
        </w:tc>
        <w:tc>
          <w:tcPr>
            <w:tcW w:type="dxa" w:w="1224"/>
          </w:tcPr>
          <w:p>
            <w:r>
              <w:rPr>
                <w:rFonts w:ascii="Calibri" w:hAnsi="Calibri"/>
                <w:sz w:val="18"/>
              </w:rPr>
              <w:t>15 min - 24 h</w:t>
            </w:r>
          </w:p>
        </w:tc>
        <w:tc>
          <w:tcPr>
            <w:tcW w:type="dxa" w:w="792"/>
          </w:tcPr>
          <w:p>
            <w:r>
              <w:rPr>
                <w:rFonts w:ascii="Calibri" w:hAnsi="Calibri"/>
                <w:sz w:val="18"/>
              </w:rPr>
              <w:t>Req</w:t>
            </w:r>
          </w:p>
        </w:tc>
        <w:tc>
          <w:tcPr>
            <w:tcW w:type="dxa" w:w="2520"/>
          </w:tcPr>
          <w:p>
            <w:r>
              <w:rPr>
                <w:rFonts w:ascii="Calibri" w:hAnsi="Calibri"/>
                <w:sz w:val="18"/>
              </w:rPr>
              <w:t>Important for high-pressure systems; may be lab-based.</w:t>
            </w:r>
          </w:p>
        </w:tc>
      </w:tr>
      <w:tr>
        <w:tc>
          <w:tcPr>
            <w:tcW w:type="dxa" w:w="1656"/>
          </w:tcPr>
          <w:p>
            <w:r>
              <w:rPr>
                <w:rFonts w:ascii="Calibri" w:hAnsi="Calibri"/>
                <w:sz w:val="18"/>
              </w:rPr>
              <w:t>Dissolved O2</w:t>
            </w:r>
          </w:p>
        </w:tc>
        <w:tc>
          <w:tcPr>
            <w:tcW w:type="dxa" w:w="1800"/>
          </w:tcPr>
          <w:p>
            <w:r>
              <w:rPr>
                <w:rFonts w:ascii="Calibri" w:hAnsi="Calibri"/>
                <w:sz w:val="18"/>
              </w:rPr>
              <w:t>Feedwater (post-deaerator if present)</w:t>
            </w:r>
          </w:p>
        </w:tc>
        <w:tc>
          <w:tcPr>
            <w:tcW w:type="dxa" w:w="1368"/>
          </w:tcPr>
          <w:p>
            <w:r>
              <w:rPr>
                <w:rFonts w:ascii="Calibri" w:hAnsi="Calibri"/>
                <w:sz w:val="18"/>
              </w:rPr>
              <w:t>ppb or mg/L</w:t>
            </w:r>
          </w:p>
        </w:tc>
        <w:tc>
          <w:tcPr>
            <w:tcW w:type="dxa" w:w="1224"/>
          </w:tcPr>
          <w:p>
            <w:r>
              <w:rPr>
                <w:rFonts w:ascii="Calibri" w:hAnsi="Calibri"/>
                <w:sz w:val="18"/>
              </w:rPr>
              <w:t>10-60 s</w:t>
            </w:r>
          </w:p>
        </w:tc>
        <w:tc>
          <w:tcPr>
            <w:tcW w:type="dxa" w:w="792"/>
          </w:tcPr>
          <w:p>
            <w:r>
              <w:rPr>
                <w:rFonts w:ascii="Calibri" w:hAnsi="Calibri"/>
                <w:sz w:val="18"/>
              </w:rPr>
              <w:t>Req</w:t>
            </w:r>
          </w:p>
        </w:tc>
        <w:tc>
          <w:tcPr>
            <w:tcW w:type="dxa" w:w="2520"/>
          </w:tcPr>
          <w:p>
            <w:r>
              <w:rPr>
                <w:rFonts w:ascii="Calibri" w:hAnsi="Calibri"/>
                <w:sz w:val="18"/>
              </w:rPr>
              <w:t>Corrosion risk driver; validate sensor health and sampling line integrity.</w:t>
            </w:r>
          </w:p>
        </w:tc>
      </w:tr>
      <w:tr>
        <w:tc>
          <w:tcPr>
            <w:tcW w:type="dxa" w:w="1656"/>
          </w:tcPr>
          <w:p>
            <w:r>
              <w:rPr>
                <w:rFonts w:ascii="Calibri" w:hAnsi="Calibri"/>
                <w:sz w:val="18"/>
              </w:rPr>
              <w:t>Makeup water flow</w:t>
            </w:r>
          </w:p>
        </w:tc>
        <w:tc>
          <w:tcPr>
            <w:tcW w:type="dxa" w:w="1800"/>
          </w:tcPr>
          <w:p>
            <w:r>
              <w:rPr>
                <w:rFonts w:ascii="Calibri" w:hAnsi="Calibri"/>
                <w:sz w:val="18"/>
              </w:rPr>
              <w:t>Makeup line</w:t>
            </w:r>
          </w:p>
        </w:tc>
        <w:tc>
          <w:tcPr>
            <w:tcW w:type="dxa" w:w="1368"/>
          </w:tcPr>
          <w:p>
            <w:r>
              <w:rPr>
                <w:rFonts w:ascii="Calibri" w:hAnsi="Calibri"/>
                <w:sz w:val="18"/>
              </w:rPr>
              <w:t>kg/s or m3/h</w:t>
            </w:r>
          </w:p>
        </w:tc>
        <w:tc>
          <w:tcPr>
            <w:tcW w:type="dxa" w:w="1224"/>
          </w:tcPr>
          <w:p>
            <w:r>
              <w:rPr>
                <w:rFonts w:ascii="Calibri" w:hAnsi="Calibri"/>
                <w:sz w:val="18"/>
              </w:rPr>
              <w:t>1-10 s</w:t>
            </w:r>
          </w:p>
        </w:tc>
        <w:tc>
          <w:tcPr>
            <w:tcW w:type="dxa" w:w="792"/>
          </w:tcPr>
          <w:p>
            <w:r>
              <w:rPr>
                <w:rFonts w:ascii="Calibri" w:hAnsi="Calibri"/>
                <w:sz w:val="18"/>
              </w:rPr>
              <w:t>Req</w:t>
            </w:r>
          </w:p>
        </w:tc>
        <w:tc>
          <w:tcPr>
            <w:tcW w:type="dxa" w:w="2520"/>
          </w:tcPr>
          <w:p>
            <w:r>
              <w:rPr>
                <w:rFonts w:ascii="Calibri" w:hAnsi="Calibri"/>
                <w:sz w:val="18"/>
              </w:rPr>
              <w:t>Needed for mass balance and dosing feed-forward.</w:t>
            </w:r>
          </w:p>
        </w:tc>
      </w:tr>
      <w:tr>
        <w:tc>
          <w:tcPr>
            <w:tcW w:type="dxa" w:w="1656"/>
          </w:tcPr>
          <w:p>
            <w:r>
              <w:rPr>
                <w:rFonts w:ascii="Calibri" w:hAnsi="Calibri"/>
                <w:sz w:val="18"/>
              </w:rPr>
              <w:t>Steam flow / load</w:t>
            </w:r>
          </w:p>
        </w:tc>
        <w:tc>
          <w:tcPr>
            <w:tcW w:type="dxa" w:w="1800"/>
          </w:tcPr>
          <w:p>
            <w:r>
              <w:rPr>
                <w:rFonts w:ascii="Calibri" w:hAnsi="Calibri"/>
                <w:sz w:val="18"/>
              </w:rPr>
              <w:t>Main steam</w:t>
            </w:r>
          </w:p>
        </w:tc>
        <w:tc>
          <w:tcPr>
            <w:tcW w:type="dxa" w:w="1368"/>
          </w:tcPr>
          <w:p>
            <w:r>
              <w:rPr>
                <w:rFonts w:ascii="Calibri" w:hAnsi="Calibri"/>
                <w:sz w:val="18"/>
              </w:rPr>
              <w:t>kg/s or t/h</w:t>
            </w:r>
          </w:p>
        </w:tc>
        <w:tc>
          <w:tcPr>
            <w:tcW w:type="dxa" w:w="1224"/>
          </w:tcPr>
          <w:p>
            <w:r>
              <w:rPr>
                <w:rFonts w:ascii="Calibri" w:hAnsi="Calibri"/>
                <w:sz w:val="18"/>
              </w:rPr>
              <w:t>1-10 s</w:t>
            </w:r>
          </w:p>
        </w:tc>
        <w:tc>
          <w:tcPr>
            <w:tcW w:type="dxa" w:w="792"/>
          </w:tcPr>
          <w:p>
            <w:r>
              <w:rPr>
                <w:rFonts w:ascii="Calibri" w:hAnsi="Calibri"/>
                <w:sz w:val="18"/>
              </w:rPr>
              <w:t>Req</w:t>
            </w:r>
          </w:p>
        </w:tc>
        <w:tc>
          <w:tcPr>
            <w:tcW w:type="dxa" w:w="2520"/>
          </w:tcPr>
          <w:p>
            <w:r>
              <w:rPr>
                <w:rFonts w:ascii="Calibri" w:hAnsi="Calibri"/>
                <w:sz w:val="18"/>
              </w:rPr>
              <w:t>Needed to estimate blowdown fraction vs load and energy impacts.</w:t>
            </w:r>
          </w:p>
        </w:tc>
      </w:tr>
      <w:tr>
        <w:tc>
          <w:tcPr>
            <w:tcW w:type="dxa" w:w="1656"/>
          </w:tcPr>
          <w:p>
            <w:r>
              <w:rPr>
                <w:rFonts w:ascii="Calibri" w:hAnsi="Calibri"/>
                <w:sz w:val="18"/>
              </w:rPr>
              <w:t>Boiler pressure</w:t>
            </w:r>
          </w:p>
        </w:tc>
        <w:tc>
          <w:tcPr>
            <w:tcW w:type="dxa" w:w="1800"/>
          </w:tcPr>
          <w:p>
            <w:r>
              <w:rPr>
                <w:rFonts w:ascii="Calibri" w:hAnsi="Calibri"/>
                <w:sz w:val="18"/>
              </w:rPr>
              <w:t>Steam drum</w:t>
            </w:r>
          </w:p>
        </w:tc>
        <w:tc>
          <w:tcPr>
            <w:tcW w:type="dxa" w:w="1368"/>
          </w:tcPr>
          <w:p>
            <w:r>
              <w:rPr>
                <w:rFonts w:ascii="Calibri" w:hAnsi="Calibri"/>
                <w:sz w:val="18"/>
              </w:rPr>
              <w:t>bar or psig</w:t>
            </w:r>
          </w:p>
        </w:tc>
        <w:tc>
          <w:tcPr>
            <w:tcW w:type="dxa" w:w="1224"/>
          </w:tcPr>
          <w:p>
            <w:r>
              <w:rPr>
                <w:rFonts w:ascii="Calibri" w:hAnsi="Calibri"/>
                <w:sz w:val="18"/>
              </w:rPr>
              <w:t>1-10 s</w:t>
            </w:r>
          </w:p>
        </w:tc>
        <w:tc>
          <w:tcPr>
            <w:tcW w:type="dxa" w:w="792"/>
          </w:tcPr>
          <w:p>
            <w:r>
              <w:rPr>
                <w:rFonts w:ascii="Calibri" w:hAnsi="Calibri"/>
                <w:sz w:val="18"/>
              </w:rPr>
              <w:t>Rec</w:t>
            </w:r>
          </w:p>
        </w:tc>
        <w:tc>
          <w:tcPr>
            <w:tcW w:type="dxa" w:w="2520"/>
          </w:tcPr>
          <w:p>
            <w:r>
              <w:rPr>
                <w:rFonts w:ascii="Calibri" w:hAnsi="Calibri"/>
                <w:sz w:val="18"/>
              </w:rPr>
              <w:t>Used for saturation temperature and blowdown energy loss calculations.</w:t>
            </w:r>
          </w:p>
        </w:tc>
      </w:tr>
      <w:tr>
        <w:tc>
          <w:tcPr>
            <w:tcW w:type="dxa" w:w="1656"/>
          </w:tcPr>
          <w:p>
            <w:r>
              <w:rPr>
                <w:rFonts w:ascii="Calibri" w:hAnsi="Calibri"/>
                <w:sz w:val="18"/>
              </w:rPr>
              <w:t>Feedwater temperature</w:t>
            </w:r>
          </w:p>
        </w:tc>
        <w:tc>
          <w:tcPr>
            <w:tcW w:type="dxa" w:w="1800"/>
          </w:tcPr>
          <w:p>
            <w:r>
              <w:rPr>
                <w:rFonts w:ascii="Calibri" w:hAnsi="Calibri"/>
                <w:sz w:val="18"/>
              </w:rPr>
              <w:t>Feedwater</w:t>
            </w:r>
          </w:p>
        </w:tc>
        <w:tc>
          <w:tcPr>
            <w:tcW w:type="dxa" w:w="1368"/>
          </w:tcPr>
          <w:p>
            <w:r>
              <w:rPr>
                <w:rFonts w:ascii="Calibri" w:hAnsi="Calibri"/>
                <w:sz w:val="18"/>
              </w:rPr>
              <w:t>°C</w:t>
            </w:r>
          </w:p>
        </w:tc>
        <w:tc>
          <w:tcPr>
            <w:tcW w:type="dxa" w:w="1224"/>
          </w:tcPr>
          <w:p>
            <w:r>
              <w:rPr>
                <w:rFonts w:ascii="Calibri" w:hAnsi="Calibri"/>
                <w:sz w:val="18"/>
              </w:rPr>
              <w:t>1-10 s</w:t>
            </w:r>
          </w:p>
        </w:tc>
        <w:tc>
          <w:tcPr>
            <w:tcW w:type="dxa" w:w="792"/>
          </w:tcPr>
          <w:p>
            <w:r>
              <w:rPr>
                <w:rFonts w:ascii="Calibri" w:hAnsi="Calibri"/>
                <w:sz w:val="18"/>
              </w:rPr>
              <w:t>Rec</w:t>
            </w:r>
          </w:p>
        </w:tc>
        <w:tc>
          <w:tcPr>
            <w:tcW w:type="dxa" w:w="2520"/>
          </w:tcPr>
          <w:p>
            <w:r>
              <w:rPr>
                <w:rFonts w:ascii="Calibri" w:hAnsi="Calibri"/>
                <w:sz w:val="18"/>
              </w:rPr>
              <w:t>Used for heat-loss and enthalpy calculations.</w:t>
            </w:r>
          </w:p>
        </w:tc>
      </w:tr>
      <w:tr>
        <w:tc>
          <w:tcPr>
            <w:tcW w:type="dxa" w:w="1656"/>
          </w:tcPr>
          <w:p>
            <w:r>
              <w:rPr>
                <w:rFonts w:ascii="Calibri" w:hAnsi="Calibri"/>
                <w:sz w:val="18"/>
              </w:rPr>
              <w:t>Blowdown valve position / status</w:t>
            </w:r>
          </w:p>
        </w:tc>
        <w:tc>
          <w:tcPr>
            <w:tcW w:type="dxa" w:w="1800"/>
          </w:tcPr>
          <w:p>
            <w:r>
              <w:rPr>
                <w:rFonts w:ascii="Calibri" w:hAnsi="Calibri"/>
                <w:sz w:val="18"/>
              </w:rPr>
              <w:t>Continuous blowdown</w:t>
            </w:r>
          </w:p>
        </w:tc>
        <w:tc>
          <w:tcPr>
            <w:tcW w:type="dxa" w:w="1368"/>
          </w:tcPr>
          <w:p>
            <w:r>
              <w:rPr>
                <w:rFonts w:ascii="Calibri" w:hAnsi="Calibri"/>
                <w:sz w:val="18"/>
              </w:rPr>
              <w:t>% open</w:t>
            </w:r>
          </w:p>
        </w:tc>
        <w:tc>
          <w:tcPr>
            <w:tcW w:type="dxa" w:w="1224"/>
          </w:tcPr>
          <w:p>
            <w:r>
              <w:rPr>
                <w:rFonts w:ascii="Calibri" w:hAnsi="Calibri"/>
                <w:sz w:val="18"/>
              </w:rPr>
              <w:t>1-10 s</w:t>
            </w:r>
          </w:p>
        </w:tc>
        <w:tc>
          <w:tcPr>
            <w:tcW w:type="dxa" w:w="792"/>
          </w:tcPr>
          <w:p>
            <w:r>
              <w:rPr>
                <w:rFonts w:ascii="Calibri" w:hAnsi="Calibri"/>
                <w:sz w:val="18"/>
              </w:rPr>
              <w:t>Req</w:t>
            </w:r>
          </w:p>
        </w:tc>
        <w:tc>
          <w:tcPr>
            <w:tcW w:type="dxa" w:w="2520"/>
          </w:tcPr>
          <w:p>
            <w:r>
              <w:rPr>
                <w:rFonts w:ascii="Calibri" w:hAnsi="Calibri"/>
                <w:sz w:val="18"/>
              </w:rPr>
              <w:t>Closed-loop actuation feedback; include manual override status.</w:t>
            </w:r>
          </w:p>
        </w:tc>
      </w:tr>
      <w:tr>
        <w:tc>
          <w:tcPr>
            <w:tcW w:type="dxa" w:w="1656"/>
          </w:tcPr>
          <w:p>
            <w:r>
              <w:rPr>
                <w:rFonts w:ascii="Calibri" w:hAnsi="Calibri"/>
                <w:sz w:val="18"/>
              </w:rPr>
              <w:t>Blowdown flow (if available)</w:t>
            </w:r>
          </w:p>
        </w:tc>
        <w:tc>
          <w:tcPr>
            <w:tcW w:type="dxa" w:w="1800"/>
          </w:tcPr>
          <w:p>
            <w:r>
              <w:rPr>
                <w:rFonts w:ascii="Calibri" w:hAnsi="Calibri"/>
                <w:sz w:val="18"/>
              </w:rPr>
              <w:t>Blowdown line</w:t>
            </w:r>
          </w:p>
        </w:tc>
        <w:tc>
          <w:tcPr>
            <w:tcW w:type="dxa" w:w="1368"/>
          </w:tcPr>
          <w:p>
            <w:r>
              <w:rPr>
                <w:rFonts w:ascii="Calibri" w:hAnsi="Calibri"/>
                <w:sz w:val="18"/>
              </w:rPr>
              <w:t>kg/s or m3/h</w:t>
            </w:r>
          </w:p>
        </w:tc>
        <w:tc>
          <w:tcPr>
            <w:tcW w:type="dxa" w:w="1224"/>
          </w:tcPr>
          <w:p>
            <w:r>
              <w:rPr>
                <w:rFonts w:ascii="Calibri" w:hAnsi="Calibri"/>
                <w:sz w:val="18"/>
              </w:rPr>
              <w:t>1-10 s</w:t>
            </w:r>
          </w:p>
        </w:tc>
        <w:tc>
          <w:tcPr>
            <w:tcW w:type="dxa" w:w="792"/>
          </w:tcPr>
          <w:p>
            <w:r>
              <w:rPr>
                <w:rFonts w:ascii="Calibri" w:hAnsi="Calibri"/>
                <w:sz w:val="18"/>
              </w:rPr>
              <w:t>Rec</w:t>
            </w:r>
          </w:p>
        </w:tc>
        <w:tc>
          <w:tcPr>
            <w:tcW w:type="dxa" w:w="2520"/>
          </w:tcPr>
          <w:p>
            <w:r>
              <w:rPr>
                <w:rFonts w:ascii="Calibri" w:hAnsi="Calibri"/>
                <w:sz w:val="18"/>
              </w:rPr>
              <w:t>Improves control accuracy; otherwise infer via valve model.</w:t>
            </w:r>
          </w:p>
        </w:tc>
      </w:tr>
      <w:tr>
        <w:tc>
          <w:tcPr>
            <w:tcW w:type="dxa" w:w="1656"/>
          </w:tcPr>
          <w:p>
            <w:r>
              <w:rPr>
                <w:rFonts w:ascii="Calibri" w:hAnsi="Calibri"/>
                <w:sz w:val="18"/>
              </w:rPr>
              <w:t>Dosing pump rate + stroke feedback</w:t>
            </w:r>
          </w:p>
        </w:tc>
        <w:tc>
          <w:tcPr>
            <w:tcW w:type="dxa" w:w="1800"/>
          </w:tcPr>
          <w:p>
            <w:r>
              <w:rPr>
                <w:rFonts w:ascii="Calibri" w:hAnsi="Calibri"/>
                <w:sz w:val="18"/>
              </w:rPr>
              <w:t>Chemical skid</w:t>
            </w:r>
          </w:p>
        </w:tc>
        <w:tc>
          <w:tcPr>
            <w:tcW w:type="dxa" w:w="1368"/>
          </w:tcPr>
          <w:p>
            <w:r>
              <w:rPr>
                <w:rFonts w:ascii="Calibri" w:hAnsi="Calibri"/>
                <w:sz w:val="18"/>
              </w:rPr>
              <w:t>L/h or %</w:t>
            </w:r>
          </w:p>
        </w:tc>
        <w:tc>
          <w:tcPr>
            <w:tcW w:type="dxa" w:w="1224"/>
          </w:tcPr>
          <w:p>
            <w:r>
              <w:rPr>
                <w:rFonts w:ascii="Calibri" w:hAnsi="Calibri"/>
                <w:sz w:val="18"/>
              </w:rPr>
              <w:t>1-10 s</w:t>
            </w:r>
          </w:p>
        </w:tc>
        <w:tc>
          <w:tcPr>
            <w:tcW w:type="dxa" w:w="792"/>
          </w:tcPr>
          <w:p>
            <w:r>
              <w:rPr>
                <w:rFonts w:ascii="Calibri" w:hAnsi="Calibri"/>
                <w:sz w:val="18"/>
              </w:rPr>
              <w:t>Req</w:t>
            </w:r>
          </w:p>
        </w:tc>
        <w:tc>
          <w:tcPr>
            <w:tcW w:type="dxa" w:w="2520"/>
          </w:tcPr>
          <w:p>
            <w:r>
              <w:rPr>
                <w:rFonts w:ascii="Calibri" w:hAnsi="Calibri"/>
                <w:sz w:val="18"/>
              </w:rPr>
              <w:t>Needed for dosing control and reconciliation (actual vs commanded).</w:t>
            </w:r>
          </w:p>
        </w:tc>
      </w:tr>
      <w:tr>
        <w:tc>
          <w:tcPr>
            <w:tcW w:type="dxa" w:w="1656"/>
          </w:tcPr>
          <w:p>
            <w:r>
              <w:rPr>
                <w:rFonts w:ascii="Calibri" w:hAnsi="Calibri"/>
                <w:sz w:val="18"/>
              </w:rPr>
              <w:t>Chemical tank level / inventory</w:t>
            </w:r>
          </w:p>
        </w:tc>
        <w:tc>
          <w:tcPr>
            <w:tcW w:type="dxa" w:w="1800"/>
          </w:tcPr>
          <w:p>
            <w:r>
              <w:rPr>
                <w:rFonts w:ascii="Calibri" w:hAnsi="Calibri"/>
                <w:sz w:val="18"/>
              </w:rPr>
              <w:t>Chemical skid</w:t>
            </w:r>
          </w:p>
        </w:tc>
        <w:tc>
          <w:tcPr>
            <w:tcW w:type="dxa" w:w="1368"/>
          </w:tcPr>
          <w:p>
            <w:r>
              <w:rPr>
                <w:rFonts w:ascii="Calibri" w:hAnsi="Calibri"/>
                <w:sz w:val="18"/>
              </w:rPr>
              <w:t>% or L</w:t>
            </w:r>
          </w:p>
        </w:tc>
        <w:tc>
          <w:tcPr>
            <w:tcW w:type="dxa" w:w="1224"/>
          </w:tcPr>
          <w:p>
            <w:r>
              <w:rPr>
                <w:rFonts w:ascii="Calibri" w:hAnsi="Calibri"/>
                <w:sz w:val="18"/>
              </w:rPr>
              <w:t>1-60 min</w:t>
            </w:r>
          </w:p>
        </w:tc>
        <w:tc>
          <w:tcPr>
            <w:tcW w:type="dxa" w:w="792"/>
          </w:tcPr>
          <w:p>
            <w:r>
              <w:rPr>
                <w:rFonts w:ascii="Calibri" w:hAnsi="Calibri"/>
                <w:sz w:val="18"/>
              </w:rPr>
              <w:t>Rec</w:t>
            </w:r>
          </w:p>
        </w:tc>
        <w:tc>
          <w:tcPr>
            <w:tcW w:type="dxa" w:w="2520"/>
          </w:tcPr>
          <w:p>
            <w:r>
              <w:rPr>
                <w:rFonts w:ascii="Calibri" w:hAnsi="Calibri"/>
                <w:sz w:val="18"/>
              </w:rPr>
              <w:t>For CMMS replenishment triggers; avoid dosing run-dry events.</w:t>
            </w:r>
          </w:p>
        </w:tc>
      </w:tr>
      <w:tr>
        <w:tc>
          <w:tcPr>
            <w:tcW w:type="dxa" w:w="1656"/>
          </w:tcPr>
          <w:p>
            <w:r>
              <w:rPr>
                <w:rFonts w:ascii="Calibri" w:hAnsi="Calibri"/>
                <w:sz w:val="18"/>
              </w:rPr>
              <w:t>Analyzer status &amp; diagnostics</w:t>
            </w:r>
          </w:p>
        </w:tc>
        <w:tc>
          <w:tcPr>
            <w:tcW w:type="dxa" w:w="1800"/>
          </w:tcPr>
          <w:p>
            <w:r>
              <w:rPr>
                <w:rFonts w:ascii="Calibri" w:hAnsi="Calibri"/>
                <w:sz w:val="18"/>
              </w:rPr>
              <w:t>All analyzers</w:t>
            </w:r>
          </w:p>
        </w:tc>
        <w:tc>
          <w:tcPr>
            <w:tcW w:type="dxa" w:w="1368"/>
          </w:tcPr>
          <w:p>
            <w:r>
              <w:rPr>
                <w:rFonts w:ascii="Calibri" w:hAnsi="Calibri"/>
                <w:sz w:val="18"/>
              </w:rPr>
              <w:t>enum</w:t>
            </w:r>
          </w:p>
        </w:tc>
        <w:tc>
          <w:tcPr>
            <w:tcW w:type="dxa" w:w="1224"/>
          </w:tcPr>
          <w:p>
            <w:r>
              <w:rPr>
                <w:rFonts w:ascii="Calibri" w:hAnsi="Calibri"/>
                <w:sz w:val="18"/>
              </w:rPr>
              <w:t>1-60 s</w:t>
            </w:r>
          </w:p>
        </w:tc>
        <w:tc>
          <w:tcPr>
            <w:tcW w:type="dxa" w:w="792"/>
          </w:tcPr>
          <w:p>
            <w:r>
              <w:rPr>
                <w:rFonts w:ascii="Calibri" w:hAnsi="Calibri"/>
                <w:sz w:val="18"/>
              </w:rPr>
              <w:t>Req</w:t>
            </w:r>
          </w:p>
        </w:tc>
        <w:tc>
          <w:tcPr>
            <w:tcW w:type="dxa" w:w="2520"/>
          </w:tcPr>
          <w:p>
            <w:r>
              <w:rPr>
                <w:rFonts w:ascii="Calibri" w:hAnsi="Calibri"/>
                <w:sz w:val="18"/>
              </w:rPr>
              <w:t>Must ingest health flags: calibration due, reagent low, sample flow low, fault codes.</w:t>
            </w:r>
          </w:p>
        </w:tc>
      </w:tr>
    </w:tbl>
    <w:p>
      <w:pPr/>
      <w:r>
        <w:rPr>
          <w:i/>
        </w:rPr>
        <w:t>Legend: Need = Req (required), Rec (recommended), Opt (optional).</w:t>
      </w:r>
    </w:p>
    <w:p>
      <w:pPr>
        <w:pStyle w:val="Heading2"/>
      </w:pPr>
      <w:r>
        <w:t>4.2 Data quality, validation, and lineage</w:t>
      </w:r>
    </w:p>
    <w:p>
      <w:pPr>
        <w:pStyle w:val="ListBullet"/>
      </w:pPr>
      <w:r>
        <w:t>Timestamping: all signals must be timestamped at source and aligned to a common time base (NTP/PTP where feasible).</w:t>
      </w:r>
    </w:p>
    <w:p>
      <w:pPr>
        <w:pStyle w:val="ListBullet"/>
      </w:pPr>
      <w:r>
        <w:t>Quality flags: ingest and persist OPC-UA quality codes and analyzer diagnostics; never treat bad-quality values as valid.</w:t>
      </w:r>
    </w:p>
    <w:p>
      <w:pPr>
        <w:pStyle w:val="ListBullet"/>
      </w:pPr>
      <w:r>
        <w:t>Range checks: enforce engineering ranges, rate-of-change limits, and stuck-sensor detection (flatline).</w:t>
      </w:r>
    </w:p>
    <w:p>
      <w:pPr>
        <w:pStyle w:val="ListBullet"/>
      </w:pPr>
      <w:r>
        <w:t>Calibration management: maintain calibration schedules and certificates; generate CMMS work orders when overdue.</w:t>
      </w:r>
    </w:p>
    <w:p>
      <w:pPr>
        <w:pStyle w:val="ListBullet"/>
      </w:pPr>
      <w:r>
        <w:t>Lineage: store raw, cleaned, and feature-engineered datasets with immutable audit IDs for every recommendation.</w:t>
      </w:r>
    </w:p>
    <w:p>
      <w:pPr>
        <w:pStyle w:val="ListBullet"/>
      </w:pPr>
      <w:r>
        <w:t>Units: enforce units and conversions via a shared units library; reject ambiguous units.</w:t>
      </w:r>
    </w:p>
    <w:p>
      <w:pPr>
        <w:pStyle w:val="Heading2"/>
      </w:pPr>
      <w:r>
        <w:t>4.3 Data storage and retention (recommended)</w:t>
      </w:r>
    </w:p>
    <w:p>
      <w:pPr>
        <w:pStyle w:val="ListBullet"/>
      </w:pPr>
      <w:r>
        <w:t>Time-series store: retain raw and cleaned data at full resolution for at least 30-90 days (site policy dependent).</w:t>
      </w:r>
    </w:p>
    <w:p>
      <w:pPr>
        <w:pStyle w:val="ListBullet"/>
      </w:pPr>
      <w:r>
        <w:t>Long-term historian/warehouse: downsampled trends + event logs retained for 2+ years for compliance and root-cause analysis.</w:t>
      </w:r>
    </w:p>
    <w:p>
      <w:pPr>
        <w:pStyle w:val="ListBullet"/>
      </w:pPr>
      <w:r>
        <w:t>Model artifacts: versioned models, training datasets, feature definitions, and explainability baselines retained with full traceability.</w:t>
      </w:r>
    </w:p>
    <w:p>
      <w:pPr>
        <w:pStyle w:val="Heading1"/>
      </w:pPr>
      <w:r>
        <w:t>5. Deterministic Chemistry and Mathematical Requirements</w:t>
      </w:r>
    </w:p>
    <w:p>
      <w:pPr>
        <w:pStyle w:val="Heading2"/>
      </w:pPr>
      <w:r>
        <w:t>5.1 Deterministic chemistry engine (non-negotiable)</w:t>
      </w:r>
    </w:p>
    <w:p>
      <w:pPr/>
      <w:r>
        <w:t>Implement a dedicated calculation service ("Chemistry Engine") that produces all numeric results. This service is treated as a safety- and compliance-relevant component and must be deterministic, unit-safe, and fully testable. The ML/LLM layers may consume its outputs, but must not replace or override them.</w:t>
      </w:r>
    </w:p>
    <w:p>
      <w:pPr>
        <w:pStyle w:val="ListBullet"/>
      </w:pPr>
      <w:r>
        <w:t>Inputs: validated sensor values + timestamps + quality flags + site configuration (limits, boiler type/pressure, chemical product strengths).</w:t>
      </w:r>
    </w:p>
    <w:p>
      <w:pPr>
        <w:pStyle w:val="ListBullet"/>
      </w:pPr>
      <w:r>
        <w:t>Outputs: computed cycles of concentration, suggested blowdown rate, dosing feed-forward setpoints, derived KPIs (water/energy loss), and compliance flags.</w:t>
      </w:r>
    </w:p>
    <w:p>
      <w:pPr>
        <w:pStyle w:val="ListBullet"/>
      </w:pPr>
      <w:r>
        <w:t>Testability: unit tests for every formula; golden datasets from lab-validated operating periods; regression tests per release.</w:t>
      </w:r>
    </w:p>
    <w:p>
      <w:pPr>
        <w:pStyle w:val="ListBullet"/>
      </w:pPr>
      <w:r>
        <w:t>Traceability: every output stamped with (config_version, code_version, input_event_ids).</w:t>
      </w:r>
    </w:p>
    <w:p>
      <w:pPr>
        <w:pStyle w:val="Heading2"/>
      </w:pPr>
      <w:r>
        <w:t>5.2 Core definitions and steady-state mass balance</w:t>
      </w:r>
    </w:p>
    <w:p>
      <w:pPr/>
      <w:r>
        <w:t>For a conservative dissolved species (or a proxy such as compensated conductivity), the steady-state mass balance is:</w:t>
      </w:r>
    </w:p>
    <w:p>
      <w:r>
        <w:rPr>
          <w:rFonts w:ascii="Consolas" w:hAnsi="Consolas"/>
          <w:sz w:val="20"/>
        </w:rPr>
        <w:t>Makeup_Flow * Makeup_Concentration = Blowdown_Flow * Boiler_Concentration</w:t>
      </w:r>
    </w:p>
    <w:p>
      <w:pPr/>
      <w:r>
        <w:t>From this, cycles of concentration (CoC) and blowdown can be estimated as:</w:t>
      </w:r>
    </w:p>
    <w:p>
      <w:r>
        <w:rPr>
          <w:rFonts w:ascii="Consolas" w:hAnsi="Consolas"/>
          <w:sz w:val="20"/>
        </w:rPr>
        <w:t>CoC = Boiler_Concentration / Makeup_Concentration</w:t>
        <w:br/>
        <w:t>Blowdown_Flow = Makeup_Flow / CoC</w:t>
      </w:r>
    </w:p>
    <w:p>
      <w:pPr/>
      <w:r>
        <w:t>Engineering notes:</w:t>
      </w:r>
    </w:p>
    <w:p>
      <w:pPr>
        <w:pStyle w:val="ListBullet"/>
      </w:pPr>
      <w:r>
        <w:t>Conductivity is often used as a practical proxy for concentration; however, chemical treatments can shift conductivity. Prefer a conservative tracer (e.g., chloride) if instrumented, or calibrate conductivity-based CoC against lab data.</w:t>
      </w:r>
    </w:p>
    <w:p>
      <w:pPr>
        <w:pStyle w:val="ListBullet"/>
      </w:pPr>
      <w:r>
        <w:t>If condensate return quality varies (iron/copper ingress), treat iron/copper as non-conservative indicators and handle with separate corrosion transport models and alarms.</w:t>
      </w:r>
    </w:p>
    <w:p>
      <w:pPr>
        <w:pStyle w:val="ListBullet"/>
      </w:pPr>
      <w:r>
        <w:t>Always compute with explicit units and temperature compensation; store both raw and corrected values.</w:t>
      </w:r>
    </w:p>
    <w:p>
      <w:pPr>
        <w:pStyle w:val="Heading2"/>
      </w:pPr>
      <w:r>
        <w:t>5.3 Constraint model for compliant operation</w:t>
      </w:r>
    </w:p>
    <w:p>
      <w:pPr/>
      <w:r>
        <w:t>Compliance is modeled as a set of parameter constraints that are site-configurable and version controlled. Each constraint has a limit range, measurement source, validity conditions, and a required response action.</w:t>
      </w:r>
    </w:p>
    <w:p>
      <w:pPr>
        <w:pStyle w:val="ListBullet"/>
      </w:pPr>
      <w:r>
        <w:t>Hard constraints (must never be violated in autonomous/supervised control): maximum boiler conductivity, maximum boiler silica, minimum/maximum pH, minimum deaeration performance / maximum dissolved O2, and any OEM-specific constraints.</w:t>
      </w:r>
    </w:p>
    <w:p>
      <w:pPr>
        <w:pStyle w:val="ListBullet"/>
      </w:pPr>
      <w:r>
        <w:t>Soft constraints (optimize within these when feasible): preferred alkalinity band, preferred hardness leakage thresholds, preferred iron/copper transport limits.</w:t>
      </w:r>
    </w:p>
    <w:p>
      <w:pPr>
        <w:pStyle w:val="ListBullet"/>
      </w:pPr>
      <w:r>
        <w:t>Constraint validity: constraints may depend on boiler pressure, load, and steam use (e.g., turbine vs process steam).</w:t>
      </w:r>
    </w:p>
    <w:p>
      <w:pPr>
        <w:pStyle w:val="ListBullet"/>
      </w:pPr>
      <w:r>
        <w:t>Every recommendation includes: (1) constraints considered, (2) distance-to-limit, and (3) expected time-to-violation if no action is taken.</w:t>
      </w:r>
    </w:p>
    <w:p>
      <w:pPr>
        <w:pStyle w:val="Heading2"/>
      </w:pPr>
      <w:r>
        <w:t>5.4 Chemical dosing mathematics (generic formulation)</w:t>
      </w:r>
    </w:p>
    <w:p>
      <w:pPr/>
      <w:r>
        <w:t>Because chemical programs differ by site, WATERGUARD supports a generic dosing framework that can be parameterized for oxygen scavengers, alkalinity builders, dispersants, and other treatments. All product-specific chemistry and residual targets must come from site water-treatment SOPs and vendor documentation.</w:t>
      </w:r>
    </w:p>
    <w:p>
      <w:pPr>
        <w:pStyle w:val="ListBullet"/>
      </w:pPr>
      <w:r>
        <w:t>Feed-forward dosing basis: dosing_rate = target_dose_per_volume * (relevant water flow).</w:t>
      </w:r>
    </w:p>
    <w:p>
      <w:pPr>
        <w:pStyle w:val="ListBullet"/>
      </w:pPr>
      <w:r>
        <w:t>Feedback correction: adjust dosing_rate based on measured residual proxy (e.g., dissolved O2 for scavenger performance, pH/alkalinity for neutralization).</w:t>
      </w:r>
    </w:p>
    <w:p>
      <w:pPr>
        <w:pStyle w:val="ListBullet"/>
      </w:pPr>
      <w:r>
        <w:t>Constraints: pump min/max, ramp rate limits, tank level interlocks, and maximum chemical concentration to avoid carryover/foaming risk.</w:t>
      </w:r>
    </w:p>
    <w:p>
      <w:pPr>
        <w:pStyle w:val="ListBullet"/>
      </w:pPr>
      <w:r>
        <w:t>Reconciliation: compare commanded vs actual pump feedback; detect clogged injection, empty tank, or calibration drift.</w:t>
      </w:r>
    </w:p>
    <w:p>
      <w:pPr>
        <w:pStyle w:val="Heading2"/>
      </w:pPr>
      <w:r>
        <w:t>5.5 Anomaly detection inputs</w:t>
      </w:r>
    </w:p>
    <w:p>
      <w:pPr>
        <w:pStyle w:val="ListBullet"/>
      </w:pPr>
      <w:r>
        <w:t>Analyzer drift (slow bias), step changes, and reagent/sample-flow faults.</w:t>
      </w:r>
    </w:p>
    <w:p>
      <w:pPr>
        <w:pStyle w:val="ListBullet"/>
      </w:pPr>
      <w:r>
        <w:t>Unexpected spikes in iron/copper indicating corrosion events or condenser leaks.</w:t>
      </w:r>
    </w:p>
    <w:p>
      <w:pPr>
        <w:pStyle w:val="ListBullet"/>
      </w:pPr>
      <w:r>
        <w:t>Dissolved O2 excursions indicating deaerator issues or air in-leakage.</w:t>
      </w:r>
    </w:p>
    <w:p>
      <w:pPr>
        <w:pStyle w:val="ListBullet"/>
      </w:pPr>
      <w:r>
        <w:t>Conductivity divergence between boiler and expected CoC model (possible contamination, treatment overfeed, or sensor fault).</w:t>
      </w:r>
    </w:p>
    <w:p>
      <w:pPr>
        <w:pStyle w:val="Heading1"/>
      </w:pPr>
      <w:r>
        <w:t>6. Thermal, Energy, and Water-Savings Requirements</w:t>
      </w:r>
    </w:p>
    <w:p>
      <w:pPr>
        <w:pStyle w:val="Heading2"/>
      </w:pPr>
      <w:r>
        <w:t>6.1 Why thermal modeling matters</w:t>
      </w:r>
    </w:p>
    <w:p>
      <w:pPr/>
      <w:r>
        <w:t>Blowdown is both a water loss and an energy loss. Optimizing blowdown without quantifying energy impacts can understate value and can also hide unsafe recommendations (e.g., overly aggressive blowdown reductions that increase scaling risk and reduce heat-transfer efficiency). WATERGUARD therefore includes thermal KPIs and constraints.</w:t>
      </w:r>
    </w:p>
    <w:p>
      <w:pPr>
        <w:pStyle w:val="Heading2"/>
      </w:pPr>
      <w:r>
        <w:t>6.2 Minimum thermal signals</w:t>
      </w:r>
    </w:p>
    <w:p>
      <w:pPr>
        <w:pStyle w:val="ListBullet"/>
      </w:pPr>
      <w:r>
        <w:t>Steam flow (or boiler load proxy) for normalization and trend correlation.</w:t>
      </w:r>
    </w:p>
    <w:p>
      <w:pPr>
        <w:pStyle w:val="ListBullet"/>
      </w:pPr>
      <w:r>
        <w:t>Boiler pressure for saturated water enthalpy at the blowdown takeoff point.</w:t>
      </w:r>
    </w:p>
    <w:p>
      <w:pPr>
        <w:pStyle w:val="ListBullet"/>
      </w:pPr>
      <w:r>
        <w:t>Feedwater temperature for enthalpy of incoming water.</w:t>
      </w:r>
    </w:p>
    <w:p>
      <w:pPr>
        <w:pStyle w:val="ListBullet"/>
      </w:pPr>
      <w:r>
        <w:t>If installed: blowdown heat-recovery/flash tank signals (temperature, pressure, recovered condensate flow).</w:t>
      </w:r>
    </w:p>
    <w:p>
      <w:pPr>
        <w:pStyle w:val="Heading2"/>
      </w:pPr>
      <w:r>
        <w:t>6.3 Blowdown energy loss calculation (recommended approach)</w:t>
      </w:r>
    </w:p>
    <w:p>
      <w:pPr/>
      <w:r>
        <w:t>Compute blowdown energy loss using water/steam property correlations (IAPWS-IF97 or equivalent library) with explicit units.</w:t>
      </w:r>
    </w:p>
    <w:p>
      <w:r>
        <w:rPr>
          <w:rFonts w:ascii="Consolas" w:hAnsi="Consolas"/>
          <w:sz w:val="18"/>
        </w:rPr>
        <w:t>Energy_Loss_Rate ≈ Blowdown_Mass_Flow * (h_sat_liquid(Boiler_Pressure) - h_feedwater(Feedwater_T, Feedwater_P))</w:t>
        <w:br/>
        <w:t>Net_Loss = Energy_Loss_Rate - Recovered_Energy (if flash tank / heat exchanger present)</w:t>
      </w:r>
    </w:p>
    <w:p>
      <w:pPr>
        <w:pStyle w:val="Heading2"/>
      </w:pPr>
      <w:r>
        <w:t>6.4 Water savings and climate intelligence outputs</w:t>
      </w:r>
    </w:p>
    <w:p>
      <w:pPr>
        <w:pStyle w:val="ListBullet"/>
      </w:pPr>
      <w:r>
        <w:t>Water saved = Baseline_Blowdown - Optimized_Blowdown (integrated over time) and the associated reduction in makeup flow.</w:t>
      </w:r>
    </w:p>
    <w:p>
      <w:pPr>
        <w:pStyle w:val="ListBullet"/>
      </w:pPr>
      <w:r>
        <w:t>Energy saved = Baseline_Blowdown_Energy_Loss - Optimized_Blowdown_Energy_Loss (accounting for recovery systems).</w:t>
      </w:r>
    </w:p>
    <w:p>
      <w:pPr>
        <w:pStyle w:val="ListBullet"/>
      </w:pPr>
      <w:r>
        <w:t>Emissions avoided = Energy_saved * site-specific emissions factor (fuel/steam source dependent).</w:t>
      </w:r>
    </w:p>
    <w:p>
      <w:pPr>
        <w:pStyle w:val="ListBullet"/>
      </w:pPr>
      <w:r>
        <w:t>Report both instantaneous and cumulative savings with uncertainty bands driven by sensor accuracy and model assumptions.</w:t>
      </w:r>
    </w:p>
    <w:p>
      <w:pPr>
        <w:pStyle w:val="Heading2"/>
      </w:pPr>
      <w:r>
        <w:t>6.5 Thermal constraints (safety)</w:t>
      </w:r>
    </w:p>
    <w:p>
      <w:pPr>
        <w:pStyle w:val="ListBullet"/>
      </w:pPr>
      <w:r>
        <w:t>Avoid rapid blowdown changes that can cause thermal shock to piping or downstream equipment; enforce ramp-rate limits and minimum interval constraints.</w:t>
      </w:r>
    </w:p>
    <w:p>
      <w:pPr>
        <w:pStyle w:val="ListBullet"/>
      </w:pPr>
      <w:r>
        <w:t>Respect boiler OEM guidance for continuous vs intermittent blowdown strategy.</w:t>
      </w:r>
    </w:p>
    <w:p>
      <w:pPr>
        <w:pStyle w:val="ListBullet"/>
      </w:pPr>
      <w:r>
        <w:t>If intermittent bottom blowdown is controlled, interlock with boiler load/level to prevent unsafe excursions.</w:t>
      </w:r>
    </w:p>
    <w:p>
      <w:pPr>
        <w:pStyle w:val="Heading1"/>
      </w:pPr>
      <w:r>
        <w:t>7. Control Strategy, Safety Interlocks, and Operating Modes</w:t>
      </w:r>
    </w:p>
    <w:p>
      <w:pPr>
        <w:pStyle w:val="Heading2"/>
      </w:pPr>
      <w:r>
        <w:t>7.1 Operating modes</w:t>
      </w:r>
    </w:p>
    <w:p>
      <w:pPr>
        <w:pStyle w:val="ListBullet"/>
      </w:pPr>
      <w:r>
        <w:t>Mode A - Recommend-only: WATERGUARD produces recommendations and reports; operators apply changes manually.</w:t>
      </w:r>
    </w:p>
    <w:p>
      <w:pPr>
        <w:pStyle w:val="ListBullet"/>
      </w:pPr>
      <w:r>
        <w:t>Mode B - Supervised control: WATERGUARD proposes setpoints; operator approves within HMI; PLC executes with interlocks.</w:t>
      </w:r>
    </w:p>
    <w:p>
      <w:pPr>
        <w:pStyle w:val="ListBullet"/>
      </w:pPr>
      <w:r>
        <w:t>Mode C - Autonomous within constraints (site-approved): WATERGUARD writes setpoints directly but only when all safety gates are satisfied and the system is within validated operating envelope.</w:t>
      </w:r>
    </w:p>
    <w:p>
      <w:pPr>
        <w:pStyle w:val="ListBullet"/>
      </w:pPr>
      <w:r>
        <w:t>Mode D - Fallback: revert to fixed, site-approved baseline blowdown and dosing schedules if data quality or communication degrades.</w:t>
      </w:r>
    </w:p>
    <w:p>
      <w:pPr>
        <w:pStyle w:val="Heading2"/>
      </w:pPr>
      <w:r>
        <w:t>7.2 Safety gates (must be implemented before any closed-loop control)</w:t>
      </w:r>
    </w:p>
    <w:p>
      <w:pPr>
        <w:pStyle w:val="ListBullet"/>
      </w:pPr>
      <w:r>
        <w:t>Analyzer health gate: critical analyzers (conductivity, pH, silica, dissolved O2) must be healthy, calibrated, and within diagnostic limits; otherwise no automatic action.</w:t>
      </w:r>
    </w:p>
    <w:p>
      <w:pPr>
        <w:pStyle w:val="ListBullet"/>
      </w:pPr>
      <w:r>
        <w:t>Communications gate: OPC-UA connectivity and command acknowledgements must be healthy; implement watchdog timers.</w:t>
      </w:r>
    </w:p>
    <w:p>
      <w:pPr>
        <w:pStyle w:val="ListBullet"/>
      </w:pPr>
      <w:r>
        <w:t>Manual override gate: if operator places system in manual or maintenance mode, WATERGUARD must not write setpoints.</w:t>
      </w:r>
    </w:p>
    <w:p>
      <w:pPr>
        <w:pStyle w:val="ListBullet"/>
      </w:pPr>
      <w:r>
        <w:t>Rate limit gate: enforce maximum delta per minute for blowdown and dosing to prevent rapid transients.</w:t>
      </w:r>
    </w:p>
    <w:p>
      <w:pPr>
        <w:pStyle w:val="ListBullet"/>
      </w:pPr>
      <w:r>
        <w:t>Constraint gate: proposed actions must satisfy all hard constraints in the configured constraint set; otherwise reject and alert.</w:t>
      </w:r>
    </w:p>
    <w:p>
      <w:pPr>
        <w:pStyle w:val="ListBullet"/>
      </w:pPr>
      <w:r>
        <w:t>Change management gate: all config changes require approval, versioning, and audit logs.</w:t>
      </w:r>
    </w:p>
    <w:p>
      <w:pPr>
        <w:pStyle w:val="Heading2"/>
      </w:pPr>
      <w:r>
        <w:t>7.3 Blowdown control logic (implementation outline)</w:t>
      </w:r>
    </w:p>
    <w:p>
      <w:pPr>
        <w:pStyle w:val="ListBullet"/>
      </w:pPr>
      <w:r>
        <w:t>Primary controlled variable: boiler water conductivity (temperature-compensated) and/or silica, depending on site program.</w:t>
      </w:r>
    </w:p>
    <w:p>
      <w:pPr>
        <w:pStyle w:val="ListBullet"/>
      </w:pPr>
      <w:r>
        <w:t>Manipulated variable: continuous blowdown valve position or blowdown flow setpoint.</w:t>
      </w:r>
    </w:p>
    <w:p>
      <w:pPr>
        <w:pStyle w:val="ListBullet"/>
      </w:pPr>
      <w:r>
        <w:t>Setpoint selection: choose the most conservative setpoint implied by all active constraints (conductivity, silica, alkalinity, etc.).</w:t>
      </w:r>
    </w:p>
    <w:p>
      <w:pPr>
        <w:pStyle w:val="ListBullet"/>
      </w:pPr>
      <w:r>
        <w:t>Estimator: if blowdown flow is not measured, use a calibrated valve model to estimate flow vs position and differential pressure.</w:t>
      </w:r>
    </w:p>
    <w:p>
      <w:pPr>
        <w:pStyle w:val="ListBullet"/>
      </w:pPr>
      <w:r>
        <w:t>Exception handling: if boiler conductivity rises rapidly, escalate to high-priority alert and recommend immediate operator action per SOP.</w:t>
      </w:r>
    </w:p>
    <w:p>
      <w:pPr>
        <w:pStyle w:val="Heading2"/>
      </w:pPr>
      <w:r>
        <w:t>7.4 Chemical dosing control logic (implementation outline)</w:t>
      </w:r>
    </w:p>
    <w:p>
      <w:pPr>
        <w:pStyle w:val="ListBullet"/>
      </w:pPr>
      <w:r>
        <w:t>Feed-forward: base dosing on makeup or feedwater flow and target dose-per-volume.</w:t>
      </w:r>
    </w:p>
    <w:p>
      <w:pPr>
        <w:pStyle w:val="ListBullet"/>
      </w:pPr>
      <w:r>
        <w:t>Feedback: trim dosing using measured residual proxies (pH/alkalinity for neutralization, dissolved O2 for scavenger effectiveness, etc.).</w:t>
      </w:r>
    </w:p>
    <w:p>
      <w:pPr>
        <w:pStyle w:val="ListBullet"/>
      </w:pPr>
      <w:r>
        <w:t>Equipment constraints: enforce pump stroke limits, max concentration, anti-siphon and injection permissives, tank-level interlocks.</w:t>
      </w:r>
    </w:p>
    <w:p>
      <w:pPr>
        <w:pStyle w:val="ListBullet"/>
      </w:pPr>
      <w:r>
        <w:t>Auditability: every dosing change must record the reason code (constraint avoidance, drift correction, operator request, anomaly response).</w:t>
      </w:r>
    </w:p>
    <w:p>
      <w:pPr>
        <w:pStyle w:val="Heading2"/>
      </w:pPr>
      <w:r>
        <w:t>7.5 Staged commissioning plan</w:t>
      </w:r>
    </w:p>
    <w:p>
      <w:pPr>
        <w:pStyle w:val="ListBullet"/>
      </w:pPr>
      <w:r>
        <w:t>Stage 0 - Data-only: connect, ingest, validate, and trend all signals with no recommendations.</w:t>
      </w:r>
    </w:p>
    <w:p>
      <w:pPr>
        <w:pStyle w:val="ListBullet"/>
      </w:pPr>
      <w:r>
        <w:t>Stage 1 - Shadow recommendations: generate recommendations but do not apply; compare against operator actions and outcomes.</w:t>
      </w:r>
    </w:p>
    <w:p>
      <w:pPr>
        <w:pStyle w:val="ListBullet"/>
      </w:pPr>
      <w:r>
        <w:t>Stage 2 - Supervised control: operator-approved setpoint writing with conservative limits and rollback capability.</w:t>
      </w:r>
    </w:p>
    <w:p>
      <w:pPr>
        <w:pStyle w:val="ListBullet"/>
      </w:pPr>
      <w:r>
        <w:t>Stage 3 - Autonomous within constraints: enable only after site sign-off, MOC completion, and successful acceptance testing.</w:t>
      </w:r>
    </w:p>
    <w:p>
      <w:pPr>
        <w:pStyle w:val="Heading1"/>
      </w:pPr>
      <w:r>
        <w:t>8. AI/ML, Optimization, and Explainability Requirements</w:t>
      </w:r>
    </w:p>
    <w:p>
      <w:pPr>
        <w:pStyle w:val="Heading2"/>
      </w:pPr>
      <w:r>
        <w:t>8.1 Where ML is used vs not used</w:t>
      </w:r>
    </w:p>
    <w:p>
      <w:pPr>
        <w:pStyle w:val="ListBullet"/>
      </w:pPr>
      <w:r>
        <w:t>Use deterministic physics/chemistry for: CoC calculations, constraint checking, unit conversions, and baseline blowdown computations.</w:t>
      </w:r>
    </w:p>
    <w:p>
      <w:pPr>
        <w:pStyle w:val="ListBullet"/>
      </w:pPr>
      <w:r>
        <w:t>Use ML for: forecasting chemistry trends (e.g., conductivity rise), predicting response to dosing changes, classifying risk of scaling/carryover/corrosion events, and anomaly detection.</w:t>
      </w:r>
    </w:p>
    <w:p>
      <w:pPr>
        <w:pStyle w:val="ListBullet"/>
      </w:pPr>
      <w:r>
        <w:t>Do NOT use generative models to produce numeric setpoints or chemistry calculations.</w:t>
      </w:r>
    </w:p>
    <w:p>
      <w:pPr>
        <w:pStyle w:val="Heading2"/>
      </w:pPr>
      <w:r>
        <w:t>8.2 Optimization problem (recommended formulation)</w:t>
      </w:r>
    </w:p>
    <w:p>
      <w:pPr/>
      <w:r>
        <w:t>Model blowdown and dosing as a constrained multi-objective optimization performed on a rolling horizon (e.g., 15-60 minutes), with explicit hard constraints derived from the compliance model.</w:t>
      </w:r>
    </w:p>
    <w:p>
      <w:r>
        <w:rPr>
          <w:rFonts w:ascii="Consolas" w:hAnsi="Consolas"/>
          <w:sz w:val="18"/>
        </w:rPr>
        <w:t>Minimize:  (Water_Loss + Energy_Loss + Chemical_Cost + Risk_Penalty)</w:t>
        <w:br/>
        <w:t>Subject to:  Chemistry_Constraints(hard) AND Equipment_Constraints AND Ramp_Rate_Limits</w:t>
      </w:r>
    </w:p>
    <w:p>
      <w:pPr>
        <w:pStyle w:val="ListBullet"/>
      </w:pPr>
      <w:r>
        <w:t>Risk_Penalty is derived from ML risk models but must be bounded and calibrated against historical incidents.</w:t>
      </w:r>
    </w:p>
    <w:p>
      <w:pPr>
        <w:pStyle w:val="ListBullet"/>
      </w:pPr>
      <w:r>
        <w:t>When uncertainty is high, default to conservative recommendations (increase blowdown / reduce aggressive dosing changes).</w:t>
      </w:r>
    </w:p>
    <w:p>
      <w:pPr>
        <w:pStyle w:val="Heading2"/>
      </w:pPr>
      <w:r>
        <w:t>8.3 Model types and recommended baselines</w:t>
      </w:r>
    </w:p>
    <w:p>
      <w:pPr>
        <w:pStyle w:val="ListBullet"/>
      </w:pPr>
      <w:r>
        <w:t>Time-series forecasting: gradient-boosted models or state-space models for near-term conductivity/silica trajectories.</w:t>
      </w:r>
    </w:p>
    <w:p>
      <w:pPr>
        <w:pStyle w:val="ListBullet"/>
      </w:pPr>
      <w:r>
        <w:t>Anomaly detection: statistical change-point detection + ML (e.g., isolation forest) for multivariate anomalies.</w:t>
      </w:r>
    </w:p>
    <w:p>
      <w:pPr>
        <w:pStyle w:val="ListBullet"/>
      </w:pPr>
      <w:r>
        <w:t>Risk classification/regression: tree-based models (XGBoost/LightGBM) are preferred for explainability and robustness.</w:t>
      </w:r>
    </w:p>
    <w:p>
      <w:pPr>
        <w:pStyle w:val="ListBullet"/>
      </w:pPr>
      <w:r>
        <w:t>Always implement a physics baseline model as a fallback comparator (champion/challenger).</w:t>
      </w:r>
    </w:p>
    <w:p>
      <w:pPr>
        <w:pStyle w:val="Heading2"/>
      </w:pPr>
      <w:r>
        <w:t>8.4 Explainability outputs (SHAP/LIME)</w:t>
      </w:r>
    </w:p>
    <w:p>
      <w:pPr>
        <w:pStyle w:val="ListBullet"/>
      </w:pPr>
      <w:r>
        <w:t>Per-recommendation local explanation: top features that drove the proposed blowdown/dosing change; include directionality (increasing/decreasing effect).</w:t>
      </w:r>
    </w:p>
    <w:p>
      <w:pPr>
        <w:pStyle w:val="ListBullet"/>
      </w:pPr>
      <w:r>
        <w:t>Global explanation dashboard: feature importance over time, and explanation stability checks.</w:t>
      </w:r>
    </w:p>
    <w:p>
      <w:pPr>
        <w:pStyle w:val="ListBullet"/>
      </w:pPr>
      <w:r>
        <w:t>Operator-facing narrative: generated from structured explanation data (not from raw model internals) to avoid hallucinations.</w:t>
      </w:r>
    </w:p>
    <w:p>
      <w:pPr>
        <w:pStyle w:val="ListBullet"/>
      </w:pPr>
      <w:r>
        <w:t>Model governance: store SHAP summary statistics per model version for audit and drift analysis.</w:t>
      </w:r>
    </w:p>
    <w:p>
      <w:pPr>
        <w:pStyle w:val="Heading2"/>
      </w:pPr>
      <w:r>
        <w:t>8.5 Model evaluation and acceptance criteria</w:t>
      </w:r>
    </w:p>
    <w:p>
      <w:pPr>
        <w:pStyle w:val="ListBullet"/>
      </w:pPr>
      <w:r>
        <w:t>Forecasting accuracy: MAE/RMSE for conductivity and silica predictions over 15/30/60-minute horizons.</w:t>
      </w:r>
    </w:p>
    <w:p>
      <w:pPr>
        <w:pStyle w:val="ListBullet"/>
      </w:pPr>
      <w:r>
        <w:t>Constraint violations: zero tolerance for recommendations that would predictably breach hard constraints within the horizon.</w:t>
      </w:r>
    </w:p>
    <w:p>
      <w:pPr>
        <w:pStyle w:val="ListBullet"/>
      </w:pPr>
      <w:r>
        <w:t>Operational KPIs: reduction in blowdown (%) and chemicals (%) vs baseline while maintaining compliance (&gt;99% within limits, site-defined).</w:t>
      </w:r>
    </w:p>
    <w:p>
      <w:pPr>
        <w:pStyle w:val="ListBullet"/>
      </w:pPr>
      <w:r>
        <w:t>Explainability quality: explanations must be stable and consistent; flag when explanations are unreliable due to out-of-distribution inputs.</w:t>
      </w:r>
    </w:p>
    <w:p>
      <w:pPr>
        <w:pStyle w:val="ListBullet"/>
      </w:pPr>
      <w:r>
        <w:t>Drift monitoring: feature distribution drift + performance drift; trigger retraining workflow with approvals.</w:t>
      </w:r>
    </w:p>
    <w:p>
      <w:pPr>
        <w:pStyle w:val="Heading1"/>
      </w:pPr>
      <w:r>
        <w:t>9. Software, Data, and Integration Architecture</w:t>
      </w:r>
    </w:p>
    <w:p>
      <w:pPr>
        <w:pStyle w:val="Heading2"/>
      </w:pPr>
      <w:r>
        <w:t>9.1 Reference architecture (recommended)</w:t>
      </w:r>
    </w:p>
    <w:p>
      <w:pPr>
        <w:pStyle w:val="ListBullet"/>
      </w:pPr>
      <w:r>
        <w:t>Edge collector: OPC-UA client that reads OT tags, captures quality codes, and publishes to Kafka (raw topic).</w:t>
      </w:r>
    </w:p>
    <w:p>
      <w:pPr>
        <w:pStyle w:val="ListBullet"/>
      </w:pPr>
      <w:r>
        <w:t>Stream processor: cleans, normalizes, unit-converts, and enriches data; publishes to cleaned topic and feature topic.</w:t>
      </w:r>
    </w:p>
    <w:p>
      <w:pPr>
        <w:pStyle w:val="ListBullet"/>
      </w:pPr>
      <w:r>
        <w:t>Chemistry Engine service: deterministic calculations and compliance checks; publishes derived KPIs and constraint states.</w:t>
      </w:r>
    </w:p>
    <w:p>
      <w:pPr>
        <w:pStyle w:val="ListBullet"/>
      </w:pPr>
      <w:r>
        <w:t>Optimization service: computes recommended setpoints; writes to recommendations topic and (if enabled) to command topic.</w:t>
      </w:r>
    </w:p>
    <w:p>
      <w:pPr>
        <w:pStyle w:val="ListBullet"/>
      </w:pPr>
      <w:r>
        <w:t>Explainability service: computes SHAP/LIME artifacts for each recommendation and assembles operator-readable payloads.</w:t>
      </w:r>
    </w:p>
    <w:p>
      <w:pPr>
        <w:pStyle w:val="ListBullet"/>
      </w:pPr>
      <w:r>
        <w:t>UI/API layer: dashboards, reports, and integration APIs.</w:t>
      </w:r>
    </w:p>
    <w:p>
      <w:pPr>
        <w:pStyle w:val="ListBullet"/>
      </w:pPr>
      <w:r>
        <w:t>CMMS connector: creates/updates maintenance events (calibration, reagent low, valve/pump issues) with correct asset mapping.</w:t>
      </w:r>
    </w:p>
    <w:p>
      <w:pPr>
        <w:pStyle w:val="Heading2"/>
      </w:pPr>
      <w:r>
        <w:t>9.2 Kafka topic design (example)</w:t>
      </w:r>
    </w:p>
    <w:p>
      <w:r>
        <w:rPr>
          <w:rFonts w:ascii="Consolas" w:hAnsi="Consolas"/>
          <w:sz w:val="18"/>
        </w:rPr>
        <w:t>boiler.gl016.raw</w:t>
        <w:br/>
        <w:t>boiler.gl016.cleaned</w:t>
        <w:br/>
        <w:t>boiler.gl016.features</w:t>
        <w:br/>
        <w:t>boiler.gl016.chemistry_state</w:t>
        <w:br/>
        <w:t>boiler.gl016.recommendations</w:t>
        <w:br/>
        <w:t>boiler.gl016.actuation_commands</w:t>
        <w:br/>
        <w:t>boiler.gl016.actuation_ack</w:t>
        <w:br/>
        <w:t>boiler.gl016.alerts</w:t>
        <w:br/>
        <w:t>boiler.gl016.audit</w:t>
      </w:r>
    </w:p>
    <w:p>
      <w:pPr>
        <w:pStyle w:val="Heading2"/>
      </w:pPr>
      <w:r>
        <w:t>9.3 OPC-UA requirements</w:t>
      </w:r>
    </w:p>
    <w:p>
      <w:pPr>
        <w:pStyle w:val="ListBullet"/>
      </w:pPr>
      <w:r>
        <w:t>Use certificate-based authentication and encrypted sessions; follow site OT cybersecurity policy.</w:t>
      </w:r>
    </w:p>
    <w:p>
      <w:pPr>
        <w:pStyle w:val="ListBullet"/>
      </w:pPr>
      <w:r>
        <w:t>Implement tag mapping with explicit engineering units and scaling; store node IDs in version-controlled configuration.</w:t>
      </w:r>
    </w:p>
    <w:p>
      <w:pPr>
        <w:pStyle w:val="ListBullet"/>
      </w:pPr>
      <w:r>
        <w:t>Persist OPC-UA quality codes and source timestamps; never overwrite bad quality with "last good" without explicit flagging.</w:t>
      </w:r>
    </w:p>
    <w:p>
      <w:pPr>
        <w:pStyle w:val="ListBullet"/>
      </w:pPr>
      <w:r>
        <w:t>Support failover and reconnect logic with backoff; publish telemetry about connection status.</w:t>
      </w:r>
    </w:p>
    <w:p>
      <w:pPr>
        <w:pStyle w:val="Heading2"/>
      </w:pPr>
      <w:r>
        <w:t>9.4 CMMS integration requirements</w:t>
      </w:r>
    </w:p>
    <w:p>
      <w:pPr>
        <w:pStyle w:val="ListBullet"/>
      </w:pPr>
      <w:r>
        <w:t>Asset registry: map each analyzer, blowdown valve, and dosing pump to CMMS asset IDs.</w:t>
      </w:r>
    </w:p>
    <w:p>
      <w:pPr>
        <w:pStyle w:val="ListBullet"/>
      </w:pPr>
      <w:r>
        <w:t>Work order triggers: calibration due, analyzer fault/reagent low, abnormal valve response, pump mismatch (command vs feedback), chemical tank low.</w:t>
      </w:r>
    </w:p>
    <w:p>
      <w:pPr>
        <w:pStyle w:val="ListBullet"/>
      </w:pPr>
      <w:r>
        <w:t>Include diagnostic context in work orders: time, affected tag, last calibration, recent trend snippets, and recommended technician action.</w:t>
      </w:r>
    </w:p>
    <w:p>
      <w:pPr>
        <w:pStyle w:val="ListBullet"/>
      </w:pPr>
      <w:r>
        <w:t>Ensure CMMS writes are idempotent to avoid duplicate work orders.</w:t>
      </w:r>
    </w:p>
    <w:p>
      <w:pPr>
        <w:pStyle w:val="Heading2"/>
      </w:pPr>
      <w:r>
        <w:t>9.5 Security and access control (OT/IT)</w:t>
      </w:r>
    </w:p>
    <w:p>
      <w:pPr>
        <w:pStyle w:val="ListBullet"/>
      </w:pPr>
      <w:r>
        <w:t>Network segmentation: deploy edge components in OT DMZ; restrict inbound/outbound flows; follow IEC 62443-aligned zoning where applicable.</w:t>
      </w:r>
    </w:p>
    <w:p>
      <w:pPr>
        <w:pStyle w:val="ListBullet"/>
      </w:pPr>
      <w:r>
        <w:t>Least privilege: service accounts scoped per function (read-only ingestion vs command writing).</w:t>
      </w:r>
    </w:p>
    <w:p>
      <w:pPr>
        <w:pStyle w:val="ListBullet"/>
      </w:pPr>
      <w:r>
        <w:t>Audit logging: immutable logs for every recommendation, setpoint write, and config change.</w:t>
      </w:r>
    </w:p>
    <w:p>
      <w:pPr>
        <w:pStyle w:val="ListBullet"/>
      </w:pPr>
      <w:r>
        <w:t>Secrets management: do not store credentials in code or configs; use approved vault tooling.</w:t>
      </w:r>
    </w:p>
    <w:p>
      <w:pPr>
        <w:pStyle w:val="Heading1"/>
      </w:pPr>
      <w:r>
        <w:t>10. Team Work Plan and Deliverables</w:t>
      </w:r>
    </w:p>
    <w:p>
      <w:pPr>
        <w:pStyle w:val="Heading2"/>
      </w:pPr>
      <w:r>
        <w:t>10.1 Workstream ownership (RACI-lite)</w:t>
      </w:r>
    </w:p>
    <w:tbl>
      <w:tblPr>
        <w:tblStyle w:val="LightList-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sz w:val="18"/>
              </w:rPr>
              <w:t>Workstream</w:t>
            </w:r>
          </w:p>
        </w:tc>
        <w:tc>
          <w:tcPr>
            <w:tcW w:type="dxa" w:w="1872"/>
          </w:tcPr>
          <w:p>
            <w:r>
              <w:rPr>
                <w:rFonts w:ascii="Calibri" w:hAnsi="Calibri"/>
                <w:sz w:val="18"/>
              </w:rPr>
              <w:t>Accountable</w:t>
            </w:r>
          </w:p>
        </w:tc>
        <w:tc>
          <w:tcPr>
            <w:tcW w:type="dxa" w:w="1872"/>
          </w:tcPr>
          <w:p>
            <w:r>
              <w:rPr>
                <w:rFonts w:ascii="Calibri" w:hAnsi="Calibri"/>
                <w:sz w:val="18"/>
              </w:rPr>
              <w:t>Responsible</w:t>
            </w:r>
          </w:p>
        </w:tc>
        <w:tc>
          <w:tcPr>
            <w:tcW w:type="dxa" w:w="1872"/>
          </w:tcPr>
          <w:p>
            <w:r>
              <w:rPr>
                <w:rFonts w:ascii="Calibri" w:hAnsi="Calibri"/>
                <w:sz w:val="18"/>
              </w:rPr>
              <w:t>Consulted</w:t>
            </w:r>
          </w:p>
        </w:tc>
        <w:tc>
          <w:tcPr>
            <w:tcW w:type="dxa" w:w="1872"/>
          </w:tcPr>
          <w:p>
            <w:r>
              <w:rPr>
                <w:rFonts w:ascii="Calibri" w:hAnsi="Calibri"/>
                <w:sz w:val="18"/>
              </w:rPr>
              <w:t>Key deliverables</w:t>
            </w:r>
          </w:p>
        </w:tc>
      </w:tr>
      <w:tr>
        <w:tc>
          <w:tcPr>
            <w:tcW w:type="dxa" w:w="1872"/>
          </w:tcPr>
          <w:p>
            <w:r>
              <w:rPr>
                <w:rFonts w:ascii="Calibri" w:hAnsi="Calibri"/>
                <w:sz w:val="18"/>
              </w:rPr>
              <w:t>Boiler water treatment program &amp; limits</w:t>
            </w:r>
          </w:p>
        </w:tc>
        <w:tc>
          <w:tcPr>
            <w:tcW w:type="dxa" w:w="1872"/>
          </w:tcPr>
          <w:p>
            <w:r>
              <w:rPr>
                <w:rFonts w:ascii="Calibri" w:hAnsi="Calibri"/>
                <w:sz w:val="18"/>
              </w:rPr>
              <w:t>Water Treatment SME Lead</w:t>
            </w:r>
          </w:p>
        </w:tc>
        <w:tc>
          <w:tcPr>
            <w:tcW w:type="dxa" w:w="1872"/>
          </w:tcPr>
          <w:p>
            <w:r>
              <w:rPr>
                <w:rFonts w:ascii="Calibri" w:hAnsi="Calibri"/>
                <w:sz w:val="18"/>
              </w:rPr>
              <w:t>Water Treatment SME + Plant Operations</w:t>
            </w:r>
          </w:p>
        </w:tc>
        <w:tc>
          <w:tcPr>
            <w:tcW w:type="dxa" w:w="1872"/>
          </w:tcPr>
          <w:p>
            <w:r>
              <w:rPr>
                <w:rFonts w:ascii="Calibri" w:hAnsi="Calibri"/>
                <w:sz w:val="18"/>
              </w:rPr>
              <w:t>Controls/OT Eng; AI/ML; Compliance</w:t>
            </w:r>
          </w:p>
        </w:tc>
        <w:tc>
          <w:tcPr>
            <w:tcW w:type="dxa" w:w="1872"/>
          </w:tcPr>
          <w:p>
            <w:r>
              <w:rPr>
                <w:rFonts w:ascii="Calibri" w:hAnsi="Calibri"/>
                <w:sz w:val="18"/>
              </w:rPr>
              <w:t>Site-specific chemistry limits, targets, chemical program definition, alarm/action matrix, MOC artifacts</w:t>
            </w:r>
          </w:p>
        </w:tc>
      </w:tr>
      <w:tr>
        <w:tc>
          <w:tcPr>
            <w:tcW w:type="dxa" w:w="1872"/>
          </w:tcPr>
          <w:p>
            <w:r>
              <w:rPr>
                <w:rFonts w:ascii="Calibri" w:hAnsi="Calibri"/>
                <w:sz w:val="18"/>
              </w:rPr>
              <w:t>OT integration (OPC-UA, analyzers, actuation)</w:t>
            </w:r>
          </w:p>
        </w:tc>
        <w:tc>
          <w:tcPr>
            <w:tcW w:type="dxa" w:w="1872"/>
          </w:tcPr>
          <w:p>
            <w:r>
              <w:rPr>
                <w:rFonts w:ascii="Calibri" w:hAnsi="Calibri"/>
                <w:sz w:val="18"/>
              </w:rPr>
              <w:t>Controls/OT Engineering Lead</w:t>
            </w:r>
          </w:p>
        </w:tc>
        <w:tc>
          <w:tcPr>
            <w:tcW w:type="dxa" w:w="1872"/>
          </w:tcPr>
          <w:p>
            <w:r>
              <w:rPr>
                <w:rFonts w:ascii="Calibri" w:hAnsi="Calibri"/>
                <w:sz w:val="18"/>
              </w:rPr>
              <w:t>Controls/OT Eng + Instrumentation</w:t>
            </w:r>
          </w:p>
        </w:tc>
        <w:tc>
          <w:tcPr>
            <w:tcW w:type="dxa" w:w="1872"/>
          </w:tcPr>
          <w:p>
            <w:r>
              <w:rPr>
                <w:rFonts w:ascii="Calibri" w:hAnsi="Calibri"/>
                <w:sz w:val="18"/>
              </w:rPr>
              <w:t>Security; Software Dev</w:t>
            </w:r>
          </w:p>
        </w:tc>
        <w:tc>
          <w:tcPr>
            <w:tcW w:type="dxa" w:w="1872"/>
          </w:tcPr>
          <w:p>
            <w:r>
              <w:rPr>
                <w:rFonts w:ascii="Calibri" w:hAnsi="Calibri"/>
                <w:sz w:val="18"/>
              </w:rPr>
              <w:t>Tag list, node mapping, command handshake, interlocks, PLC/HMI changes, commissioning procedures</w:t>
            </w:r>
          </w:p>
        </w:tc>
      </w:tr>
      <w:tr>
        <w:tc>
          <w:tcPr>
            <w:tcW w:type="dxa" w:w="1872"/>
          </w:tcPr>
          <w:p>
            <w:r>
              <w:rPr>
                <w:rFonts w:ascii="Calibri" w:hAnsi="Calibri"/>
                <w:sz w:val="18"/>
              </w:rPr>
              <w:t>Data platform &amp; streaming (Kafka, storage, lineage)</w:t>
            </w:r>
          </w:p>
        </w:tc>
        <w:tc>
          <w:tcPr>
            <w:tcW w:type="dxa" w:w="1872"/>
          </w:tcPr>
          <w:p>
            <w:r>
              <w:rPr>
                <w:rFonts w:ascii="Calibri" w:hAnsi="Calibri"/>
                <w:sz w:val="18"/>
              </w:rPr>
              <w:t>Data Engineering Lead</w:t>
            </w:r>
          </w:p>
        </w:tc>
        <w:tc>
          <w:tcPr>
            <w:tcW w:type="dxa" w:w="1872"/>
          </w:tcPr>
          <w:p>
            <w:r>
              <w:rPr>
                <w:rFonts w:ascii="Calibri" w:hAnsi="Calibri"/>
                <w:sz w:val="18"/>
              </w:rPr>
              <w:t>Data Eng + Platform/DevOps</w:t>
            </w:r>
          </w:p>
        </w:tc>
        <w:tc>
          <w:tcPr>
            <w:tcW w:type="dxa" w:w="1872"/>
          </w:tcPr>
          <w:p>
            <w:r>
              <w:rPr>
                <w:rFonts w:ascii="Calibri" w:hAnsi="Calibri"/>
                <w:sz w:val="18"/>
              </w:rPr>
              <w:t>Security; AI/ML; Software Dev</w:t>
            </w:r>
          </w:p>
        </w:tc>
        <w:tc>
          <w:tcPr>
            <w:tcW w:type="dxa" w:w="1872"/>
          </w:tcPr>
          <w:p>
            <w:r>
              <w:rPr>
                <w:rFonts w:ascii="Calibri" w:hAnsi="Calibri"/>
                <w:sz w:val="18"/>
              </w:rPr>
              <w:t>Kafka topics, schemas, data QA/QC pipeline, time-series store, retention policies</w:t>
            </w:r>
          </w:p>
        </w:tc>
      </w:tr>
      <w:tr>
        <w:tc>
          <w:tcPr>
            <w:tcW w:type="dxa" w:w="1872"/>
          </w:tcPr>
          <w:p>
            <w:r>
              <w:rPr>
                <w:rFonts w:ascii="Calibri" w:hAnsi="Calibri"/>
                <w:sz w:val="18"/>
              </w:rPr>
              <w:t>Deterministic Chemistry Engine</w:t>
            </w:r>
          </w:p>
        </w:tc>
        <w:tc>
          <w:tcPr>
            <w:tcW w:type="dxa" w:w="1872"/>
          </w:tcPr>
          <w:p>
            <w:r>
              <w:rPr>
                <w:rFonts w:ascii="Calibri" w:hAnsi="Calibri"/>
                <w:sz w:val="18"/>
              </w:rPr>
              <w:t>Engineering/Architecture Lead</w:t>
            </w:r>
          </w:p>
        </w:tc>
        <w:tc>
          <w:tcPr>
            <w:tcW w:type="dxa" w:w="1872"/>
          </w:tcPr>
          <w:p>
            <w:r>
              <w:rPr>
                <w:rFonts w:ascii="Calibri" w:hAnsi="Calibri"/>
                <w:sz w:val="18"/>
              </w:rPr>
              <w:t>Software Dev + Water Treatment SME</w:t>
            </w:r>
          </w:p>
        </w:tc>
        <w:tc>
          <w:tcPr>
            <w:tcW w:type="dxa" w:w="1872"/>
          </w:tcPr>
          <w:p>
            <w:r>
              <w:rPr>
                <w:rFonts w:ascii="Calibri" w:hAnsi="Calibri"/>
                <w:sz w:val="18"/>
              </w:rPr>
              <w:t>AI/ML; QA/Validation</w:t>
            </w:r>
          </w:p>
        </w:tc>
        <w:tc>
          <w:tcPr>
            <w:tcW w:type="dxa" w:w="1872"/>
          </w:tcPr>
          <w:p>
            <w:r>
              <w:rPr>
                <w:rFonts w:ascii="Calibri" w:hAnsi="Calibri"/>
                <w:sz w:val="18"/>
              </w:rPr>
              <w:t>Unit-safe calculation library, constraint evaluator, test suite, audit logging</w:t>
            </w:r>
          </w:p>
        </w:tc>
      </w:tr>
      <w:tr>
        <w:tc>
          <w:tcPr>
            <w:tcW w:type="dxa" w:w="1872"/>
          </w:tcPr>
          <w:p>
            <w:r>
              <w:rPr>
                <w:rFonts w:ascii="Calibri" w:hAnsi="Calibri"/>
                <w:sz w:val="18"/>
              </w:rPr>
              <w:t>Optimization + ML models</w:t>
            </w:r>
          </w:p>
        </w:tc>
        <w:tc>
          <w:tcPr>
            <w:tcW w:type="dxa" w:w="1872"/>
          </w:tcPr>
          <w:p>
            <w:r>
              <w:rPr>
                <w:rFonts w:ascii="Calibri" w:hAnsi="Calibri"/>
                <w:sz w:val="18"/>
              </w:rPr>
              <w:t>AI/ML Lead</w:t>
            </w:r>
          </w:p>
        </w:tc>
        <w:tc>
          <w:tcPr>
            <w:tcW w:type="dxa" w:w="1872"/>
          </w:tcPr>
          <w:p>
            <w:r>
              <w:rPr>
                <w:rFonts w:ascii="Calibri" w:hAnsi="Calibri"/>
                <w:sz w:val="18"/>
              </w:rPr>
              <w:t>AI/ML Team</w:t>
            </w:r>
          </w:p>
        </w:tc>
        <w:tc>
          <w:tcPr>
            <w:tcW w:type="dxa" w:w="1872"/>
          </w:tcPr>
          <w:p>
            <w:r>
              <w:rPr>
                <w:rFonts w:ascii="Calibri" w:hAnsi="Calibri"/>
                <w:sz w:val="18"/>
              </w:rPr>
              <w:t>Water Treatment SME; Controls/OT; QA</w:t>
            </w:r>
          </w:p>
        </w:tc>
        <w:tc>
          <w:tcPr>
            <w:tcW w:type="dxa" w:w="1872"/>
          </w:tcPr>
          <w:p>
            <w:r>
              <w:rPr>
                <w:rFonts w:ascii="Calibri" w:hAnsi="Calibri"/>
                <w:sz w:val="18"/>
              </w:rPr>
              <w:t>Risk/forecast models, constrained optimizer, explainability artifacts, drift monitoring</w:t>
            </w:r>
          </w:p>
        </w:tc>
      </w:tr>
      <w:tr>
        <w:tc>
          <w:tcPr>
            <w:tcW w:type="dxa" w:w="1872"/>
          </w:tcPr>
          <w:p>
            <w:r>
              <w:rPr>
                <w:rFonts w:ascii="Calibri" w:hAnsi="Calibri"/>
                <w:sz w:val="18"/>
              </w:rPr>
              <w:t>Operator UX + reporting</w:t>
            </w:r>
          </w:p>
        </w:tc>
        <w:tc>
          <w:tcPr>
            <w:tcW w:type="dxa" w:w="1872"/>
          </w:tcPr>
          <w:p>
            <w:r>
              <w:rPr>
                <w:rFonts w:ascii="Calibri" w:hAnsi="Calibri"/>
                <w:sz w:val="18"/>
              </w:rPr>
              <w:t>Product/UX Lead</w:t>
            </w:r>
          </w:p>
        </w:tc>
        <w:tc>
          <w:tcPr>
            <w:tcW w:type="dxa" w:w="1872"/>
          </w:tcPr>
          <w:p>
            <w:r>
              <w:rPr>
                <w:rFonts w:ascii="Calibri" w:hAnsi="Calibri"/>
                <w:sz w:val="18"/>
              </w:rPr>
              <w:t>Software Dev (Frontend/Backend)</w:t>
            </w:r>
          </w:p>
        </w:tc>
        <w:tc>
          <w:tcPr>
            <w:tcW w:type="dxa" w:w="1872"/>
          </w:tcPr>
          <w:p>
            <w:r>
              <w:rPr>
                <w:rFonts w:ascii="Calibri" w:hAnsi="Calibri"/>
                <w:sz w:val="18"/>
              </w:rPr>
              <w:t>Operations; AI/ML; Water Treatment SME</w:t>
            </w:r>
          </w:p>
        </w:tc>
        <w:tc>
          <w:tcPr>
            <w:tcW w:type="dxa" w:w="1872"/>
          </w:tcPr>
          <w:p>
            <w:r>
              <w:rPr>
                <w:rFonts w:ascii="Calibri" w:hAnsi="Calibri"/>
                <w:sz w:val="18"/>
              </w:rPr>
              <w:t>Dashboards, alerting, explainability reports, compliance and savings reporting</w:t>
            </w:r>
          </w:p>
        </w:tc>
      </w:tr>
      <w:tr>
        <w:tc>
          <w:tcPr>
            <w:tcW w:type="dxa" w:w="1872"/>
          </w:tcPr>
          <w:p>
            <w:r>
              <w:rPr>
                <w:rFonts w:ascii="Calibri" w:hAnsi="Calibri"/>
                <w:sz w:val="18"/>
              </w:rPr>
              <w:t>CMMS integration</w:t>
            </w:r>
          </w:p>
        </w:tc>
        <w:tc>
          <w:tcPr>
            <w:tcW w:type="dxa" w:w="1872"/>
          </w:tcPr>
          <w:p>
            <w:r>
              <w:rPr>
                <w:rFonts w:ascii="Calibri" w:hAnsi="Calibri"/>
                <w:sz w:val="18"/>
              </w:rPr>
              <w:t>Reliability Engineering Lead</w:t>
            </w:r>
          </w:p>
        </w:tc>
        <w:tc>
          <w:tcPr>
            <w:tcW w:type="dxa" w:w="1872"/>
          </w:tcPr>
          <w:p>
            <w:r>
              <w:rPr>
                <w:rFonts w:ascii="Calibri" w:hAnsi="Calibri"/>
                <w:sz w:val="18"/>
              </w:rPr>
              <w:t>Software Dev + Reliability/CMMS Admin</w:t>
            </w:r>
          </w:p>
        </w:tc>
        <w:tc>
          <w:tcPr>
            <w:tcW w:type="dxa" w:w="1872"/>
          </w:tcPr>
          <w:p>
            <w:r>
              <w:rPr>
                <w:rFonts w:ascii="Calibri" w:hAnsi="Calibri"/>
                <w:sz w:val="18"/>
              </w:rPr>
              <w:t>Controls/OT; Data Eng</w:t>
            </w:r>
          </w:p>
        </w:tc>
        <w:tc>
          <w:tcPr>
            <w:tcW w:type="dxa" w:w="1872"/>
          </w:tcPr>
          <w:p>
            <w:r>
              <w:rPr>
                <w:rFonts w:ascii="Calibri" w:hAnsi="Calibri"/>
                <w:sz w:val="18"/>
              </w:rPr>
              <w:t>Asset mapping, work-order triggers, idempotent connector, maintenance analytics</w:t>
            </w:r>
          </w:p>
        </w:tc>
      </w:tr>
      <w:tr>
        <w:tc>
          <w:tcPr>
            <w:tcW w:type="dxa" w:w="1872"/>
          </w:tcPr>
          <w:p>
            <w:r>
              <w:rPr>
                <w:rFonts w:ascii="Calibri" w:hAnsi="Calibri"/>
                <w:sz w:val="18"/>
              </w:rPr>
              <w:t>Climate intelligence &amp; sustainability reporting</w:t>
            </w:r>
          </w:p>
        </w:tc>
        <w:tc>
          <w:tcPr>
            <w:tcW w:type="dxa" w:w="1872"/>
          </w:tcPr>
          <w:p>
            <w:r>
              <w:rPr>
                <w:rFonts w:ascii="Calibri" w:hAnsi="Calibri"/>
                <w:sz w:val="18"/>
              </w:rPr>
              <w:t>Climate Intelligence Lead</w:t>
            </w:r>
          </w:p>
        </w:tc>
        <w:tc>
          <w:tcPr>
            <w:tcW w:type="dxa" w:w="1872"/>
          </w:tcPr>
          <w:p>
            <w:r>
              <w:rPr>
                <w:rFonts w:ascii="Calibri" w:hAnsi="Calibri"/>
                <w:sz w:val="18"/>
              </w:rPr>
              <w:t>Climate Intelligence Team</w:t>
            </w:r>
          </w:p>
        </w:tc>
        <w:tc>
          <w:tcPr>
            <w:tcW w:type="dxa" w:w="1872"/>
          </w:tcPr>
          <w:p>
            <w:r>
              <w:rPr>
                <w:rFonts w:ascii="Calibri" w:hAnsi="Calibri"/>
                <w:sz w:val="18"/>
              </w:rPr>
              <w:t>Data Eng; Water Treatment SME; Operations</w:t>
            </w:r>
          </w:p>
        </w:tc>
        <w:tc>
          <w:tcPr>
            <w:tcW w:type="dxa" w:w="1872"/>
          </w:tcPr>
          <w:p>
            <w:r>
              <w:rPr>
                <w:rFonts w:ascii="Calibri" w:hAnsi="Calibri"/>
                <w:sz w:val="18"/>
              </w:rPr>
              <w:t>Water/energy/emissions accounting, site emission factors, verification approach, sustainability dashboards</w:t>
            </w:r>
          </w:p>
        </w:tc>
      </w:tr>
      <w:tr>
        <w:tc>
          <w:tcPr>
            <w:tcW w:type="dxa" w:w="1872"/>
          </w:tcPr>
          <w:p>
            <w:r>
              <w:rPr>
                <w:rFonts w:ascii="Calibri" w:hAnsi="Calibri"/>
                <w:sz w:val="18"/>
              </w:rPr>
              <w:t>Security &amp; compliance</w:t>
            </w:r>
          </w:p>
        </w:tc>
        <w:tc>
          <w:tcPr>
            <w:tcW w:type="dxa" w:w="1872"/>
          </w:tcPr>
          <w:p>
            <w:r>
              <w:rPr>
                <w:rFonts w:ascii="Calibri" w:hAnsi="Calibri"/>
                <w:sz w:val="18"/>
              </w:rPr>
              <w:t>Security/Compliance Lead</w:t>
            </w:r>
          </w:p>
        </w:tc>
        <w:tc>
          <w:tcPr>
            <w:tcW w:type="dxa" w:w="1872"/>
          </w:tcPr>
          <w:p>
            <w:r>
              <w:rPr>
                <w:rFonts w:ascii="Calibri" w:hAnsi="Calibri"/>
                <w:sz w:val="18"/>
              </w:rPr>
              <w:t>Security Team</w:t>
            </w:r>
          </w:p>
        </w:tc>
        <w:tc>
          <w:tcPr>
            <w:tcW w:type="dxa" w:w="1872"/>
          </w:tcPr>
          <w:p>
            <w:r>
              <w:rPr>
                <w:rFonts w:ascii="Calibri" w:hAnsi="Calibri"/>
                <w:sz w:val="18"/>
              </w:rPr>
              <w:t>All teams</w:t>
            </w:r>
          </w:p>
        </w:tc>
        <w:tc>
          <w:tcPr>
            <w:tcW w:type="dxa" w:w="1872"/>
          </w:tcPr>
          <w:p>
            <w:r>
              <w:rPr>
                <w:rFonts w:ascii="Calibri" w:hAnsi="Calibri"/>
                <w:sz w:val="18"/>
              </w:rPr>
              <w:t>Threat model, access control, audit requirements, compliance evidence pack</w:t>
            </w:r>
          </w:p>
        </w:tc>
      </w:tr>
      <w:tr>
        <w:tc>
          <w:tcPr>
            <w:tcW w:type="dxa" w:w="1872"/>
          </w:tcPr>
          <w:p>
            <w:r>
              <w:rPr>
                <w:rFonts w:ascii="Calibri" w:hAnsi="Calibri"/>
                <w:sz w:val="18"/>
              </w:rPr>
              <w:t>QA, validation, commissioning</w:t>
            </w:r>
          </w:p>
        </w:tc>
        <w:tc>
          <w:tcPr>
            <w:tcW w:type="dxa" w:w="1872"/>
          </w:tcPr>
          <w:p>
            <w:r>
              <w:rPr>
                <w:rFonts w:ascii="Calibri" w:hAnsi="Calibri"/>
                <w:sz w:val="18"/>
              </w:rPr>
              <w:t>QA/Validation Lead</w:t>
            </w:r>
          </w:p>
        </w:tc>
        <w:tc>
          <w:tcPr>
            <w:tcW w:type="dxa" w:w="1872"/>
          </w:tcPr>
          <w:p>
            <w:r>
              <w:rPr>
                <w:rFonts w:ascii="Calibri" w:hAnsi="Calibri"/>
                <w:sz w:val="18"/>
              </w:rPr>
              <w:t>QA + Controls/OT + Operations</w:t>
            </w:r>
          </w:p>
        </w:tc>
        <w:tc>
          <w:tcPr>
            <w:tcW w:type="dxa" w:w="1872"/>
          </w:tcPr>
          <w:p>
            <w:r>
              <w:rPr>
                <w:rFonts w:ascii="Calibri" w:hAnsi="Calibri"/>
                <w:sz w:val="18"/>
              </w:rPr>
              <w:t>AI/ML; Water Treatment SME</w:t>
            </w:r>
          </w:p>
        </w:tc>
        <w:tc>
          <w:tcPr>
            <w:tcW w:type="dxa" w:w="1872"/>
          </w:tcPr>
          <w:p>
            <w:r>
              <w:rPr>
                <w:rFonts w:ascii="Calibri" w:hAnsi="Calibri"/>
                <w:sz w:val="18"/>
              </w:rPr>
              <w:t>Test plans, shadow-mode validation, site acceptance tests, rollback plan, ongoing verification</w:t>
            </w:r>
          </w:p>
        </w:tc>
      </w:tr>
    </w:tbl>
    <w:p>
      <w:pPr>
        <w:pStyle w:val="Heading2"/>
      </w:pPr>
      <w:r>
        <w:t>10.2 Detailed responsibilities by team</w:t>
      </w:r>
    </w:p>
    <w:p>
      <w:pPr>
        <w:pStyle w:val="Heading3"/>
      </w:pPr>
      <w:r>
        <w:t>AI / ML Team</w:t>
      </w:r>
    </w:p>
    <w:p>
      <w:pPr/>
      <w:r>
        <w:t>Build forecasting, risk, and optimization models that improve water/energy performance while never violating hard chemistry constraints.</w:t>
      </w:r>
    </w:p>
    <w:p>
      <w:pPr>
        <w:pStyle w:val="ListBullet"/>
      </w:pPr>
      <w:r>
        <w:t>Define modeling scope: what is predicted (conductivity/silica trend, risk scores) and what is optimized (blowdown setpoint, dosing setpoint).</w:t>
      </w:r>
    </w:p>
    <w:p>
      <w:pPr>
        <w:pStyle w:val="ListBullet"/>
      </w:pPr>
      <w:r>
        <w:t>Establish the feature specification jointly with the Chemistry Engine (inputs, derived KPIs, lag features, load indicators).</w:t>
      </w:r>
    </w:p>
    <w:p>
      <w:pPr>
        <w:pStyle w:val="ListBullet"/>
      </w:pPr>
      <w:r>
        <w:t>Train baseline models using historical site data; implement cross-validation that respects time ordering.</w:t>
      </w:r>
    </w:p>
    <w:p>
      <w:pPr>
        <w:pStyle w:val="ListBullet"/>
      </w:pPr>
      <w:r>
        <w:t>Implement constrained optimization: ensure recommendations are feasible given equipment limits and hard constraints; include uncertainty-aware conservatism.</w:t>
      </w:r>
    </w:p>
    <w:p>
      <w:pPr>
        <w:pStyle w:val="ListBullet"/>
      </w:pPr>
      <w:r>
        <w:t>Generate SHAP/LIME explainability artifacts per recommendation; standardize explanation payload schema for UI.</w:t>
      </w:r>
    </w:p>
    <w:p>
      <w:pPr>
        <w:pStyle w:val="ListBullet"/>
      </w:pPr>
      <w:r>
        <w:t>Implement drift detection and monitoring: feature drift, prediction drift, and outcome/KPI drift; define retraining triggers and approvals.</w:t>
      </w:r>
    </w:p>
    <w:p>
      <w:pPr>
        <w:pStyle w:val="ListBullet"/>
      </w:pPr>
      <w:r>
        <w:t>Deliver model governance artifacts: model card, training data lineage, performance reports, and known limitations.</w:t>
      </w:r>
    </w:p>
    <w:p>
      <w:pPr>
        <w:pStyle w:val="Heading3"/>
      </w:pPr>
      <w:r>
        <w:t>Data Engineering Team</w:t>
      </w:r>
    </w:p>
    <w:p>
      <w:pPr/>
      <w:r>
        <w:t>Deliver reliable, governed data pipelines from OT sources to WATERGUARD services and analytics.</w:t>
      </w:r>
    </w:p>
    <w:p>
      <w:pPr>
        <w:pStyle w:val="ListBullet"/>
      </w:pPr>
      <w:r>
        <w:t>Create a complete signal inventory (tag list) including units, scaling, quality flags, and ownership.</w:t>
      </w:r>
    </w:p>
    <w:p>
      <w:pPr>
        <w:pStyle w:val="ListBullet"/>
      </w:pPr>
      <w:r>
        <w:t>Implement OPC-UA to Kafka ingestion with schema enforcement and lossless timestamp + quality capture.</w:t>
      </w:r>
    </w:p>
    <w:p>
      <w:pPr>
        <w:pStyle w:val="ListBullet"/>
      </w:pPr>
      <w:r>
        <w:t>Build cleaning/normalization pipelines: unit conversion, temperature compensation flags, interpolation rules (with explicit caveats), and missing-data handling.</w:t>
      </w:r>
    </w:p>
    <w:p>
      <w:pPr>
        <w:pStyle w:val="ListBullet"/>
      </w:pPr>
      <w:r>
        <w:t>Implement data quality monitoring dashboards: sensor uptime, calibration status, outlier rates, and latency.</w:t>
      </w:r>
    </w:p>
    <w:p>
      <w:pPr>
        <w:pStyle w:val="ListBullet"/>
      </w:pPr>
      <w:r>
        <w:t>Provide curated datasets for model training with clear train/validation splits and event labeling support.</w:t>
      </w:r>
    </w:p>
    <w:p>
      <w:pPr>
        <w:pStyle w:val="ListBullet"/>
      </w:pPr>
      <w:r>
        <w:t>Define retention and partitioning strategy for raw/cleaned/feature topics and storage layers.</w:t>
      </w:r>
    </w:p>
    <w:p>
      <w:pPr>
        <w:pStyle w:val="ListBullet"/>
      </w:pPr>
      <w:r>
        <w:t>Ensure lineage and access control: who can read raw OT data, who can write actuation commands.</w:t>
      </w:r>
    </w:p>
    <w:p>
      <w:pPr>
        <w:pStyle w:val="Heading3"/>
      </w:pPr>
      <w:r>
        <w:t>Software Development Team (Backend/Frontend)</w:t>
      </w:r>
    </w:p>
    <w:p>
      <w:pPr/>
      <w:r>
        <w:t>Build the production services, APIs, dashboards, and reporting surfaces for WATERGUARD.</w:t>
      </w:r>
    </w:p>
    <w:p>
      <w:pPr>
        <w:pStyle w:val="ListBullet"/>
      </w:pPr>
      <w:r>
        <w:t>Implement the Chemistry Engine service (unit-safe calculations, constraint evaluation, audit stamps) in collaboration with SMEs and QA.</w:t>
      </w:r>
    </w:p>
    <w:p>
      <w:pPr>
        <w:pStyle w:val="ListBullet"/>
      </w:pPr>
      <w:r>
        <w:t>Build recommendation and actuation workflow services: command generation, approval workflow (for supervised mode), acknowledgement handling, and rollback.</w:t>
      </w:r>
    </w:p>
    <w:p>
      <w:pPr>
        <w:pStyle w:val="ListBullet"/>
      </w:pPr>
      <w:r>
        <w:t>Develop operator UI: real-time trends, compliance status, recommendation queue, explainability views, and incident timeline.</w:t>
      </w:r>
    </w:p>
    <w:p>
      <w:pPr>
        <w:pStyle w:val="ListBullet"/>
      </w:pPr>
      <w:r>
        <w:t>Develop reporting: compliance reports, weekly/monthly savings reports, calibration/maintenance reports, and model explainability summaries.</w:t>
      </w:r>
    </w:p>
    <w:p>
      <w:pPr>
        <w:pStyle w:val="ListBullet"/>
      </w:pPr>
      <w:r>
        <w:t>Implement secure APIs and role-based access control (operator vs engineer vs admin).</w:t>
      </w:r>
    </w:p>
    <w:p>
      <w:pPr>
        <w:pStyle w:val="ListBullet"/>
      </w:pPr>
      <w:r>
        <w:t>Ensure full observability: structured logs, metrics, tracing, and alerting for ingestion/optimization/actuation pipelines.</w:t>
      </w:r>
    </w:p>
    <w:p>
      <w:pPr>
        <w:pStyle w:val="ListBullet"/>
      </w:pPr>
      <w:r>
        <w:t>Provide export interfaces for plant historians and corporate data lakes (as permitted).</w:t>
      </w:r>
    </w:p>
    <w:p>
      <w:pPr>
        <w:pStyle w:val="Heading3"/>
      </w:pPr>
      <w:r>
        <w:t>Controls / OT Engineering Team</w:t>
      </w:r>
    </w:p>
    <w:p>
      <w:pPr/>
      <w:r>
        <w:t>Integrate WATERGUARD safely into the boiler control environment and ensure all actuation is interlocked and auditable.</w:t>
      </w:r>
    </w:p>
    <w:p>
      <w:pPr>
        <w:pStyle w:val="ListBullet"/>
      </w:pPr>
      <w:r>
        <w:t>Confirm analyzer availability and sampling system integrity (sample conditioning, flow, temperature, reagent supply).</w:t>
      </w:r>
    </w:p>
    <w:p>
      <w:pPr>
        <w:pStyle w:val="ListBullet"/>
      </w:pPr>
      <w:r>
        <w:t>Implement/validate PLC logic for blowdown valve control and dosing pumps, including permissives, interlocks, and manual override handling.</w:t>
      </w:r>
    </w:p>
    <w:p>
      <w:pPr>
        <w:pStyle w:val="ListBullet"/>
      </w:pPr>
      <w:r>
        <w:t>Define the command handshake: write setpoint, PLC validates, PLC acknowledges, WATERGUARD confirms; include watchdog timeouts.</w:t>
      </w:r>
    </w:p>
    <w:p>
      <w:pPr>
        <w:pStyle w:val="ListBullet"/>
      </w:pPr>
      <w:r>
        <w:t>Calibrate blowdown valve characterization (position-to-flow) and dosing pump calibration curves; provide calibration data to the system.</w:t>
      </w:r>
    </w:p>
    <w:p>
      <w:pPr>
        <w:pStyle w:val="ListBullet"/>
      </w:pPr>
      <w:r>
        <w:t>Conduct staged commissioning with Operations: data-only, shadow recommendations, supervised control, and (if approved) autonomous mode.</w:t>
      </w:r>
    </w:p>
    <w:p>
      <w:pPr>
        <w:pStyle w:val="ListBullet"/>
      </w:pPr>
      <w:r>
        <w:t>Document operating procedures and emergency rollback/disable mechanisms.</w:t>
      </w:r>
    </w:p>
    <w:p>
      <w:pPr>
        <w:pStyle w:val="ListBullet"/>
      </w:pPr>
      <w:r>
        <w:t>Coordinate MOC and site approvals before enabling closed-loop control.</w:t>
      </w:r>
    </w:p>
    <w:p>
      <w:pPr>
        <w:pStyle w:val="Heading3"/>
      </w:pPr>
      <w:r>
        <w:t>Water Treatment / Boiler SME Team</w:t>
      </w:r>
    </w:p>
    <w:p>
      <w:pPr/>
      <w:r>
        <w:t>Define the site water-treatment program, validate constraints, and ensure recommendations are chemically and operationally correct.</w:t>
      </w:r>
    </w:p>
    <w:p>
      <w:pPr>
        <w:pStyle w:val="ListBullet"/>
      </w:pPr>
      <w:r>
        <w:t>Provide site-specific chemistry limits and targets (conductivity, silica, alkalinity, pH, hardness leakage, dissolved O2, iron/copper transport).</w:t>
      </w:r>
    </w:p>
    <w:p>
      <w:pPr>
        <w:pStyle w:val="ListBullet"/>
      </w:pPr>
      <w:r>
        <w:t>Define alarm thresholds and required actions (operator response playbooks).</w:t>
      </w:r>
    </w:p>
    <w:p>
      <w:pPr>
        <w:pStyle w:val="ListBullet"/>
      </w:pPr>
      <w:r>
        <w:t>Document chemical program details: product strengths, dosing locations, residual targets, and compatibility constraints.</w:t>
      </w:r>
    </w:p>
    <w:p>
      <w:pPr>
        <w:pStyle w:val="ListBullet"/>
      </w:pPr>
      <w:r>
        <w:t>Validate Chemistry Engine formulas and assumptions; supply lab data for calibration and verification.</w:t>
      </w:r>
    </w:p>
    <w:p>
      <w:pPr>
        <w:pStyle w:val="ListBullet"/>
      </w:pPr>
      <w:r>
        <w:t>Review recommendations during shadow mode and sign off on transition to supervised/closed-loop control.</w:t>
      </w:r>
    </w:p>
    <w:p>
      <w:pPr>
        <w:pStyle w:val="ListBullet"/>
      </w:pPr>
      <w:r>
        <w:t>Train operators and maintenance staff on interpreting trends, explainability, and recommended actions.</w:t>
      </w:r>
    </w:p>
    <w:p>
      <w:pPr>
        <w:pStyle w:val="Heading3"/>
      </w:pPr>
      <w:r>
        <w:t>Thermal / Mechanical Engineering Team</w:t>
      </w:r>
    </w:p>
    <w:p>
      <w:pPr/>
      <w:r>
        <w:t>Validate thermal constraints and quantify energy impacts of blowdown and scaling/corrosion risks.</w:t>
      </w:r>
    </w:p>
    <w:p>
      <w:pPr>
        <w:pStyle w:val="ListBullet"/>
      </w:pPr>
      <w:r>
        <w:t>Confirm boiler configuration details (pressure class, drum vs once-through, blowdown hardware, heat-recovery devices).</w:t>
      </w:r>
    </w:p>
    <w:p>
      <w:pPr>
        <w:pStyle w:val="ListBullet"/>
      </w:pPr>
      <w:r>
        <w:t>Provide thermal shock and ramp-rate constraints for blowdown actions and dosing changes where relevant.</w:t>
      </w:r>
    </w:p>
    <w:p>
      <w:pPr>
        <w:pStyle w:val="ListBullet"/>
      </w:pPr>
      <w:r>
        <w:t>Validate blowdown energy loss calculations using site steam tables/efficiency models; calibrate with fuel/steam data if available.</w:t>
      </w:r>
    </w:p>
    <w:p>
      <w:pPr>
        <w:pStyle w:val="ListBullet"/>
      </w:pPr>
      <w:r>
        <w:t>Define scaling risk linkages to heat-transfer performance indicators (stack temperature, approach temperatures, efficiency drift).</w:t>
      </w:r>
    </w:p>
    <w:p>
      <w:pPr>
        <w:pStyle w:val="ListBullet"/>
      </w:pPr>
      <w:r>
        <w:t>Support acceptance testing: confirm that optimized operation does not degrade boiler efficiency or reliability.</w:t>
      </w:r>
    </w:p>
    <w:p>
      <w:pPr>
        <w:pStyle w:val="Heading3"/>
      </w:pPr>
      <w:r>
        <w:t>Climate Intelligence Team</w:t>
      </w:r>
    </w:p>
    <w:p>
      <w:pPr/>
      <w:r>
        <w:t>Translate operational improvements into verified water/energy/emissions outcomes suitable for sustainability reporting.</w:t>
      </w:r>
    </w:p>
    <w:p>
      <w:pPr>
        <w:pStyle w:val="ListBullet"/>
      </w:pPr>
      <w:r>
        <w:t>Define baseline methodology for water and energy savings (period selection, normalization for load/seasonality).</w:t>
      </w:r>
    </w:p>
    <w:p>
      <w:pPr>
        <w:pStyle w:val="ListBullet"/>
      </w:pPr>
      <w:r>
        <w:t>Provide site-specific emissions factors (fuel type, steam source, grid factors where applicable) and accounting rules.</w:t>
      </w:r>
    </w:p>
    <w:p>
      <w:pPr>
        <w:pStyle w:val="ListBullet"/>
      </w:pPr>
      <w:r>
        <w:t>Implement uncertainty estimation and verification checks (meter accuracy, reconciliation with historian totals).</w:t>
      </w:r>
    </w:p>
    <w:p>
      <w:pPr>
        <w:pStyle w:val="ListBullet"/>
      </w:pPr>
      <w:r>
        <w:t>Deliver sustainability dashboards and periodic reports that align with corporate climate reporting needs.</w:t>
      </w:r>
    </w:p>
    <w:p>
      <w:pPr>
        <w:pStyle w:val="ListBullet"/>
      </w:pPr>
      <w:r>
        <w:t>Ensure that claimed savings are auditable and traceable to underlying measurements and calculation versions.</w:t>
      </w:r>
    </w:p>
    <w:p>
      <w:pPr>
        <w:pStyle w:val="Heading3"/>
      </w:pPr>
      <w:r>
        <w:t>Security / Compliance Team</w:t>
      </w:r>
    </w:p>
    <w:p>
      <w:pPr/>
      <w:r>
        <w:t>Ensure WATERGUARD meets OT cybersecurity requirements and produces audit-ready compliance evidence.</w:t>
      </w:r>
    </w:p>
    <w:p>
      <w:pPr>
        <w:pStyle w:val="ListBullet"/>
      </w:pPr>
      <w:r>
        <w:t>Perform threat modeling and risk assessment for OPC-UA ingestion and actuation pathways.</w:t>
      </w:r>
    </w:p>
    <w:p>
      <w:pPr>
        <w:pStyle w:val="ListBullet"/>
      </w:pPr>
      <w:r>
        <w:t>Define network zoning, firewall rules, certificate management, and service account policies.</w:t>
      </w:r>
    </w:p>
    <w:p>
      <w:pPr>
        <w:pStyle w:val="ListBullet"/>
      </w:pPr>
      <w:r>
        <w:t>Set requirements for audit logging, retention, and tamper resistance; validate that logs meet compliance needs.</w:t>
      </w:r>
    </w:p>
    <w:p>
      <w:pPr>
        <w:pStyle w:val="ListBullet"/>
      </w:pPr>
      <w:r>
        <w:t>Review compliance mapping to relevant codes/standards and site SOPs; ensure MOC documentation is complete.</w:t>
      </w:r>
    </w:p>
    <w:p>
      <w:pPr>
        <w:pStyle w:val="ListBullet"/>
      </w:pPr>
      <w:r>
        <w:t>Conduct security testing (vulnerability scanning where allowed, configuration audits) before go-live.</w:t>
      </w:r>
    </w:p>
    <w:p>
      <w:pPr>
        <w:pStyle w:val="Heading3"/>
      </w:pPr>
      <w:r>
        <w:t>QA / Validation Team</w:t>
      </w:r>
    </w:p>
    <w:p>
      <w:pPr/>
      <w:r>
        <w:t>Prove correctness, safety, and performance through rigorous testing and staged validation.</w:t>
      </w:r>
    </w:p>
    <w:p>
      <w:pPr>
        <w:pStyle w:val="ListBullet"/>
      </w:pPr>
      <w:r>
        <w:t>Develop test plans for deterministic calculations, ML models, optimization logic, and integration points.</w:t>
      </w:r>
    </w:p>
    <w:p>
      <w:pPr>
        <w:pStyle w:val="ListBullet"/>
      </w:pPr>
      <w:r>
        <w:t>Create simulation datasets and failure-injection scenarios (sensor faults, communication loss, stuck valves, empty chemical tanks).</w:t>
      </w:r>
    </w:p>
    <w:p>
      <w:pPr>
        <w:pStyle w:val="ListBullet"/>
      </w:pPr>
      <w:r>
        <w:t>Validate zero-hallucination principle: ensure no generative component can alter numeric outputs.</w:t>
      </w:r>
    </w:p>
    <w:p>
      <w:pPr>
        <w:pStyle w:val="ListBullet"/>
      </w:pPr>
      <w:r>
        <w:t>Run shadow-mode acceptance: compare predicted vs observed outcomes and confirm no constraint violations.</w:t>
      </w:r>
    </w:p>
    <w:p>
      <w:pPr>
        <w:pStyle w:val="ListBullet"/>
      </w:pPr>
      <w:r>
        <w:t>Execute site acceptance tests (SAT) and define go/no-go criteria for each commissioning stage.</w:t>
      </w:r>
    </w:p>
    <w:p>
      <w:pPr>
        <w:pStyle w:val="ListBullet"/>
      </w:pPr>
      <w:r>
        <w:t>Maintain a regression suite to prevent changes from breaking previously validated behavior.</w:t>
      </w:r>
    </w:p>
    <w:p>
      <w:pPr>
        <w:pStyle w:val="Heading3"/>
      </w:pPr>
      <w:r>
        <w:t>Program Management / Product Team</w:t>
      </w:r>
    </w:p>
    <w:p>
      <w:pPr/>
      <w:r>
        <w:t>Coordinate cross-team execution, manage risks, and ensure readiness for Q2 2026 rollout.</w:t>
      </w:r>
    </w:p>
    <w:p>
      <w:pPr>
        <w:pStyle w:val="ListBullet"/>
      </w:pPr>
      <w:r>
        <w:t>Maintain integrated project plan, dependencies, and change control (MOC milestones for control enablement).</w:t>
      </w:r>
    </w:p>
    <w:p>
      <w:pPr>
        <w:pStyle w:val="ListBullet"/>
      </w:pPr>
      <w:r>
        <w:t>Align stakeholders: operations, maintenance, water-treatment vendor, IT/OT security, and sustainability reporting.</w:t>
      </w:r>
    </w:p>
    <w:p>
      <w:pPr>
        <w:pStyle w:val="ListBullet"/>
      </w:pPr>
      <w:r>
        <w:t>Track KPIs and value realization plan, including baseline definition and measurement plans.</w:t>
      </w:r>
    </w:p>
    <w:p>
      <w:pPr>
        <w:pStyle w:val="ListBullet"/>
      </w:pPr>
      <w:r>
        <w:t>Manage documentation: SOP updates, training materials, and go-live runbooks.</w:t>
      </w:r>
    </w:p>
    <w:p>
      <w:pPr>
        <w:pStyle w:val="ListBullet"/>
      </w:pPr>
      <w:r>
        <w:t>Ensure issue triage and incident management processes are in place for early deployments.</w:t>
      </w:r>
    </w:p>
    <w:p>
      <w:pPr>
        <w:pStyle w:val="Heading1"/>
      </w:pPr>
      <w:r>
        <w:t>11. Testing, Validation, and Acceptance Criteria</w:t>
      </w:r>
    </w:p>
    <w:p>
      <w:pPr>
        <w:pStyle w:val="Heading2"/>
      </w:pPr>
      <w:r>
        <w:t>11.1 Deterministic calculation verification</w:t>
      </w:r>
    </w:p>
    <w:p>
      <w:pPr>
        <w:pStyle w:val="ListBullet"/>
      </w:pPr>
      <w:r>
        <w:t>Unit tests cover all formulas, edge cases, and unit conversions.</w:t>
      </w:r>
    </w:p>
    <w:p>
      <w:pPr>
        <w:pStyle w:val="ListBullet"/>
      </w:pPr>
      <w:r>
        <w:t>Golden-data verification: compare Chemistry Engine outputs to lab-validated periods and vendor calculations where available.</w:t>
      </w:r>
    </w:p>
    <w:p>
      <w:pPr>
        <w:pStyle w:val="ListBullet"/>
      </w:pPr>
      <w:r>
        <w:t>Cross-checks: ensure mass-balance consistency (e.g., inferred blowdown vs measured blowdown where metered).</w:t>
      </w:r>
    </w:p>
    <w:p>
      <w:pPr>
        <w:pStyle w:val="ListBullet"/>
      </w:pPr>
      <w:r>
        <w:t>Negative testing: confirm that missing/bad-quality inputs force safe fallback behavior and clear alerts.</w:t>
      </w:r>
    </w:p>
    <w:p>
      <w:pPr>
        <w:pStyle w:val="Heading2"/>
      </w:pPr>
      <w:r>
        <w:t>11.2 ML/optimization validation</w:t>
      </w:r>
    </w:p>
    <w:p>
      <w:pPr>
        <w:pStyle w:val="ListBullet"/>
      </w:pPr>
      <w:r>
        <w:t>Backtesting on historical periods including upset conditions (load swings, contamination events).</w:t>
      </w:r>
    </w:p>
    <w:p>
      <w:pPr>
        <w:pStyle w:val="ListBullet"/>
      </w:pPr>
      <w:r>
        <w:t>Constraint-aware evaluation: confirm recommendations never reduce safety margin below configured threshold.</w:t>
      </w:r>
    </w:p>
    <w:p>
      <w:pPr>
        <w:pStyle w:val="ListBullet"/>
      </w:pPr>
      <w:r>
        <w:t>Shadow-mode field validation: run for a site-defined minimum period and compare against baseline operation.</w:t>
      </w:r>
    </w:p>
    <w:p>
      <w:pPr>
        <w:pStyle w:val="ListBullet"/>
      </w:pPr>
      <w:r>
        <w:t>Human factors: validate operator understanding of explainability views and confidence indicators.</w:t>
      </w:r>
    </w:p>
    <w:p>
      <w:pPr>
        <w:pStyle w:val="Heading2"/>
      </w:pPr>
      <w:r>
        <w:t>11.3 OT integration testing</w:t>
      </w:r>
    </w:p>
    <w:p>
      <w:pPr>
        <w:pStyle w:val="ListBullet"/>
      </w:pPr>
      <w:r>
        <w:t>OPC-UA read tests: tag completeness, timestamp accuracy, quality propagation, and latency.</w:t>
      </w:r>
    </w:p>
    <w:p>
      <w:pPr>
        <w:pStyle w:val="ListBullet"/>
      </w:pPr>
      <w:r>
        <w:t>Command path tests: write, permissive checks, acknowledgement, and rollback; include watchdog timeout verification.</w:t>
      </w:r>
    </w:p>
    <w:p>
      <w:pPr>
        <w:pStyle w:val="ListBullet"/>
      </w:pPr>
      <w:r>
        <w:t>Failover tests: loss of connectivity, restart scenarios, and recovery without unsafe setpoint writes.</w:t>
      </w:r>
    </w:p>
    <w:p>
      <w:pPr>
        <w:pStyle w:val="Heading2"/>
      </w:pPr>
      <w:r>
        <w:t>11.4 Go-live acceptance criteria (example)</w:t>
      </w:r>
    </w:p>
    <w:p>
      <w:pPr>
        <w:pStyle w:val="ListBullet"/>
      </w:pPr>
      <w:r>
        <w:t>No hard-constraint violations attributable to WATERGUARD recommendations during shadow mode.</w:t>
      </w:r>
    </w:p>
    <w:p>
      <w:pPr>
        <w:pStyle w:val="ListBullet"/>
      </w:pPr>
      <w:r>
        <w:t>Demonstrated water savings and/or improved compliance stability compared to baseline (site-defined target).</w:t>
      </w:r>
    </w:p>
    <w:p>
      <w:pPr>
        <w:pStyle w:val="ListBullet"/>
      </w:pPr>
      <w:r>
        <w:t>All critical analyzers calibrated and passing QA checks; CMMS workflows proven in test.</w:t>
      </w:r>
    </w:p>
    <w:p>
      <w:pPr>
        <w:pStyle w:val="ListBullet"/>
      </w:pPr>
      <w:r>
        <w:t>Security sign-off completed; audit logs and access controls verified.</w:t>
      </w:r>
    </w:p>
    <w:p>
      <w:pPr>
        <w:pStyle w:val="ListBullet"/>
      </w:pPr>
      <w:r>
        <w:t>Rollback procedure tested and documented; operators trained.</w:t>
      </w:r>
    </w:p>
    <w:p>
      <w:pPr>
        <w:pStyle w:val="Heading1"/>
      </w:pPr>
      <w:r>
        <w:t>12. Monitoring, Operations, and Runbooks</w:t>
      </w:r>
    </w:p>
    <w:p>
      <w:pPr>
        <w:pStyle w:val="Heading2"/>
      </w:pPr>
      <w:r>
        <w:t>12.1 Required monitoring</w:t>
      </w:r>
    </w:p>
    <w:p>
      <w:pPr>
        <w:pStyle w:val="ListBullet"/>
      </w:pPr>
      <w:r>
        <w:t>Data pipeline health: ingestion latency, drop rate, schema errors, OPC-UA connection status.</w:t>
      </w:r>
    </w:p>
    <w:p>
      <w:pPr>
        <w:pStyle w:val="ListBullet"/>
      </w:pPr>
      <w:r>
        <w:t>Analyzer health: uptime, calibration due, reagent low, sample flow low, out-of-range rates.</w:t>
      </w:r>
    </w:p>
    <w:p>
      <w:pPr>
        <w:pStyle w:val="ListBullet"/>
      </w:pPr>
      <w:r>
        <w:t>Control health: command/ack latency, actuator mismatch (commanded vs actual), manual override status.</w:t>
      </w:r>
    </w:p>
    <w:p>
      <w:pPr>
        <w:pStyle w:val="ListBullet"/>
      </w:pPr>
      <w:r>
        <w:t>Model health: drift indicators, prediction error (where ground truth is available), explainability stability.</w:t>
      </w:r>
    </w:p>
    <w:p>
      <w:pPr>
        <w:pStyle w:val="ListBullet"/>
      </w:pPr>
      <w:r>
        <w:t>Compliance health: time-in-compliance, near-violation counts, and recurring violation root causes.</w:t>
      </w:r>
    </w:p>
    <w:p>
      <w:pPr>
        <w:pStyle w:val="Heading2"/>
      </w:pPr>
      <w:r>
        <w:t>12.2 Alerts and escalation</w:t>
      </w:r>
    </w:p>
    <w:p>
      <w:pPr>
        <w:pStyle w:val="ListBullet"/>
      </w:pPr>
      <w:r>
        <w:t>P1 alerts: imminent constraint violation (silica/conductivity/pH/O2), loss of critical analyzers, actuation failure in supervised/autonomous modes.</w:t>
      </w:r>
    </w:p>
    <w:p>
      <w:pPr>
        <w:pStyle w:val="ListBullet"/>
      </w:pPr>
      <w:r>
        <w:t>P2 alerts: analyzer calibration due, drift detected, abnormal iron/copper transport, chemical tank low.</w:t>
      </w:r>
    </w:p>
    <w:p>
      <w:pPr>
        <w:pStyle w:val="ListBullet"/>
      </w:pPr>
      <w:r>
        <w:t>P3 alerts: minor data latency, intermittent signal dropouts, non-critical sensor anomalies.</w:t>
      </w:r>
    </w:p>
    <w:p>
      <w:pPr>
        <w:pStyle w:val="ListBullet"/>
      </w:pPr>
      <w:r>
        <w:t>Escalation paths must align with site on-call and operations procedures.</w:t>
      </w:r>
    </w:p>
    <w:p>
      <w:pPr>
        <w:pStyle w:val="Heading2"/>
      </w:pPr>
      <w:r>
        <w:t>12.3 Operational runbooks (minimum set)</w:t>
      </w:r>
    </w:p>
    <w:p>
      <w:pPr>
        <w:pStyle w:val="ListBullet"/>
      </w:pPr>
      <w:r>
        <w:t>Disable/enable WATERGUARD control and revert to baseline setpoints.</w:t>
      </w:r>
    </w:p>
    <w:p>
      <w:pPr>
        <w:pStyle w:val="ListBullet"/>
      </w:pPr>
      <w:r>
        <w:t>Respond to analyzer faults and perform calibration verification.</w:t>
      </w:r>
    </w:p>
    <w:p>
      <w:pPr>
        <w:pStyle w:val="ListBullet"/>
      </w:pPr>
      <w:r>
        <w:t>Investigate conductivity/silica excursions using trend and event timeline views.</w:t>
      </w:r>
    </w:p>
    <w:p>
      <w:pPr>
        <w:pStyle w:val="ListBullet"/>
      </w:pPr>
      <w:r>
        <w:t>Validate dosing pump performance (command vs feedback) and troubleshoot injection issues.</w:t>
      </w:r>
    </w:p>
    <w:p>
      <w:pPr>
        <w:pStyle w:val="ListBullet"/>
      </w:pPr>
      <w:r>
        <w:t>Perform post-incident review using audit logs and recommendation history.</w:t>
      </w:r>
    </w:p>
    <w:p>
      <w:pPr>
        <w:pStyle w:val="Heading1"/>
      </w:pPr>
      <w:r>
        <w:t>13. Key Risks and Mitigations</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Pr>
                <w:rFonts w:ascii="Calibri" w:hAnsi="Calibri"/>
                <w:sz w:val="18"/>
              </w:rPr>
              <w:t>Risk</w:t>
            </w:r>
          </w:p>
        </w:tc>
        <w:tc>
          <w:tcPr>
            <w:tcW w:type="dxa" w:w="3120"/>
          </w:tcPr>
          <w:p>
            <w:r>
              <w:rPr>
                <w:rFonts w:ascii="Calibri" w:hAnsi="Calibri"/>
                <w:sz w:val="18"/>
              </w:rPr>
              <w:t>Impact</w:t>
            </w:r>
          </w:p>
        </w:tc>
        <w:tc>
          <w:tcPr>
            <w:tcW w:type="dxa" w:w="3120"/>
          </w:tcPr>
          <w:p>
            <w:r>
              <w:rPr>
                <w:rFonts w:ascii="Calibri" w:hAnsi="Calibri"/>
                <w:sz w:val="18"/>
              </w:rPr>
              <w:t>Mitigation</w:t>
            </w:r>
          </w:p>
        </w:tc>
      </w:tr>
      <w:tr>
        <w:tc>
          <w:tcPr>
            <w:tcW w:type="dxa" w:w="3120"/>
          </w:tcPr>
          <w:p>
            <w:r>
              <w:rPr>
                <w:rFonts w:ascii="Calibri" w:hAnsi="Calibri"/>
                <w:sz w:val="18"/>
              </w:rPr>
              <w:t>Analyzer drift or poor sampling (bad data)</w:t>
            </w:r>
          </w:p>
        </w:tc>
        <w:tc>
          <w:tcPr>
            <w:tcW w:type="dxa" w:w="3120"/>
          </w:tcPr>
          <w:p>
            <w:r>
              <w:rPr>
                <w:rFonts w:ascii="Calibri" w:hAnsi="Calibri"/>
                <w:sz w:val="18"/>
              </w:rPr>
              <w:t>Incorrect recommendations; potential compliance excursions</w:t>
            </w:r>
          </w:p>
        </w:tc>
        <w:tc>
          <w:tcPr>
            <w:tcW w:type="dxa" w:w="3120"/>
          </w:tcPr>
          <w:p>
            <w:r>
              <w:rPr>
                <w:rFonts w:ascii="Calibri" w:hAnsi="Calibri"/>
                <w:sz w:val="18"/>
              </w:rPr>
              <w:t>Strict health gating, calibration schedules, redundancy where possible, lab verification.</w:t>
            </w:r>
          </w:p>
        </w:tc>
      </w:tr>
      <w:tr>
        <w:tc>
          <w:tcPr>
            <w:tcW w:type="dxa" w:w="3120"/>
          </w:tcPr>
          <w:p>
            <w:r>
              <w:rPr>
                <w:rFonts w:ascii="Calibri" w:hAnsi="Calibri"/>
                <w:sz w:val="18"/>
              </w:rPr>
              <w:t>Conductivity proxy misrepresents true CoC due to chemical additions</w:t>
            </w:r>
          </w:p>
        </w:tc>
        <w:tc>
          <w:tcPr>
            <w:tcW w:type="dxa" w:w="3120"/>
          </w:tcPr>
          <w:p>
            <w:r>
              <w:rPr>
                <w:rFonts w:ascii="Calibri" w:hAnsi="Calibri"/>
                <w:sz w:val="18"/>
              </w:rPr>
              <w:t>Under/over blowdown; increased scaling/carryover risk</w:t>
            </w:r>
          </w:p>
        </w:tc>
        <w:tc>
          <w:tcPr>
            <w:tcW w:type="dxa" w:w="3120"/>
          </w:tcPr>
          <w:p>
            <w:r>
              <w:rPr>
                <w:rFonts w:ascii="Calibri" w:hAnsi="Calibri"/>
                <w:sz w:val="18"/>
              </w:rPr>
              <w:t>Tracer-based calibration (silica/chloride if available), conservative setpoints, periodic lab reconciliation.</w:t>
            </w:r>
          </w:p>
        </w:tc>
      </w:tr>
      <w:tr>
        <w:tc>
          <w:tcPr>
            <w:tcW w:type="dxa" w:w="3120"/>
          </w:tcPr>
          <w:p>
            <w:r>
              <w:rPr>
                <w:rFonts w:ascii="Calibri" w:hAnsi="Calibri"/>
                <w:sz w:val="18"/>
              </w:rPr>
              <w:t>Actuator mismatch (valve sticking, pump underfeed)</w:t>
            </w:r>
          </w:p>
        </w:tc>
        <w:tc>
          <w:tcPr>
            <w:tcW w:type="dxa" w:w="3120"/>
          </w:tcPr>
          <w:p>
            <w:r>
              <w:rPr>
                <w:rFonts w:ascii="Calibri" w:hAnsi="Calibri"/>
                <w:sz w:val="18"/>
              </w:rPr>
              <w:t>Setpoints not achieved; latent risk</w:t>
            </w:r>
          </w:p>
        </w:tc>
        <w:tc>
          <w:tcPr>
            <w:tcW w:type="dxa" w:w="3120"/>
          </w:tcPr>
          <w:p>
            <w:r>
              <w:rPr>
                <w:rFonts w:ascii="Calibri" w:hAnsi="Calibri"/>
                <w:sz w:val="18"/>
              </w:rPr>
              <w:t>Feedback reconciliation, CMMS work orders, interlocks to prevent continued closed-loop control.</w:t>
            </w:r>
          </w:p>
        </w:tc>
      </w:tr>
      <w:tr>
        <w:tc>
          <w:tcPr>
            <w:tcW w:type="dxa" w:w="3120"/>
          </w:tcPr>
          <w:p>
            <w:r>
              <w:rPr>
                <w:rFonts w:ascii="Calibri" w:hAnsi="Calibri"/>
                <w:sz w:val="18"/>
              </w:rPr>
              <w:t>Cybersecurity incident / unauthorized control</w:t>
            </w:r>
          </w:p>
        </w:tc>
        <w:tc>
          <w:tcPr>
            <w:tcW w:type="dxa" w:w="3120"/>
          </w:tcPr>
          <w:p>
            <w:r>
              <w:rPr>
                <w:rFonts w:ascii="Calibri" w:hAnsi="Calibri"/>
                <w:sz w:val="18"/>
              </w:rPr>
              <w:t>Safety and operational disruption</w:t>
            </w:r>
          </w:p>
        </w:tc>
        <w:tc>
          <w:tcPr>
            <w:tcW w:type="dxa" w:w="3120"/>
          </w:tcPr>
          <w:p>
            <w:r>
              <w:rPr>
                <w:rFonts w:ascii="Calibri" w:hAnsi="Calibri"/>
                <w:sz w:val="18"/>
              </w:rPr>
              <w:t>Network segmentation, certificate auth, least privilege, audit logs, change control.</w:t>
            </w:r>
          </w:p>
        </w:tc>
      </w:tr>
      <w:tr>
        <w:tc>
          <w:tcPr>
            <w:tcW w:type="dxa" w:w="3120"/>
          </w:tcPr>
          <w:p>
            <w:r>
              <w:rPr>
                <w:rFonts w:ascii="Calibri" w:hAnsi="Calibri"/>
                <w:sz w:val="18"/>
              </w:rPr>
              <w:t>Operator distrust or misinterpretation</w:t>
            </w:r>
          </w:p>
        </w:tc>
        <w:tc>
          <w:tcPr>
            <w:tcW w:type="dxa" w:w="3120"/>
          </w:tcPr>
          <w:p>
            <w:r>
              <w:rPr>
                <w:rFonts w:ascii="Calibri" w:hAnsi="Calibri"/>
                <w:sz w:val="18"/>
              </w:rPr>
              <w:t>Recommendations ignored; value not realized</w:t>
            </w:r>
          </w:p>
        </w:tc>
        <w:tc>
          <w:tcPr>
            <w:tcW w:type="dxa" w:w="3120"/>
          </w:tcPr>
          <w:p>
            <w:r>
              <w:rPr>
                <w:rFonts w:ascii="Calibri" w:hAnsi="Calibri"/>
                <w:sz w:val="18"/>
              </w:rPr>
              <w:t>Explainability, training, shadow-mode validation, clear confidence indicators.</w:t>
            </w:r>
          </w:p>
        </w:tc>
      </w:tr>
      <w:tr>
        <w:tc>
          <w:tcPr>
            <w:tcW w:type="dxa" w:w="3120"/>
          </w:tcPr>
          <w:p>
            <w:r>
              <w:rPr>
                <w:rFonts w:ascii="Calibri" w:hAnsi="Calibri"/>
                <w:sz w:val="18"/>
              </w:rPr>
              <w:t>Model drift due to changing makeup quality or operations</w:t>
            </w:r>
          </w:p>
        </w:tc>
        <w:tc>
          <w:tcPr>
            <w:tcW w:type="dxa" w:w="3120"/>
          </w:tcPr>
          <w:p>
            <w:r>
              <w:rPr>
                <w:rFonts w:ascii="Calibri" w:hAnsi="Calibri"/>
                <w:sz w:val="18"/>
              </w:rPr>
              <w:t>Degraded predictions and optimization</w:t>
            </w:r>
          </w:p>
        </w:tc>
        <w:tc>
          <w:tcPr>
            <w:tcW w:type="dxa" w:w="3120"/>
          </w:tcPr>
          <w:p>
            <w:r>
              <w:rPr>
                <w:rFonts w:ascii="Calibri" w:hAnsi="Calibri"/>
                <w:sz w:val="18"/>
              </w:rPr>
              <w:t>Drift monitoring, retraining governance, fallback to physics baseline.</w:t>
            </w:r>
          </w:p>
        </w:tc>
      </w:tr>
    </w:tbl>
    <w:p>
      <w:pPr>
        <w:pStyle w:val="Heading1"/>
      </w:pPr>
      <w:r>
        <w:t>14. Appendices</w:t>
      </w:r>
    </w:p>
    <w:p>
      <w:pPr>
        <w:pStyle w:val="Heading2"/>
      </w:pPr>
      <w:r>
        <w:t>14.1 Glossary (selected)</w:t>
      </w:r>
    </w:p>
    <w:tbl>
      <w:tblPr>
        <w:tblStyle w:val="LightList-Accent1"/>
        <w:tblW w:type="auto" w:w="0"/>
        <w:tblLook w:firstColumn="1" w:firstRow="1" w:lastColumn="0" w:lastRow="0" w:noHBand="0" w:noVBand="1" w:val="04A0"/>
      </w:tblPr>
      <w:tblGrid>
        <w:gridCol w:w="4680"/>
        <w:gridCol w:w="4680"/>
      </w:tblGrid>
      <w:tr>
        <w:tc>
          <w:tcPr>
            <w:tcW w:type="dxa" w:w="4680"/>
          </w:tcPr>
          <w:p>
            <w:r>
              <w:rPr>
                <w:rFonts w:ascii="Calibri" w:hAnsi="Calibri"/>
                <w:sz w:val="18"/>
              </w:rPr>
              <w:t>Term</w:t>
            </w:r>
          </w:p>
        </w:tc>
        <w:tc>
          <w:tcPr>
            <w:tcW w:type="dxa" w:w="4680"/>
          </w:tcPr>
          <w:p>
            <w:r>
              <w:rPr>
                <w:rFonts w:ascii="Calibri" w:hAnsi="Calibri"/>
                <w:sz w:val="18"/>
              </w:rPr>
              <w:t>Definition</w:t>
            </w:r>
          </w:p>
        </w:tc>
      </w:tr>
      <w:tr>
        <w:tc>
          <w:tcPr>
            <w:tcW w:type="dxa" w:w="4680"/>
          </w:tcPr>
          <w:p>
            <w:r>
              <w:rPr>
                <w:rFonts w:ascii="Calibri" w:hAnsi="Calibri"/>
                <w:sz w:val="18"/>
              </w:rPr>
              <w:t>Blowdown</w:t>
            </w:r>
          </w:p>
        </w:tc>
        <w:tc>
          <w:tcPr>
            <w:tcW w:type="dxa" w:w="4680"/>
          </w:tcPr>
          <w:p>
            <w:r>
              <w:rPr>
                <w:rFonts w:ascii="Calibri" w:hAnsi="Calibri"/>
                <w:sz w:val="18"/>
              </w:rPr>
              <w:t>Intentional removal of boiler water to control dissolved solids and prevent scaling/carryover.</w:t>
            </w:r>
          </w:p>
        </w:tc>
      </w:tr>
      <w:tr>
        <w:tc>
          <w:tcPr>
            <w:tcW w:type="dxa" w:w="4680"/>
          </w:tcPr>
          <w:p>
            <w:r>
              <w:rPr>
                <w:rFonts w:ascii="Calibri" w:hAnsi="Calibri"/>
                <w:sz w:val="18"/>
              </w:rPr>
              <w:t>Cycles of Concentration (CoC)</w:t>
            </w:r>
          </w:p>
        </w:tc>
        <w:tc>
          <w:tcPr>
            <w:tcW w:type="dxa" w:w="4680"/>
          </w:tcPr>
          <w:p>
            <w:r>
              <w:rPr>
                <w:rFonts w:ascii="Calibri" w:hAnsi="Calibri"/>
                <w:sz w:val="18"/>
              </w:rPr>
              <w:t>Ratio of dissolved solids concentration in boiler water to that in makeup/feedwater (proxy via conductivity or tracer).</w:t>
            </w:r>
          </w:p>
        </w:tc>
      </w:tr>
      <w:tr>
        <w:tc>
          <w:tcPr>
            <w:tcW w:type="dxa" w:w="4680"/>
          </w:tcPr>
          <w:p>
            <w:r>
              <w:rPr>
                <w:rFonts w:ascii="Calibri" w:hAnsi="Calibri"/>
                <w:sz w:val="18"/>
              </w:rPr>
              <w:t>OPC-UA</w:t>
            </w:r>
          </w:p>
        </w:tc>
        <w:tc>
          <w:tcPr>
            <w:tcW w:type="dxa" w:w="4680"/>
          </w:tcPr>
          <w:p>
            <w:r>
              <w:rPr>
                <w:rFonts w:ascii="Calibri" w:hAnsi="Calibri"/>
                <w:sz w:val="18"/>
              </w:rPr>
              <w:t>OPC Unified Architecture; industrial protocol for secure data exchange between OT systems and applications.</w:t>
            </w:r>
          </w:p>
        </w:tc>
      </w:tr>
      <w:tr>
        <w:tc>
          <w:tcPr>
            <w:tcW w:type="dxa" w:w="4680"/>
          </w:tcPr>
          <w:p>
            <w:r>
              <w:rPr>
                <w:rFonts w:ascii="Calibri" w:hAnsi="Calibri"/>
                <w:sz w:val="18"/>
              </w:rPr>
              <w:t>Kafka</w:t>
            </w:r>
          </w:p>
        </w:tc>
        <w:tc>
          <w:tcPr>
            <w:tcW w:type="dxa" w:w="4680"/>
          </w:tcPr>
          <w:p>
            <w:r>
              <w:rPr>
                <w:rFonts w:ascii="Calibri" w:hAnsi="Calibri"/>
                <w:sz w:val="18"/>
              </w:rPr>
              <w:t>Distributed streaming platform used here for reliable event/data pipelines.</w:t>
            </w:r>
          </w:p>
        </w:tc>
      </w:tr>
      <w:tr>
        <w:tc>
          <w:tcPr>
            <w:tcW w:type="dxa" w:w="4680"/>
          </w:tcPr>
          <w:p>
            <w:r>
              <w:rPr>
                <w:rFonts w:ascii="Calibri" w:hAnsi="Calibri"/>
                <w:sz w:val="18"/>
              </w:rPr>
              <w:t>SHAP</w:t>
            </w:r>
          </w:p>
        </w:tc>
        <w:tc>
          <w:tcPr>
            <w:tcW w:type="dxa" w:w="4680"/>
          </w:tcPr>
          <w:p>
            <w:r>
              <w:rPr>
                <w:rFonts w:ascii="Calibri" w:hAnsi="Calibri"/>
                <w:sz w:val="18"/>
              </w:rPr>
              <w:t>SHapley Additive exPlanations; a method to attribute model outputs to input features.</w:t>
            </w:r>
          </w:p>
        </w:tc>
      </w:tr>
      <w:tr>
        <w:tc>
          <w:tcPr>
            <w:tcW w:type="dxa" w:w="4680"/>
          </w:tcPr>
          <w:p>
            <w:r>
              <w:rPr>
                <w:rFonts w:ascii="Calibri" w:hAnsi="Calibri"/>
                <w:sz w:val="18"/>
              </w:rPr>
              <w:t>LIME</w:t>
            </w:r>
          </w:p>
        </w:tc>
        <w:tc>
          <w:tcPr>
            <w:tcW w:type="dxa" w:w="4680"/>
          </w:tcPr>
          <w:p>
            <w:r>
              <w:rPr>
                <w:rFonts w:ascii="Calibri" w:hAnsi="Calibri"/>
                <w:sz w:val="18"/>
              </w:rPr>
              <w:t>Local Interpretable Model-agnostic Explanations; approximates model behavior locally for explainability.</w:t>
            </w:r>
          </w:p>
        </w:tc>
      </w:tr>
      <w:tr>
        <w:tc>
          <w:tcPr>
            <w:tcW w:type="dxa" w:w="4680"/>
          </w:tcPr>
          <w:p>
            <w:r>
              <w:rPr>
                <w:rFonts w:ascii="Calibri" w:hAnsi="Calibri"/>
                <w:sz w:val="18"/>
              </w:rPr>
              <w:t>CMMS</w:t>
            </w:r>
          </w:p>
        </w:tc>
        <w:tc>
          <w:tcPr>
            <w:tcW w:type="dxa" w:w="4680"/>
          </w:tcPr>
          <w:p>
            <w:r>
              <w:rPr>
                <w:rFonts w:ascii="Calibri" w:hAnsi="Calibri"/>
                <w:sz w:val="18"/>
              </w:rPr>
              <w:t>Computerized Maintenance Management System; manages work orders and asset maintenance.</w:t>
            </w:r>
          </w:p>
        </w:tc>
      </w:tr>
    </w:tbl>
    <w:p>
      <w:pPr>
        <w:pStyle w:val="Heading2"/>
      </w:pPr>
      <w:r>
        <w:t>14.2 Explainability report (operator-facing) - recommended sections</w:t>
      </w:r>
    </w:p>
    <w:p>
      <w:pPr>
        <w:pStyle w:val="ListBullet"/>
      </w:pPr>
      <w:r>
        <w:t>Current status: key chemistry values and compliance summary.</w:t>
      </w:r>
    </w:p>
    <w:p>
      <w:pPr>
        <w:pStyle w:val="ListBullet"/>
      </w:pPr>
      <w:r>
        <w:t>Recommendation: proposed blowdown and/or dosing change with expected impact.</w:t>
      </w:r>
    </w:p>
    <w:p>
      <w:pPr>
        <w:pStyle w:val="ListBullet"/>
      </w:pPr>
      <w:r>
        <w:t>Reasoning: top SHAP/LIME drivers with plain-language interpretation.</w:t>
      </w:r>
    </w:p>
    <w:p>
      <w:pPr>
        <w:pStyle w:val="ListBullet"/>
      </w:pPr>
      <w:r>
        <w:t>Constraints: nearest limits and safety margins (distance-to-limit).</w:t>
      </w:r>
    </w:p>
    <w:p>
      <w:pPr>
        <w:pStyle w:val="ListBullet"/>
      </w:pPr>
      <w:r>
        <w:t>Trend context: last 24h and last 7d trend snippets for key variables.</w:t>
      </w:r>
    </w:p>
    <w:p>
      <w:pPr>
        <w:pStyle w:val="ListBullet"/>
      </w:pPr>
      <w:r>
        <w:t>Confidence and caveats: sensor health, data gaps, and uncertainty notes.</w:t>
      </w:r>
    </w:p>
    <w:p>
      <w:pPr>
        <w:pStyle w:val="ListBullet"/>
      </w:pPr>
      <w:r>
        <w:t>Audit record: model/version IDs, input data IDs, timestamp, operator approval (if applicable).</w:t>
      </w:r>
    </w:p>
    <w:p>
      <w:pPr>
        <w:pStyle w:val="Heading2"/>
      </w:pPr>
      <w:r>
        <w:t>14.3 Example audit log fields (minimum)</w:t>
      </w:r>
    </w:p>
    <w:p>
      <w:r>
        <w:rPr>
          <w:rFonts w:ascii="Consolas" w:hAnsi="Consolas"/>
          <w:sz w:val="18"/>
        </w:rPr>
        <w:t>timestamp_utc, site_id, boiler_id, mode, recommendation_id, inputs_event_ids,</w:t>
        <w:br/>
        <w:t>config_version, chemistry_engine_version, model_version,</w:t>
        <w:br/>
        <w:t>proposed_blowdown_setpoint, proposed_dosing_setpoint,</w:t>
        <w:br/>
        <w:t>hard_constraints_evaluated, constraint_margins,</w:t>
        <w:br/>
        <w:t>approval_user, approval_timestamp, actuation_write_timestamp, actuation_ack_timestamp,</w:t>
        <w:br/>
        <w:t>resulting_measured_response_summary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Pr>
    <w:tblGrid>
      <w:gridCol w:w="3120"/>
      <w:gridCol w:w="3120"/>
      <w:gridCol w:w="3120"/>
    </w:tblGrid>
    <w:tr>
      <w:tc>
        <w:tcPr>
          <w:tcW w:type="dxa" w:w="3120"/>
          <w:tcBorders>
            <w:left w:val="nil"/>
            <w:top w:val="nil"/>
            <w:right w:val="nil"/>
            <w:bottom w:val="nil"/>
            <w:insideH w:val="nil"/>
            <w:insideV w:val="nil"/>
          </w:tcBorders>
        </w:tcPr>
        <w:p>
          <w:pPr>
            <w:jc w:val="left"/>
          </w:pPr>
          <w:r>
            <w:rPr>
              <w:sz w:val="18"/>
            </w:rPr>
            <w:t>GL-016 WATERGUARD</w:t>
          </w:r>
        </w:p>
      </w:tc>
      <w:tc>
        <w:tcPr>
          <w:tcW w:type="dxa" w:w="3120"/>
          <w:tcBorders>
            <w:left w:val="nil"/>
            <w:top w:val="nil"/>
            <w:right w:val="nil"/>
            <w:bottom w:val="nil"/>
            <w:insideH w:val="nil"/>
            <w:insideV w:val="nil"/>
          </w:tcBorders>
        </w:tcPr>
        <w:p>
          <w:pPr>
            <w:jc w:val="center"/>
          </w:pPr>
          <w:r>
            <w:rPr>
              <w:sz w:val="18"/>
            </w:rPr>
            <w:t>Internal - For implementation teams</w:t>
          </w:r>
        </w:p>
      </w:tc>
      <w:tc>
        <w:tcPr>
          <w:tcW w:type="dxa" w:w="3120"/>
          <w:tcBorders>
            <w:left w:val="nil"/>
            <w:top w:val="nil"/>
            <w:right w:val="nil"/>
            <w:bottom w:val="nil"/>
            <w:insideH w:val="nil"/>
            <w:insideV w:val="nil"/>
          </w:tcBorders>
        </w:tcPr>
        <w:p>
          <w:pPr>
            <w:jc w:val="right"/>
          </w:pPr>
          <w:r>
            <w:rPr>
              <w:sz w:val="18"/>
            </w:rPr>
            <w:t xml:space="preserve">Page </w:t>
          </w:r>
          <w:r>
            <w:fldChar w:fldCharType="begin"/>
            <w:instrText xml:space="preserve">PAGE</w:instrText>
            <w:fldChar w:fldCharType="separate"/>
            <w:fldChar w:fldCharType="end"/>
          </w:r>
          <w:r>
            <w:rPr>
              <w:sz w:val="18"/>
            </w:rPr>
            <w:t xml:space="preserve"> of </w:t>
          </w:r>
          <w:r>
            <w:fldChar w:fldCharType="begin"/>
            <w:instrText xml:space="preserve">NUMPAGES</w:instrText>
            <w:fldChar w:fldCharType="separate"/>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