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GL-020 — ECONOPULSE</w:t>
        <w:br/>
        <w:t>Economizer Performance Agent (Heat Recovery Monitor)</w:t>
      </w:r>
    </w:p>
    <w:p>
      <w:pPr>
        <w:jc w:val="center"/>
      </w:pPr>
      <w:r>
        <w:rPr>
          <w:i/>
        </w:rPr>
        <w:t>Design + Build + Operations Blueprint (v1.0) • 2025-12-26</w:t>
      </w:r>
    </w:p>
    <w:p/>
    <w:tbl>
      <w:tblPr>
        <w:tblStyle w:val="LightShading-Accent1"/>
        <w:tblW w:type="auto" w:w="0"/>
        <w:jc w:val="center"/>
        <w:tblLook w:firstColumn="1" w:firstRow="1" w:lastColumn="0" w:lastRow="0" w:noHBand="0" w:noVBand="1" w:val="04A0"/>
      </w:tblPr>
      <w:tblGrid>
        <w:gridCol w:w="4320"/>
        <w:gridCol w:w="4320"/>
      </w:tblGrid>
      <w:tr>
        <w:tc>
          <w:tcPr>
            <w:tcW w:type="dxa" w:w="4320"/>
          </w:tcPr>
          <w:p>
            <w:r>
              <w:t>Agent ID</w:t>
            </w:r>
          </w:p>
        </w:tc>
        <w:tc>
          <w:tcPr>
            <w:tcW w:type="dxa" w:w="4320"/>
          </w:tcPr>
          <w:p>
            <w:r>
              <w:t>GL-020</w:t>
            </w:r>
          </w:p>
        </w:tc>
      </w:tr>
      <w:tr>
        <w:tc>
          <w:tcPr>
            <w:tcW w:type="dxa" w:w="4320"/>
          </w:tcPr>
          <w:p>
            <w:r>
              <w:t>Agent Name</w:t>
            </w:r>
          </w:p>
        </w:tc>
        <w:tc>
          <w:tcPr>
            <w:tcW w:type="dxa" w:w="4320"/>
          </w:tcPr>
          <w:p>
            <w:r>
              <w:t>ECONOPULSE (EconomizerPerformanceAgent)</w:t>
            </w:r>
          </w:p>
        </w:tc>
      </w:tr>
      <w:tr>
        <w:tc>
          <w:tcPr>
            <w:tcW w:type="dxa" w:w="4320"/>
          </w:tcPr>
          <w:p>
            <w:r>
              <w:t>Category</w:t>
            </w:r>
          </w:p>
        </w:tc>
        <w:tc>
          <w:tcPr>
            <w:tcW w:type="dxa" w:w="4320"/>
          </w:tcPr>
          <w:p>
            <w:r>
              <w:t>Heat Recovery • Economizer Monitoring</w:t>
            </w:r>
          </w:p>
        </w:tc>
      </w:tr>
      <w:tr>
        <w:tc>
          <w:tcPr>
            <w:tcW w:type="dxa" w:w="4320"/>
          </w:tcPr>
          <w:p>
            <w:r>
              <w:t>Priority</w:t>
            </w:r>
          </w:p>
        </w:tc>
        <w:tc>
          <w:tcPr>
            <w:tcW w:type="dxa" w:w="4320"/>
          </w:tcPr>
          <w:p>
            <w:r>
              <w:t>Medium (P2)</w:t>
            </w:r>
          </w:p>
        </w:tc>
      </w:tr>
      <w:tr>
        <w:tc>
          <w:tcPr>
            <w:tcW w:type="dxa" w:w="4320"/>
          </w:tcPr>
          <w:p>
            <w:r>
              <w:t>Target Release</w:t>
            </w:r>
          </w:p>
        </w:tc>
        <w:tc>
          <w:tcPr>
            <w:tcW w:type="dxa" w:w="4320"/>
          </w:tcPr>
          <w:p>
            <w:r>
              <w:t>Q3 2026</w:t>
            </w:r>
          </w:p>
        </w:tc>
      </w:tr>
      <w:tr>
        <w:tc>
          <w:tcPr>
            <w:tcW w:type="dxa" w:w="4320"/>
          </w:tcPr>
          <w:p>
            <w:r>
              <w:t>Core Capabilities</w:t>
            </w:r>
          </w:p>
        </w:tc>
        <w:tc>
          <w:tcPr>
            <w:tcW w:type="dxa" w:w="4320"/>
          </w:tcPr>
          <w:p>
            <w:r>
              <w:t>Acid dew point margin (Verhoff–Banchero), steaming detection, ε-NTU effectiveness, ML soot blowing optimization, SHAP/LIME explainability, zero-hallucination thermodynamic calculations</w:t>
            </w:r>
          </w:p>
        </w:tc>
      </w:tr>
    </w:tbl>
    <w:p/>
    <w:p>
      <w:pPr>
        <w:pStyle w:val="Heading1"/>
      </w:pPr>
      <w:r>
        <w:t>1. Executive Summary</w:t>
      </w:r>
    </w:p>
    <w:p>
      <w:r>
        <w:t>GL-020 (ECONOPULSE) is an integrated monitoring and optimization agent for boiler/HRSG economizers. It combines deterministic thermodynamic calculations with interpretable machine learning to: (i) prevent cold-end corrosion by continuously tracking sulphuric acid dew point and margin, (ii) detect steaming/boiling risk in economizer circuits, (iii) quantify heat transfer effectiveness and fouling using ε-NTU, and (iv) optimize soot blowing/cleaning decisions while explaining every recommendation.</w:t>
      </w:r>
    </w:p>
    <w:p>
      <w:r>
        <w:t>This document is a build-and-run playbook for all teams (AI/ML, development, data engineering, thermal/plant engineering, instrumentation &amp; controls, reliability/CMMS, and climate intelligence). It specifies required data, engineering models, mathematics, validation requirements, integration architecture, and deliverables to reach an auditable, safe, and operations-ready deployment.</w:t>
      </w:r>
    </w:p>
    <w:p>
      <w:pPr>
        <w:pStyle w:val="Heading1"/>
      </w:pPr>
      <w:r>
        <w:t>2. System Scope and Boundaries</w:t>
      </w:r>
    </w:p>
    <w:p>
      <w:r>
        <w:t>In-scope:</w:t>
      </w:r>
    </w:p>
    <w:p>
      <w:pPr>
        <w:pStyle w:val="ListBullet"/>
      </w:pPr>
      <w:r>
        <w:t>Economizer (gas-side and water/steam-side) performance monitoring and diagnostics</w:t>
      </w:r>
    </w:p>
    <w:p>
      <w:pPr>
        <w:pStyle w:val="ListBullet"/>
      </w:pPr>
      <w:r>
        <w:t>Sulphuric acid dew point estimation using Verhoff–Banchero correlation and margin-to-dewpoint control signals</w:t>
      </w:r>
    </w:p>
    <w:p>
      <w:pPr>
        <w:pStyle w:val="ListBullet"/>
      </w:pPr>
      <w:r>
        <w:t>Steaming risk detection in economizer tubes (precursor detection to boiling/flow instabilities)</w:t>
      </w:r>
    </w:p>
    <w:p>
      <w:pPr>
        <w:pStyle w:val="ListBullet"/>
      </w:pPr>
      <w:r>
        <w:t>Heat-transfer effectiveness (ε), UA/NTU tracking, and fouling trend analytics</w:t>
      </w:r>
    </w:p>
    <w:p>
      <w:pPr>
        <w:pStyle w:val="ListBullet"/>
      </w:pPr>
      <w:r>
        <w:t>Soot blowing optimization and cleaning schedule recommendations integrated to CMMS</w:t>
      </w:r>
    </w:p>
    <w:p>
      <w:pPr>
        <w:pStyle w:val="ListBullet"/>
      </w:pPr>
      <w:r>
        <w:t>Explainability reports (SHAP global + LIME local) for every alert/recommendation</w:t>
      </w:r>
    </w:p>
    <w:p>
      <w:pPr>
        <w:pStyle w:val="ListBullet"/>
      </w:pPr>
      <w:r>
        <w:t>Operational dashboards, alerting, and audit logging</w:t>
      </w:r>
    </w:p>
    <w:p>
      <w:r>
        <w:t>Out-of-scope (unless explicitly added later):</w:t>
      </w:r>
    </w:p>
    <w:p>
      <w:pPr>
        <w:pStyle w:val="ListBullet"/>
      </w:pPr>
      <w:r>
        <w:t>Closed-loop control actions that directly manipulate dampers/valves without human confirmation</w:t>
      </w:r>
    </w:p>
    <w:p>
      <w:pPr>
        <w:pStyle w:val="ListBullet"/>
      </w:pPr>
      <w:r>
        <w:t>Full boiler combustion optimization (excess O₂, CO control) beyond the minimal inputs needed for dew point and heat balance</w:t>
      </w:r>
    </w:p>
    <w:p>
      <w:pPr>
        <w:pStyle w:val="ListBullet"/>
      </w:pPr>
      <w:r>
        <w:t>Materials selection redesign; GL-020 provides risk signals, not metallurgical redesign</w:t>
      </w:r>
    </w:p>
    <w:p>
      <w:pPr>
        <w:pStyle w:val="Heading1"/>
      </w:pPr>
      <w:r>
        <w:t>3. Teams and Responsibilities (What Each Team Must Do)</w:t>
      </w:r>
    </w:p>
    <w:p>
      <w:r>
        <w:t>The program succeeds only if each team delivers specific artifacts. The table below is a minimum RACI-style allocation.</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Workstream</w:t>
            </w:r>
          </w:p>
        </w:tc>
        <w:tc>
          <w:tcPr>
            <w:tcW w:type="dxa" w:w="1440"/>
          </w:tcPr>
          <w:p>
            <w:r>
              <w:t>AI/ML</w:t>
            </w:r>
          </w:p>
        </w:tc>
        <w:tc>
          <w:tcPr>
            <w:tcW w:type="dxa" w:w="1440"/>
          </w:tcPr>
          <w:p>
            <w:r>
              <w:t>Dev</w:t>
            </w:r>
          </w:p>
        </w:tc>
        <w:tc>
          <w:tcPr>
            <w:tcW w:type="dxa" w:w="1440"/>
          </w:tcPr>
          <w:p>
            <w:r>
              <w:t>Data Eng</w:t>
            </w:r>
          </w:p>
        </w:tc>
        <w:tc>
          <w:tcPr>
            <w:tcW w:type="dxa" w:w="1440"/>
          </w:tcPr>
          <w:p>
            <w:r>
              <w:t>Thermal/Plant Eng</w:t>
            </w:r>
          </w:p>
        </w:tc>
        <w:tc>
          <w:tcPr>
            <w:tcW w:type="dxa" w:w="1440"/>
          </w:tcPr>
          <w:p>
            <w:r>
              <w:t>Reliability/CMMS</w:t>
            </w:r>
          </w:p>
        </w:tc>
      </w:tr>
      <w:tr>
        <w:tc>
          <w:tcPr>
            <w:tcW w:type="dxa" w:w="1440"/>
          </w:tcPr>
          <w:p>
            <w:r>
              <w:t>Tag list + instrumentation spec</w:t>
            </w:r>
          </w:p>
        </w:tc>
        <w:tc>
          <w:tcPr>
            <w:tcW w:type="dxa" w:w="1440"/>
          </w:tcPr>
          <w:p>
            <w:r>
              <w:t>C</w:t>
            </w:r>
          </w:p>
        </w:tc>
        <w:tc>
          <w:tcPr>
            <w:tcW w:type="dxa" w:w="1440"/>
          </w:tcPr>
          <w:p>
            <w:r>
              <w:t>I</w:t>
            </w:r>
          </w:p>
        </w:tc>
        <w:tc>
          <w:tcPr>
            <w:tcW w:type="dxa" w:w="1440"/>
          </w:tcPr>
          <w:p>
            <w:r>
              <w:t>C</w:t>
            </w:r>
          </w:p>
        </w:tc>
        <w:tc>
          <w:tcPr>
            <w:tcW w:type="dxa" w:w="1440"/>
          </w:tcPr>
          <w:p>
            <w:r>
              <w:t>R</w:t>
            </w:r>
          </w:p>
        </w:tc>
        <w:tc>
          <w:tcPr>
            <w:tcW w:type="dxa" w:w="1440"/>
          </w:tcPr>
          <w:p>
            <w:r>
              <w:t>C</w:t>
            </w:r>
          </w:p>
        </w:tc>
      </w:tr>
      <w:tr>
        <w:tc>
          <w:tcPr>
            <w:tcW w:type="dxa" w:w="1440"/>
          </w:tcPr>
          <w:p>
            <w:r>
              <w:t>OPC-UA → Kafka ingestion + schemas</w:t>
            </w:r>
          </w:p>
        </w:tc>
        <w:tc>
          <w:tcPr>
            <w:tcW w:type="dxa" w:w="1440"/>
          </w:tcPr>
          <w:p>
            <w:r>
              <w:t>I</w:t>
            </w:r>
          </w:p>
        </w:tc>
        <w:tc>
          <w:tcPr>
            <w:tcW w:type="dxa" w:w="1440"/>
          </w:tcPr>
          <w:p>
            <w:r>
              <w:t>C</w:t>
            </w:r>
          </w:p>
        </w:tc>
        <w:tc>
          <w:tcPr>
            <w:tcW w:type="dxa" w:w="1440"/>
          </w:tcPr>
          <w:p>
            <w:r>
              <w:t>R</w:t>
            </w:r>
          </w:p>
        </w:tc>
        <w:tc>
          <w:tcPr>
            <w:tcW w:type="dxa" w:w="1440"/>
          </w:tcPr>
          <w:p>
            <w:r>
              <w:t>C</w:t>
            </w:r>
          </w:p>
        </w:tc>
        <w:tc>
          <w:tcPr>
            <w:tcW w:type="dxa" w:w="1440"/>
          </w:tcPr>
          <w:p>
            <w:r>
              <w:t>I</w:t>
            </w:r>
          </w:p>
        </w:tc>
      </w:tr>
      <w:tr>
        <w:tc>
          <w:tcPr>
            <w:tcW w:type="dxa" w:w="1440"/>
          </w:tcPr>
          <w:p>
            <w:r>
              <w:t>Deterministic thermodynamic engine + unit tests</w:t>
            </w:r>
          </w:p>
        </w:tc>
        <w:tc>
          <w:tcPr>
            <w:tcW w:type="dxa" w:w="1440"/>
          </w:tcPr>
          <w:p>
            <w:r>
              <w:t>C</w:t>
            </w:r>
          </w:p>
        </w:tc>
        <w:tc>
          <w:tcPr>
            <w:tcW w:type="dxa" w:w="1440"/>
          </w:tcPr>
          <w:p>
            <w:r>
              <w:t>R</w:t>
            </w:r>
          </w:p>
        </w:tc>
        <w:tc>
          <w:tcPr>
            <w:tcW w:type="dxa" w:w="1440"/>
          </w:tcPr>
          <w:p>
            <w:r>
              <w:t>C</w:t>
            </w:r>
          </w:p>
        </w:tc>
        <w:tc>
          <w:tcPr>
            <w:tcW w:type="dxa" w:w="1440"/>
          </w:tcPr>
          <w:p>
            <w:r>
              <w:t>R</w:t>
            </w:r>
          </w:p>
        </w:tc>
        <w:tc>
          <w:tcPr>
            <w:tcW w:type="dxa" w:w="1440"/>
          </w:tcPr>
          <w:p>
            <w:r>
              <w:t>I</w:t>
            </w:r>
          </w:p>
        </w:tc>
      </w:tr>
      <w:tr>
        <w:tc>
          <w:tcPr>
            <w:tcW w:type="dxa" w:w="1440"/>
          </w:tcPr>
          <w:p>
            <w:r>
              <w:t>Acid dew point + corrosion risk model</w:t>
            </w:r>
          </w:p>
        </w:tc>
        <w:tc>
          <w:tcPr>
            <w:tcW w:type="dxa" w:w="1440"/>
          </w:tcPr>
          <w:p>
            <w:r>
              <w:t>C</w:t>
            </w:r>
          </w:p>
        </w:tc>
        <w:tc>
          <w:tcPr>
            <w:tcW w:type="dxa" w:w="1440"/>
          </w:tcPr>
          <w:p>
            <w:r>
              <w:t>C</w:t>
            </w:r>
          </w:p>
        </w:tc>
        <w:tc>
          <w:tcPr>
            <w:tcW w:type="dxa" w:w="1440"/>
          </w:tcPr>
          <w:p>
            <w:r>
              <w:t>C</w:t>
            </w:r>
          </w:p>
        </w:tc>
        <w:tc>
          <w:tcPr>
            <w:tcW w:type="dxa" w:w="1440"/>
          </w:tcPr>
          <w:p>
            <w:r>
              <w:t>R</w:t>
            </w:r>
          </w:p>
        </w:tc>
        <w:tc>
          <w:tcPr>
            <w:tcW w:type="dxa" w:w="1440"/>
          </w:tcPr>
          <w:p>
            <w:r>
              <w:t>C</w:t>
            </w:r>
          </w:p>
        </w:tc>
      </w:tr>
      <w:tr>
        <w:tc>
          <w:tcPr>
            <w:tcW w:type="dxa" w:w="1440"/>
          </w:tcPr>
          <w:p>
            <w:r>
              <w:t>ε-NTU effectiveness + fouling analytics</w:t>
            </w:r>
          </w:p>
        </w:tc>
        <w:tc>
          <w:tcPr>
            <w:tcW w:type="dxa" w:w="1440"/>
          </w:tcPr>
          <w:p>
            <w:r>
              <w:t>C</w:t>
            </w:r>
          </w:p>
        </w:tc>
        <w:tc>
          <w:tcPr>
            <w:tcW w:type="dxa" w:w="1440"/>
          </w:tcPr>
          <w:p>
            <w:r>
              <w:t>C</w:t>
            </w:r>
          </w:p>
        </w:tc>
        <w:tc>
          <w:tcPr>
            <w:tcW w:type="dxa" w:w="1440"/>
          </w:tcPr>
          <w:p>
            <w:r>
              <w:t>C</w:t>
            </w:r>
          </w:p>
        </w:tc>
        <w:tc>
          <w:tcPr>
            <w:tcW w:type="dxa" w:w="1440"/>
          </w:tcPr>
          <w:p>
            <w:r>
              <w:t>R</w:t>
            </w:r>
          </w:p>
        </w:tc>
        <w:tc>
          <w:tcPr>
            <w:tcW w:type="dxa" w:w="1440"/>
          </w:tcPr>
          <w:p>
            <w:r>
              <w:t>C</w:t>
            </w:r>
          </w:p>
        </w:tc>
      </w:tr>
      <w:tr>
        <w:tc>
          <w:tcPr>
            <w:tcW w:type="dxa" w:w="1440"/>
          </w:tcPr>
          <w:p>
            <w:r>
              <w:t>Steaming detection ML + thresholds</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Soot blowing optimization (safe ML) + constraints</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R</w:t>
            </w:r>
          </w:p>
        </w:tc>
      </w:tr>
      <w:tr>
        <w:tc>
          <w:tcPr>
            <w:tcW w:type="dxa" w:w="1440"/>
          </w:tcPr>
          <w:p>
            <w:r>
              <w:t>SHAP/LIME explainability + report templates</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Dashboards + alerting + runbooks</w:t>
            </w:r>
          </w:p>
        </w:tc>
        <w:tc>
          <w:tcPr>
            <w:tcW w:type="dxa" w:w="1440"/>
          </w:tcPr>
          <w:p>
            <w:r>
              <w:t>C</w:t>
            </w:r>
          </w:p>
        </w:tc>
        <w:tc>
          <w:tcPr>
            <w:tcW w:type="dxa" w:w="1440"/>
          </w:tcPr>
          <w:p>
            <w:r>
              <w:t>R</w:t>
            </w:r>
          </w:p>
        </w:tc>
        <w:tc>
          <w:tcPr>
            <w:tcW w:type="dxa" w:w="1440"/>
          </w:tcPr>
          <w:p>
            <w:r>
              <w:t>C</w:t>
            </w:r>
          </w:p>
        </w:tc>
        <w:tc>
          <w:tcPr>
            <w:tcW w:type="dxa" w:w="1440"/>
          </w:tcPr>
          <w:p>
            <w:r>
              <w:t>C</w:t>
            </w:r>
          </w:p>
        </w:tc>
        <w:tc>
          <w:tcPr>
            <w:tcW w:type="dxa" w:w="1440"/>
          </w:tcPr>
          <w:p>
            <w:r>
              <w:t>R</w:t>
            </w:r>
          </w:p>
        </w:tc>
      </w:tr>
      <w:tr>
        <w:tc>
          <w:tcPr>
            <w:tcW w:type="dxa" w:w="1440"/>
          </w:tcPr>
          <w:p>
            <w:r>
              <w:t>CMMS integration (work orders, cleaning schedules)</w:t>
            </w:r>
          </w:p>
        </w:tc>
        <w:tc>
          <w:tcPr>
            <w:tcW w:type="dxa" w:w="1440"/>
          </w:tcPr>
          <w:p>
            <w:r>
              <w:t>I</w:t>
            </w:r>
          </w:p>
        </w:tc>
        <w:tc>
          <w:tcPr>
            <w:tcW w:type="dxa" w:w="1440"/>
          </w:tcPr>
          <w:p>
            <w:r>
              <w:t>C</w:t>
            </w:r>
          </w:p>
        </w:tc>
        <w:tc>
          <w:tcPr>
            <w:tcW w:type="dxa" w:w="1440"/>
          </w:tcPr>
          <w:p>
            <w:r>
              <w:t>C</w:t>
            </w:r>
          </w:p>
        </w:tc>
        <w:tc>
          <w:tcPr>
            <w:tcW w:type="dxa" w:w="1440"/>
          </w:tcPr>
          <w:p>
            <w:r>
              <w:t>C</w:t>
            </w:r>
          </w:p>
        </w:tc>
        <w:tc>
          <w:tcPr>
            <w:tcW w:type="dxa" w:w="1440"/>
          </w:tcPr>
          <w:p>
            <w:r>
              <w:t>R</w:t>
            </w:r>
          </w:p>
        </w:tc>
      </w:tr>
    </w:tbl>
    <w:p>
      <w:r>
        <w:t>Legend: R=Responsible, A=Accountable (program owner), C=Consulted, I=Informed. Program owner assigns A per site/business unit.</w:t>
      </w:r>
    </w:p>
    <w:p>
      <w:pPr>
        <w:pStyle w:val="Heading1"/>
      </w:pPr>
      <w:r>
        <w:t>4. Data Requirements (Inputs, Quality, and Engineering Rules)</w:t>
      </w:r>
    </w:p>
    <w:p>
      <w:pPr>
        <w:pStyle w:val="Heading2"/>
      </w:pPr>
      <w:r>
        <w:t>4.1 Minimum Required Tags (from the GL-020 definition)</w:t>
      </w:r>
    </w:p>
    <w:p>
      <w:r>
        <w:t>These tags are mandatory to compute the baseline features and deliver the contracted outputs.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Tag</w:t>
            </w:r>
          </w:p>
        </w:tc>
        <w:tc>
          <w:tcPr>
            <w:tcW w:type="dxa" w:w="1440"/>
          </w:tcPr>
          <w:p>
            <w:r>
              <w:t>Description</w:t>
            </w:r>
          </w:p>
        </w:tc>
        <w:tc>
          <w:tcPr>
            <w:tcW w:type="dxa" w:w="1440"/>
          </w:tcPr>
          <w:p>
            <w:r>
              <w:t>Units</w:t>
            </w:r>
          </w:p>
        </w:tc>
        <w:tc>
          <w:tcPr>
            <w:tcW w:type="dxa" w:w="1440"/>
          </w:tcPr>
          <w:p>
            <w:r>
              <w:t>Suggested Rate</w:t>
            </w:r>
          </w:p>
        </w:tc>
        <w:tc>
          <w:tcPr>
            <w:tcW w:type="dxa" w:w="1440"/>
          </w:tcPr>
          <w:p>
            <w:r>
              <w:t>Typical Range</w:t>
            </w:r>
          </w:p>
        </w:tc>
        <w:tc>
          <w:tcPr>
            <w:tcW w:type="dxa" w:w="1440"/>
          </w:tcPr>
          <w:p>
            <w:r>
              <w:t>Notes</w:t>
            </w:r>
          </w:p>
        </w:tc>
      </w:tr>
      <w:tr>
        <w:tc>
          <w:tcPr>
            <w:tcW w:type="dxa" w:w="1440"/>
          </w:tcPr>
          <w:p>
            <w:r>
              <w:t>Feedwater_T_in</w:t>
            </w:r>
          </w:p>
        </w:tc>
        <w:tc>
          <w:tcPr>
            <w:tcW w:type="dxa" w:w="1440"/>
          </w:tcPr>
          <w:p>
            <w:r>
              <w:t>Economizer inlet feedwater temperature</w:t>
            </w:r>
          </w:p>
        </w:tc>
        <w:tc>
          <w:tcPr>
            <w:tcW w:type="dxa" w:w="1440"/>
          </w:tcPr>
          <w:p>
            <w:r>
              <w:t>°C</w:t>
            </w:r>
          </w:p>
        </w:tc>
        <w:tc>
          <w:tcPr>
            <w:tcW w:type="dxa" w:w="1440"/>
          </w:tcPr>
          <w:p>
            <w:r>
              <w:t>1–5 s</w:t>
            </w:r>
          </w:p>
        </w:tc>
        <w:tc>
          <w:tcPr>
            <w:tcW w:type="dxa" w:w="1440"/>
          </w:tcPr>
          <w:p>
            <w:r>
              <w:t>80–250</w:t>
            </w:r>
          </w:p>
        </w:tc>
        <w:tc>
          <w:tcPr>
            <w:tcW w:type="dxa" w:w="1440"/>
          </w:tcPr>
          <w:p>
            <w:r>
              <w:t>Instrument at economizer inlet</w:t>
            </w:r>
          </w:p>
        </w:tc>
      </w:tr>
      <w:tr>
        <w:tc>
          <w:tcPr>
            <w:tcW w:type="dxa" w:w="1440"/>
          </w:tcPr>
          <w:p>
            <w:r>
              <w:t>Feedwater_T_out</w:t>
            </w:r>
          </w:p>
        </w:tc>
        <w:tc>
          <w:tcPr>
            <w:tcW w:type="dxa" w:w="1440"/>
          </w:tcPr>
          <w:p>
            <w:r>
              <w:t>Economizer outlet feedwater temperature</w:t>
            </w:r>
          </w:p>
        </w:tc>
        <w:tc>
          <w:tcPr>
            <w:tcW w:type="dxa" w:w="1440"/>
          </w:tcPr>
          <w:p>
            <w:r>
              <w:t>°C</w:t>
            </w:r>
          </w:p>
        </w:tc>
        <w:tc>
          <w:tcPr>
            <w:tcW w:type="dxa" w:w="1440"/>
          </w:tcPr>
          <w:p>
            <w:r>
              <w:t>1–5 s</w:t>
            </w:r>
          </w:p>
        </w:tc>
        <w:tc>
          <w:tcPr>
            <w:tcW w:type="dxa" w:w="1440"/>
          </w:tcPr>
          <w:p>
            <w:r>
              <w:t>90–300</w:t>
            </w:r>
          </w:p>
        </w:tc>
        <w:tc>
          <w:tcPr>
            <w:tcW w:type="dxa" w:w="1440"/>
          </w:tcPr>
          <w:p>
            <w:r>
              <w:t>If absent, derive from downstream tag</w:t>
            </w:r>
          </w:p>
        </w:tc>
      </w:tr>
      <w:tr>
        <w:tc>
          <w:tcPr>
            <w:tcW w:type="dxa" w:w="1440"/>
          </w:tcPr>
          <w:p>
            <w:r>
              <w:t>FlueGas_T_in</w:t>
            </w:r>
          </w:p>
        </w:tc>
        <w:tc>
          <w:tcPr>
            <w:tcW w:type="dxa" w:w="1440"/>
          </w:tcPr>
          <w:p>
            <w:r>
              <w:t>Economizer inlet flue gas temperature</w:t>
            </w:r>
          </w:p>
        </w:tc>
        <w:tc>
          <w:tcPr>
            <w:tcW w:type="dxa" w:w="1440"/>
          </w:tcPr>
          <w:p>
            <w:r>
              <w:t>°C</w:t>
            </w:r>
          </w:p>
        </w:tc>
        <w:tc>
          <w:tcPr>
            <w:tcW w:type="dxa" w:w="1440"/>
          </w:tcPr>
          <w:p>
            <w:r>
              <w:t>1–5 s</w:t>
            </w:r>
          </w:p>
        </w:tc>
        <w:tc>
          <w:tcPr>
            <w:tcW w:type="dxa" w:w="1440"/>
          </w:tcPr>
          <w:p>
            <w:r>
              <w:t>150–450</w:t>
            </w:r>
          </w:p>
        </w:tc>
        <w:tc>
          <w:tcPr>
            <w:tcW w:type="dxa" w:w="1440"/>
          </w:tcPr>
          <w:p>
            <w:r>
              <w:t>Upstream of economizer</w:t>
            </w:r>
          </w:p>
        </w:tc>
      </w:tr>
      <w:tr>
        <w:tc>
          <w:tcPr>
            <w:tcW w:type="dxa" w:w="1440"/>
          </w:tcPr>
          <w:p>
            <w:r>
              <w:t>FlueGas_T_out</w:t>
            </w:r>
          </w:p>
        </w:tc>
        <w:tc>
          <w:tcPr>
            <w:tcW w:type="dxa" w:w="1440"/>
          </w:tcPr>
          <w:p>
            <w:r>
              <w:t>Economizer outlet flue gas temperature</w:t>
            </w:r>
          </w:p>
        </w:tc>
        <w:tc>
          <w:tcPr>
            <w:tcW w:type="dxa" w:w="1440"/>
          </w:tcPr>
          <w:p>
            <w:r>
              <w:t>°C</w:t>
            </w:r>
          </w:p>
        </w:tc>
        <w:tc>
          <w:tcPr>
            <w:tcW w:type="dxa" w:w="1440"/>
          </w:tcPr>
          <w:p>
            <w:r>
              <w:t>1–5 s</w:t>
            </w:r>
          </w:p>
        </w:tc>
        <w:tc>
          <w:tcPr>
            <w:tcW w:type="dxa" w:w="1440"/>
          </w:tcPr>
          <w:p>
            <w:r>
              <w:t>90–250</w:t>
            </w:r>
          </w:p>
        </w:tc>
        <w:tc>
          <w:tcPr>
            <w:tcW w:type="dxa" w:w="1440"/>
          </w:tcPr>
          <w:p>
            <w:r>
              <w:t>Cold-end temperature critical for ADP margin</w:t>
            </w:r>
          </w:p>
        </w:tc>
      </w:tr>
      <w:tr>
        <w:tc>
          <w:tcPr>
            <w:tcW w:type="dxa" w:w="1440"/>
          </w:tcPr>
          <w:p>
            <w:r>
              <w:t>SO2_ppm</w:t>
            </w:r>
          </w:p>
        </w:tc>
        <w:tc>
          <w:tcPr>
            <w:tcW w:type="dxa" w:w="1440"/>
          </w:tcPr>
          <w:p>
            <w:r>
              <w:t>SO₂ concentration (wet or dry basis—must be specified)</w:t>
            </w:r>
          </w:p>
        </w:tc>
        <w:tc>
          <w:tcPr>
            <w:tcW w:type="dxa" w:w="1440"/>
          </w:tcPr>
          <w:p>
            <w:r>
              <w:t>ppmv</w:t>
            </w:r>
          </w:p>
        </w:tc>
        <w:tc>
          <w:tcPr>
            <w:tcW w:type="dxa" w:w="1440"/>
          </w:tcPr>
          <w:p>
            <w:r>
              <w:t>10–60 s</w:t>
            </w:r>
          </w:p>
        </w:tc>
        <w:tc>
          <w:tcPr>
            <w:tcW w:type="dxa" w:w="1440"/>
          </w:tcPr>
          <w:p>
            <w:r>
              <w:t>0–2000</w:t>
            </w:r>
          </w:p>
        </w:tc>
        <w:tc>
          <w:tcPr>
            <w:tcW w:type="dxa" w:w="1440"/>
          </w:tcPr>
          <w:p>
            <w:r>
              <w:t>Basis and conditioning must be consistent</w:t>
            </w:r>
          </w:p>
        </w:tc>
      </w:tr>
      <w:tr>
        <w:tc>
          <w:tcPr>
            <w:tcW w:type="dxa" w:w="1440"/>
          </w:tcPr>
          <w:p>
            <w:r>
              <w:t>SO3_ppm</w:t>
            </w:r>
          </w:p>
        </w:tc>
        <w:tc>
          <w:tcPr>
            <w:tcW w:type="dxa" w:w="1440"/>
          </w:tcPr>
          <w:p>
            <w:r>
              <w:t>SO₃ concentration (if measured); else estimated</w:t>
            </w:r>
          </w:p>
        </w:tc>
        <w:tc>
          <w:tcPr>
            <w:tcW w:type="dxa" w:w="1440"/>
          </w:tcPr>
          <w:p>
            <w:r>
              <w:t>ppmv</w:t>
            </w:r>
          </w:p>
        </w:tc>
        <w:tc>
          <w:tcPr>
            <w:tcW w:type="dxa" w:w="1440"/>
          </w:tcPr>
          <w:p>
            <w:r>
              <w:t>10–60 s</w:t>
            </w:r>
          </w:p>
        </w:tc>
        <w:tc>
          <w:tcPr>
            <w:tcW w:type="dxa" w:w="1440"/>
          </w:tcPr>
          <w:p>
            <w:r>
              <w:t>0–100</w:t>
            </w:r>
          </w:p>
        </w:tc>
        <w:tc>
          <w:tcPr>
            <w:tcW w:type="dxa" w:w="1440"/>
          </w:tcPr>
          <w:p>
            <w:r>
              <w:t>Direct measurement preferred but rare</w:t>
            </w:r>
          </w:p>
        </w:tc>
      </w:tr>
      <w:tr>
        <w:tc>
          <w:tcPr>
            <w:tcW w:type="dxa" w:w="1440"/>
          </w:tcPr>
          <w:p>
            <w:r>
              <w:t>FlueGas_Flow</w:t>
            </w:r>
          </w:p>
        </w:tc>
        <w:tc>
          <w:tcPr>
            <w:tcW w:type="dxa" w:w="1440"/>
          </w:tcPr>
          <w:p>
            <w:r>
              <w:t>Flue gas mass flow (or volumetric with P,T)</w:t>
            </w:r>
          </w:p>
        </w:tc>
        <w:tc>
          <w:tcPr>
            <w:tcW w:type="dxa" w:w="1440"/>
          </w:tcPr>
          <w:p>
            <w:r>
              <w:t>kg/s</w:t>
            </w:r>
          </w:p>
        </w:tc>
        <w:tc>
          <w:tcPr>
            <w:tcW w:type="dxa" w:w="1440"/>
          </w:tcPr>
          <w:p>
            <w:r>
              <w:t>1–5 s</w:t>
            </w:r>
          </w:p>
        </w:tc>
        <w:tc>
          <w:tcPr>
            <w:tcW w:type="dxa" w:w="1440"/>
          </w:tcPr>
          <w:p>
            <w:r>
              <w:t>site-specific</w:t>
            </w:r>
          </w:p>
        </w:tc>
        <w:tc>
          <w:tcPr>
            <w:tcW w:type="dxa" w:w="1440"/>
          </w:tcPr>
          <w:p>
            <w:r>
              <w:t>If volumetric, provide P &amp; T for conversion</w:t>
            </w:r>
          </w:p>
        </w:tc>
      </w:tr>
      <w:tr>
        <w:tc>
          <w:tcPr>
            <w:tcW w:type="dxa" w:w="1440"/>
          </w:tcPr>
          <w:p>
            <w:r>
              <w:t>Water_Flow</w:t>
            </w:r>
          </w:p>
        </w:tc>
        <w:tc>
          <w:tcPr>
            <w:tcW w:type="dxa" w:w="1440"/>
          </w:tcPr>
          <w:p>
            <w:r>
              <w:t>Feedwater mass flow through economizer</w:t>
            </w:r>
          </w:p>
        </w:tc>
        <w:tc>
          <w:tcPr>
            <w:tcW w:type="dxa" w:w="1440"/>
          </w:tcPr>
          <w:p>
            <w:r>
              <w:t>kg/s</w:t>
            </w:r>
          </w:p>
        </w:tc>
        <w:tc>
          <w:tcPr>
            <w:tcW w:type="dxa" w:w="1440"/>
          </w:tcPr>
          <w:p>
            <w:r>
              <w:t>1–5 s</w:t>
            </w:r>
          </w:p>
        </w:tc>
        <w:tc>
          <w:tcPr>
            <w:tcW w:type="dxa" w:w="1440"/>
          </w:tcPr>
          <w:p>
            <w:r>
              <w:t>site-specific</w:t>
            </w:r>
          </w:p>
        </w:tc>
        <w:tc>
          <w:tcPr>
            <w:tcW w:type="dxa" w:w="1440"/>
          </w:tcPr>
          <w:p>
            <w:r>
              <w:t>Mass flow preferred; else infer from DP + density</w:t>
            </w:r>
          </w:p>
        </w:tc>
      </w:tr>
      <w:tr>
        <w:tc>
          <w:tcPr>
            <w:tcW w:type="dxa" w:w="1440"/>
          </w:tcPr>
          <w:p>
            <w:r>
              <w:t>Fuel_Sulfur</w:t>
            </w:r>
          </w:p>
        </w:tc>
        <w:tc>
          <w:tcPr>
            <w:tcW w:type="dxa" w:w="1440"/>
          </w:tcPr>
          <w:p>
            <w:r>
              <w:t>Fuel sulphur content</w:t>
            </w:r>
          </w:p>
        </w:tc>
        <w:tc>
          <w:tcPr>
            <w:tcW w:type="dxa" w:w="1440"/>
          </w:tcPr>
          <w:p>
            <w:r>
              <w:t>wt% (or ppmw)</w:t>
            </w:r>
          </w:p>
        </w:tc>
        <w:tc>
          <w:tcPr>
            <w:tcW w:type="dxa" w:w="1440"/>
          </w:tcPr>
          <w:p>
            <w:r>
              <w:t>per batch / hourly</w:t>
            </w:r>
          </w:p>
        </w:tc>
        <w:tc>
          <w:tcPr>
            <w:tcW w:type="dxa" w:w="1440"/>
          </w:tcPr>
          <w:p>
            <w:r>
              <w:t>0–5</w:t>
            </w:r>
          </w:p>
        </w:tc>
        <w:tc>
          <w:tcPr>
            <w:tcW w:type="dxa" w:w="1440"/>
          </w:tcPr>
          <w:p>
            <w:r>
              <w:t>From lab/LIMS or fuel receipt</w:t>
            </w:r>
          </w:p>
        </w:tc>
      </w:tr>
      <w:tr>
        <w:tc>
          <w:tcPr>
            <w:tcW w:type="dxa" w:w="1440"/>
          </w:tcPr>
          <w:p>
            <w:r>
              <w:t>Ambient_RH</w:t>
            </w:r>
          </w:p>
        </w:tc>
        <w:tc>
          <w:tcPr>
            <w:tcW w:type="dxa" w:w="1440"/>
          </w:tcPr>
          <w:p>
            <w:r>
              <w:t>Ambient relative humidity</w:t>
            </w:r>
          </w:p>
        </w:tc>
        <w:tc>
          <w:tcPr>
            <w:tcW w:type="dxa" w:w="1440"/>
          </w:tcPr>
          <w:p>
            <w:r>
              <w:t>%RH</w:t>
            </w:r>
          </w:p>
        </w:tc>
        <w:tc>
          <w:tcPr>
            <w:tcW w:type="dxa" w:w="1440"/>
          </w:tcPr>
          <w:p>
            <w:r>
              <w:t>1–5 min</w:t>
            </w:r>
          </w:p>
        </w:tc>
        <w:tc>
          <w:tcPr>
            <w:tcW w:type="dxa" w:w="1440"/>
          </w:tcPr>
          <w:p>
            <w:r>
              <w:t>0–100</w:t>
            </w:r>
          </w:p>
        </w:tc>
        <w:tc>
          <w:tcPr>
            <w:tcW w:type="dxa" w:w="1440"/>
          </w:tcPr>
          <w:p>
            <w:r>
              <w:t>Used to estimate inlet moisture if needed</w:t>
            </w:r>
          </w:p>
        </w:tc>
      </w:tr>
      <w:tr>
        <w:tc>
          <w:tcPr>
            <w:tcW w:type="dxa" w:w="1440"/>
          </w:tcPr>
          <w:p>
            <w:r>
              <w:t>Operating_Load</w:t>
            </w:r>
          </w:p>
        </w:tc>
        <w:tc>
          <w:tcPr>
            <w:tcW w:type="dxa" w:w="1440"/>
          </w:tcPr>
          <w:p>
            <w:r>
              <w:t>Unit load (e.g., MW, tph steam, firing rate)</w:t>
            </w:r>
          </w:p>
        </w:tc>
        <w:tc>
          <w:tcPr>
            <w:tcW w:type="dxa" w:w="1440"/>
          </w:tcPr>
          <w:p>
            <w:r>
              <w:t>MW or %</w:t>
            </w:r>
          </w:p>
        </w:tc>
        <w:tc>
          <w:tcPr>
            <w:tcW w:type="dxa" w:w="1440"/>
          </w:tcPr>
          <w:p>
            <w:r>
              <w:t>1–5 s</w:t>
            </w:r>
          </w:p>
        </w:tc>
        <w:tc>
          <w:tcPr>
            <w:tcW w:type="dxa" w:w="1440"/>
          </w:tcPr>
          <w:p>
            <w:r>
              <w:t>0–100%</w:t>
            </w:r>
          </w:p>
        </w:tc>
        <w:tc>
          <w:tcPr>
            <w:tcW w:type="dxa" w:w="1440"/>
          </w:tcPr>
          <w:p>
            <w:r>
              <w:t>Used for normalization and baseline models</w:t>
            </w:r>
          </w:p>
        </w:tc>
      </w:tr>
    </w:tbl>
    <w:p>
      <w:r>
        <w:t>Engineering rule: every tag must have an explicit unit, time zone, and sensor provenance (location, model, calibration history).</w:t>
      </w:r>
    </w:p>
    <w:p>
      <w:pPr>
        <w:pStyle w:val="Heading2"/>
      </w:pPr>
      <w:r>
        <w:t>4.2 Strongly Recommended Tags (to enable high-fidelity calculations and fewer false alarms)</w:t>
      </w:r>
    </w:p>
    <w:p>
      <w:r>
        <w:t>GL-020 can run with the minimum set, but the following additions materially improve accuracy, especially for steaming detection and mass/energy balance closure.</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Tag</w:t>
            </w:r>
          </w:p>
        </w:tc>
        <w:tc>
          <w:tcPr>
            <w:tcW w:type="dxa" w:w="1440"/>
          </w:tcPr>
          <w:p>
            <w:r>
              <w:t>Description</w:t>
            </w:r>
          </w:p>
        </w:tc>
        <w:tc>
          <w:tcPr>
            <w:tcW w:type="dxa" w:w="1440"/>
          </w:tcPr>
          <w:p>
            <w:r>
              <w:t>Units</w:t>
            </w:r>
          </w:p>
        </w:tc>
        <w:tc>
          <w:tcPr>
            <w:tcW w:type="dxa" w:w="1440"/>
          </w:tcPr>
          <w:p>
            <w:r>
              <w:t>Suggested Rate</w:t>
            </w:r>
          </w:p>
        </w:tc>
        <w:tc>
          <w:tcPr>
            <w:tcW w:type="dxa" w:w="1440"/>
          </w:tcPr>
          <w:p>
            <w:r>
              <w:t>Why Needed</w:t>
            </w:r>
          </w:p>
        </w:tc>
        <w:tc>
          <w:tcPr>
            <w:tcW w:type="dxa" w:w="1440"/>
          </w:tcPr>
          <w:p>
            <w:r>
              <w:t>If Missing…</w:t>
            </w:r>
          </w:p>
        </w:tc>
      </w:tr>
      <w:tr>
        <w:tc>
          <w:tcPr>
            <w:tcW w:type="dxa" w:w="1440"/>
          </w:tcPr>
          <w:p>
            <w:r>
              <w:t>Boiler_Drum_P</w:t>
            </w:r>
          </w:p>
        </w:tc>
        <w:tc>
          <w:tcPr>
            <w:tcW w:type="dxa" w:w="1440"/>
          </w:tcPr>
          <w:p>
            <w:r>
              <w:t>Drum or economizer outlet pressure</w:t>
            </w:r>
          </w:p>
        </w:tc>
        <w:tc>
          <w:tcPr>
            <w:tcW w:type="dxa" w:w="1440"/>
          </w:tcPr>
          <w:p>
            <w:r>
              <w:t>bar(a)</w:t>
            </w:r>
          </w:p>
        </w:tc>
        <w:tc>
          <w:tcPr>
            <w:tcW w:type="dxa" w:w="1440"/>
          </w:tcPr>
          <w:p>
            <w:r>
              <w:t>1–5 s</w:t>
            </w:r>
          </w:p>
        </w:tc>
        <w:tc>
          <w:tcPr>
            <w:tcW w:type="dxa" w:w="1440"/>
          </w:tcPr>
          <w:p>
            <w:r>
              <w:t>Saturation temperature for steaming risk; enthalpy</w:t>
            </w:r>
          </w:p>
        </w:tc>
        <w:tc>
          <w:tcPr>
            <w:tcW w:type="dxa" w:w="1440"/>
          </w:tcPr>
          <w:p>
            <w:r>
              <w:t>Use conservative fixed sat margin; higher false positives</w:t>
            </w:r>
          </w:p>
        </w:tc>
      </w:tr>
      <w:tr>
        <w:tc>
          <w:tcPr>
            <w:tcW w:type="dxa" w:w="1440"/>
          </w:tcPr>
          <w:p>
            <w:r>
              <w:t>Feedwater_P_in/out</w:t>
            </w:r>
          </w:p>
        </w:tc>
        <w:tc>
          <w:tcPr>
            <w:tcW w:type="dxa" w:w="1440"/>
          </w:tcPr>
          <w:p>
            <w:r>
              <w:t>Economizer water-side pressure</w:t>
            </w:r>
          </w:p>
        </w:tc>
        <w:tc>
          <w:tcPr>
            <w:tcW w:type="dxa" w:w="1440"/>
          </w:tcPr>
          <w:p>
            <w:r>
              <w:t>bar(a)</w:t>
            </w:r>
          </w:p>
        </w:tc>
        <w:tc>
          <w:tcPr>
            <w:tcW w:type="dxa" w:w="1440"/>
          </w:tcPr>
          <w:p>
            <w:r>
              <w:t>1–5 s</w:t>
            </w:r>
          </w:p>
        </w:tc>
        <w:tc>
          <w:tcPr>
            <w:tcW w:type="dxa" w:w="1440"/>
          </w:tcPr>
          <w:p>
            <w:r>
              <w:t>Boiling margin and two-phase onset</w:t>
            </w:r>
          </w:p>
        </w:tc>
        <w:tc>
          <w:tcPr>
            <w:tcW w:type="dxa" w:w="1440"/>
          </w:tcPr>
          <w:p>
            <w:r>
              <w:t>Assume ≥ drum pressure</w:t>
            </w:r>
          </w:p>
        </w:tc>
      </w:tr>
      <w:tr>
        <w:tc>
          <w:tcPr>
            <w:tcW w:type="dxa" w:w="1440"/>
          </w:tcPr>
          <w:p>
            <w:r>
              <w:t>O2_pct</w:t>
            </w:r>
          </w:p>
        </w:tc>
        <w:tc>
          <w:tcPr>
            <w:tcW w:type="dxa" w:w="1440"/>
          </w:tcPr>
          <w:p>
            <w:r>
              <w:t>Flue gas oxygen</w:t>
            </w:r>
          </w:p>
        </w:tc>
        <w:tc>
          <w:tcPr>
            <w:tcW w:type="dxa" w:w="1440"/>
          </w:tcPr>
          <w:p>
            <w:r>
              <w:t>%</w:t>
            </w:r>
          </w:p>
        </w:tc>
        <w:tc>
          <w:tcPr>
            <w:tcW w:type="dxa" w:w="1440"/>
          </w:tcPr>
          <w:p>
            <w:r>
              <w:t>5–30 s</w:t>
            </w:r>
          </w:p>
        </w:tc>
        <w:tc>
          <w:tcPr>
            <w:tcW w:type="dxa" w:w="1440"/>
          </w:tcPr>
          <w:p>
            <w:r>
              <w:t>Infer excess air; affects H2O content estimate</w:t>
            </w:r>
          </w:p>
        </w:tc>
        <w:tc>
          <w:tcPr>
            <w:tcW w:type="dxa" w:w="1440"/>
          </w:tcPr>
          <w:p>
            <w:r>
              <w:t>Estimate H2O from fuel/air stoichiometry with wider uncertainty</w:t>
            </w:r>
          </w:p>
        </w:tc>
      </w:tr>
      <w:tr>
        <w:tc>
          <w:tcPr>
            <w:tcW w:type="dxa" w:w="1440"/>
          </w:tcPr>
          <w:p>
            <w:r>
              <w:t>CO_ppm</w:t>
            </w:r>
          </w:p>
        </w:tc>
        <w:tc>
          <w:tcPr>
            <w:tcW w:type="dxa" w:w="1440"/>
          </w:tcPr>
          <w:p>
            <w:r>
              <w:t>Carbon monoxide</w:t>
            </w:r>
          </w:p>
        </w:tc>
        <w:tc>
          <w:tcPr>
            <w:tcW w:type="dxa" w:w="1440"/>
          </w:tcPr>
          <w:p>
            <w:r>
              <w:t>ppmv</w:t>
            </w:r>
          </w:p>
        </w:tc>
        <w:tc>
          <w:tcPr>
            <w:tcW w:type="dxa" w:w="1440"/>
          </w:tcPr>
          <w:p>
            <w:r>
              <w:t>5–30 s</w:t>
            </w:r>
          </w:p>
        </w:tc>
        <w:tc>
          <w:tcPr>
            <w:tcW w:type="dxa" w:w="1440"/>
          </w:tcPr>
          <w:p>
            <w:r>
              <w:t>Indicates combustion quality (affects SO3 formation catalysts/temperature)</w:t>
            </w:r>
          </w:p>
        </w:tc>
        <w:tc>
          <w:tcPr>
            <w:tcW w:type="dxa" w:w="1440"/>
          </w:tcPr>
          <w:p>
            <w:r>
              <w:t>No direct replacement; flag as unknown</w:t>
            </w:r>
          </w:p>
        </w:tc>
      </w:tr>
      <w:tr>
        <w:tc>
          <w:tcPr>
            <w:tcW w:type="dxa" w:w="1440"/>
          </w:tcPr>
          <w:p>
            <w:r>
              <w:t>FlueGas_P</w:t>
            </w:r>
          </w:p>
        </w:tc>
        <w:tc>
          <w:tcPr>
            <w:tcW w:type="dxa" w:w="1440"/>
          </w:tcPr>
          <w:p>
            <w:r>
              <w:t>Economizer gas-side pressure</w:t>
            </w:r>
          </w:p>
        </w:tc>
        <w:tc>
          <w:tcPr>
            <w:tcW w:type="dxa" w:w="1440"/>
          </w:tcPr>
          <w:p>
            <w:r>
              <w:t>Pa or kPa</w:t>
            </w:r>
          </w:p>
        </w:tc>
        <w:tc>
          <w:tcPr>
            <w:tcW w:type="dxa" w:w="1440"/>
          </w:tcPr>
          <w:p>
            <w:r>
              <w:t>10–60 s</w:t>
            </w:r>
          </w:p>
        </w:tc>
        <w:tc>
          <w:tcPr>
            <w:tcW w:type="dxa" w:w="1440"/>
          </w:tcPr>
          <w:p>
            <w:r>
              <w:t>Partial pressure conversion for ADP correlation</w:t>
            </w:r>
          </w:p>
        </w:tc>
        <w:tc>
          <w:tcPr>
            <w:tcW w:type="dxa" w:w="1440"/>
          </w:tcPr>
          <w:p>
            <w:r>
              <w:t>Assume 1 atm and quantify uncertainty</w:t>
            </w:r>
          </w:p>
        </w:tc>
      </w:tr>
      <w:tr>
        <w:tc>
          <w:tcPr>
            <w:tcW w:type="dxa" w:w="1440"/>
          </w:tcPr>
          <w:p>
            <w:r>
              <w:t>Gas_DP</w:t>
            </w:r>
          </w:p>
        </w:tc>
        <w:tc>
          <w:tcPr>
            <w:tcW w:type="dxa" w:w="1440"/>
          </w:tcPr>
          <w:p>
            <w:r>
              <w:t>Gas-side differential pressure across economizer</w:t>
            </w:r>
          </w:p>
        </w:tc>
        <w:tc>
          <w:tcPr>
            <w:tcW w:type="dxa" w:w="1440"/>
          </w:tcPr>
          <w:p>
            <w:r>
              <w:t>Pa</w:t>
            </w:r>
          </w:p>
        </w:tc>
        <w:tc>
          <w:tcPr>
            <w:tcW w:type="dxa" w:w="1440"/>
          </w:tcPr>
          <w:p>
            <w:r>
              <w:t>10–60 s</w:t>
            </w:r>
          </w:p>
        </w:tc>
        <w:tc>
          <w:tcPr>
            <w:tcW w:type="dxa" w:w="1440"/>
          </w:tcPr>
          <w:p>
            <w:r>
              <w:t>Fouling/plugging indicator; improves soot blowing model</w:t>
            </w:r>
          </w:p>
        </w:tc>
        <w:tc>
          <w:tcPr>
            <w:tcW w:type="dxa" w:w="1440"/>
          </w:tcPr>
          <w:p>
            <w:r>
              <w:t>Infer fouling only via effectiveness trend</w:t>
            </w:r>
          </w:p>
        </w:tc>
      </w:tr>
      <w:tr>
        <w:tc>
          <w:tcPr>
            <w:tcW w:type="dxa" w:w="1440"/>
          </w:tcPr>
          <w:p>
            <w:r>
              <w:t>Water_DP</w:t>
            </w:r>
          </w:p>
        </w:tc>
        <w:tc>
          <w:tcPr>
            <w:tcW w:type="dxa" w:w="1440"/>
          </w:tcPr>
          <w:p>
            <w:r>
              <w:t>Water-side differential pressure</w:t>
            </w:r>
          </w:p>
        </w:tc>
        <w:tc>
          <w:tcPr>
            <w:tcW w:type="dxa" w:w="1440"/>
          </w:tcPr>
          <w:p>
            <w:r>
              <w:t>kPa</w:t>
            </w:r>
          </w:p>
        </w:tc>
        <w:tc>
          <w:tcPr>
            <w:tcW w:type="dxa" w:w="1440"/>
          </w:tcPr>
          <w:p>
            <w:r>
              <w:t>10–60 s</w:t>
            </w:r>
          </w:p>
        </w:tc>
        <w:tc>
          <w:tcPr>
            <w:tcW w:type="dxa" w:w="1440"/>
          </w:tcPr>
          <w:p>
            <w:r>
              <w:t>Flow anomalies, steaming precursors</w:t>
            </w:r>
          </w:p>
        </w:tc>
        <w:tc>
          <w:tcPr>
            <w:tcW w:type="dxa" w:w="1440"/>
          </w:tcPr>
          <w:p>
            <w:r>
              <w:t>Rely on flowmeter only</w:t>
            </w:r>
          </w:p>
        </w:tc>
      </w:tr>
      <w:tr>
        <w:tc>
          <w:tcPr>
            <w:tcW w:type="dxa" w:w="1440"/>
          </w:tcPr>
          <w:p>
            <w:r>
              <w:t>Sootblower_Status</w:t>
            </w:r>
          </w:p>
        </w:tc>
        <w:tc>
          <w:tcPr>
            <w:tcW w:type="dxa" w:w="1440"/>
          </w:tcPr>
          <w:p>
            <w:r>
              <w:t>Per-blower on/off and last-run timestamps</w:t>
            </w:r>
          </w:p>
        </w:tc>
        <w:tc>
          <w:tcPr>
            <w:tcW w:type="dxa" w:w="1440"/>
          </w:tcPr>
          <w:p>
            <w:r>
              <w:t>bool/time</w:t>
            </w:r>
          </w:p>
        </w:tc>
        <w:tc>
          <w:tcPr>
            <w:tcW w:type="dxa" w:w="1440"/>
          </w:tcPr>
          <w:p>
            <w:r>
              <w:t>event-driven</w:t>
            </w:r>
          </w:p>
        </w:tc>
        <w:tc>
          <w:tcPr>
            <w:tcW w:type="dxa" w:w="1440"/>
          </w:tcPr>
          <w:p>
            <w:r>
              <w:t>Attribution of performance recovery</w:t>
            </w:r>
          </w:p>
        </w:tc>
        <w:tc>
          <w:tcPr>
            <w:tcW w:type="dxa" w:w="1440"/>
          </w:tcPr>
          <w:p>
            <w:r>
              <w:t>Treat as unknown intervention</w:t>
            </w:r>
          </w:p>
        </w:tc>
      </w:tr>
      <w:tr>
        <w:tc>
          <w:tcPr>
            <w:tcW w:type="dxa" w:w="1440"/>
          </w:tcPr>
          <w:p>
            <w:r>
              <w:t>Sootblower_Steam_Flow</w:t>
            </w:r>
          </w:p>
        </w:tc>
        <w:tc>
          <w:tcPr>
            <w:tcW w:type="dxa" w:w="1440"/>
          </w:tcPr>
          <w:p>
            <w:r>
              <w:t>Steam usage by soot blowing</w:t>
            </w:r>
          </w:p>
        </w:tc>
        <w:tc>
          <w:tcPr>
            <w:tcW w:type="dxa" w:w="1440"/>
          </w:tcPr>
          <w:p>
            <w:r>
              <w:t>kg/s</w:t>
            </w:r>
          </w:p>
        </w:tc>
        <w:tc>
          <w:tcPr>
            <w:tcW w:type="dxa" w:w="1440"/>
          </w:tcPr>
          <w:p>
            <w:r>
              <w:t>10–60 s</w:t>
            </w:r>
          </w:p>
        </w:tc>
        <w:tc>
          <w:tcPr>
            <w:tcW w:type="dxa" w:w="1440"/>
          </w:tcPr>
          <w:p>
            <w:r>
              <w:t>Optimization objective (cost)</w:t>
            </w:r>
          </w:p>
        </w:tc>
        <w:tc>
          <w:tcPr>
            <w:tcW w:type="dxa" w:w="1440"/>
          </w:tcPr>
          <w:p>
            <w:r>
              <w:t>Approximate from valve open or nameplate</w:t>
            </w:r>
          </w:p>
        </w:tc>
      </w:tr>
      <w:tr>
        <w:tc>
          <w:tcPr>
            <w:tcW w:type="dxa" w:w="1440"/>
          </w:tcPr>
          <w:p>
            <w:r>
              <w:t>Water_Chemistry_pH/Cond/Silica/O2</w:t>
            </w:r>
          </w:p>
        </w:tc>
        <w:tc>
          <w:tcPr>
            <w:tcW w:type="dxa" w:w="1440"/>
          </w:tcPr>
          <w:p>
            <w:r>
              <w:t>Water treatment indicators</w:t>
            </w:r>
          </w:p>
        </w:tc>
        <w:tc>
          <w:tcPr>
            <w:tcW w:type="dxa" w:w="1440"/>
          </w:tcPr>
          <w:p>
            <w:r>
              <w:t>various</w:t>
            </w:r>
          </w:p>
        </w:tc>
        <w:tc>
          <w:tcPr>
            <w:tcW w:type="dxa" w:w="1440"/>
          </w:tcPr>
          <w:p>
            <w:r>
              <w:t>5–60 min</w:t>
            </w:r>
          </w:p>
        </w:tc>
        <w:tc>
          <w:tcPr>
            <w:tcW w:type="dxa" w:w="1440"/>
          </w:tcPr>
          <w:p>
            <w:r>
              <w:t>Scaling risk; confounds effectiveness and corrosion signals</w:t>
            </w:r>
          </w:p>
        </w:tc>
        <w:tc>
          <w:tcPr>
            <w:tcW w:type="dxa" w:w="1440"/>
          </w:tcPr>
          <w:p>
            <w:r>
              <w:t>Increase model uncertainty; do not auto-schedule cleaning</w:t>
            </w:r>
          </w:p>
        </w:tc>
      </w:tr>
      <w:tr>
        <w:tc>
          <w:tcPr>
            <w:tcW w:type="dxa" w:w="1440"/>
          </w:tcPr>
          <w:p>
            <w:r>
              <w:t>Metal_T_skin</w:t>
            </w:r>
          </w:p>
        </w:tc>
        <w:tc>
          <w:tcPr>
            <w:tcW w:type="dxa" w:w="1440"/>
          </w:tcPr>
          <w:p>
            <w:r>
              <w:t>Tube skin or metal temp (if available)</w:t>
            </w:r>
          </w:p>
        </w:tc>
        <w:tc>
          <w:tcPr>
            <w:tcW w:type="dxa" w:w="1440"/>
          </w:tcPr>
          <w:p>
            <w:r>
              <w:t>°C</w:t>
            </w:r>
          </w:p>
        </w:tc>
        <w:tc>
          <w:tcPr>
            <w:tcW w:type="dxa" w:w="1440"/>
          </w:tcPr>
          <w:p>
            <w:r>
              <w:t>10–60 s</w:t>
            </w:r>
          </w:p>
        </w:tc>
        <w:tc>
          <w:tcPr>
            <w:tcW w:type="dxa" w:w="1440"/>
          </w:tcPr>
          <w:p>
            <w:r>
              <w:t>Direct corrosion/condensation risk check</w:t>
            </w:r>
          </w:p>
        </w:tc>
        <w:tc>
          <w:tcPr>
            <w:tcW w:type="dxa" w:w="1440"/>
          </w:tcPr>
          <w:p>
            <w:r>
              <w:t>Use inferred metal temp with error bounds</w:t>
            </w:r>
          </w:p>
        </w:tc>
      </w:tr>
    </w:tbl>
    <w:p>
      <w:pPr>
        <w:pStyle w:val="Heading2"/>
      </w:pPr>
      <w:r>
        <w:t>4.3 Data Quality Gates (Non-negotiable)</w:t>
      </w:r>
    </w:p>
    <w:p>
      <w:pPr>
        <w:pStyle w:val="ListNumber"/>
      </w:pPr>
      <w:r>
        <w:t>Time synchronization: all sources aligned to a common NTP reference; max skew ≤ 1 s for 1–5 s tags.</w:t>
      </w:r>
    </w:p>
    <w:p>
      <w:pPr>
        <w:pStyle w:val="ListNumber"/>
      </w:pPr>
      <w:r>
        <w:t>Completeness: ≥ 99% availability per day for critical temperatures and flows; gaps &gt; 60 s trigger degraded-mode flag.</w:t>
      </w:r>
    </w:p>
    <w:p>
      <w:pPr>
        <w:pStyle w:val="ListNumber"/>
      </w:pPr>
      <w:r>
        <w:t>Calibration: temperature sensors documented accuracy (target ±0.5°C) and annual calibration evidence.</w:t>
      </w:r>
    </w:p>
    <w:p>
      <w:pPr>
        <w:pStyle w:val="ListNumber"/>
      </w:pPr>
      <w:r>
        <w:t>Range + rate-of-change validation: hard bounds and physics-informed ramp rates; outliers quarantined with reason codes.</w:t>
      </w:r>
    </w:p>
    <w:p>
      <w:pPr>
        <w:pStyle w:val="ListNumber"/>
      </w:pPr>
      <w:r>
        <w:t>Mass/energy balance closure: rolling residuals computed; if residual exceeds threshold, models revert to conservative mode.</w:t>
      </w:r>
    </w:p>
    <w:p>
      <w:pPr>
        <w:pStyle w:val="Heading1"/>
      </w:pPr>
      <w:r>
        <w:t>5. Reference Architecture (OPC-UA + Kafka + Analytics + CMMS)</w:t>
      </w:r>
    </w:p>
    <w:p>
      <w:r>
        <w:t>GL-020 follows an auditable streaming architecture with deterministic calculations at the core and ML as an overlay.</w:t>
      </w:r>
    </w:p>
    <w:p>
      <w:r>
        <w:rPr>
          <w:rFonts w:ascii="Courier New" w:hAnsi="Courier New"/>
          <w:sz w:val="20"/>
        </w:rPr>
        <w:t>Plant Sensors/PLC/DCS</w:t>
        <w:br/>
        <w:t xml:space="preserve">   └─ OPC-UA (secure gateway)</w:t>
        <w:br/>
        <w:t xml:space="preserve">        └─ Kafka topics (raw telemetry, event topics)</w:t>
        <w:br/>
        <w:t xml:space="preserve">              ├─ Stream processor (validation, unit normalization, interpolation)</w:t>
        <w:br/>
        <w:t xml:space="preserve">              ├─ Thermo Calc Service (deterministic, unit-aware)</w:t>
        <w:br/>
        <w:t xml:space="preserve">              ├─ Feature Builder (windowed stats, lags, derived variables)</w:t>
        <w:br/>
        <w:t xml:space="preserve">              ├─ Model Scoring Service (steaming, soot blowing, corrosion risk)</w:t>
        <w:br/>
        <w:t xml:space="preserve">              ├─ Explainability Service (SHAP global + LIME per decision)</w:t>
        <w:br/>
        <w:t xml:space="preserve">              ├─ Alerting Service (rules + ML thresholds; escalation)</w:t>
        <w:br/>
        <w:t xml:space="preserve">              └─ Storage (time-series DB + data lake + feature store)</w:t>
        <w:br/>
        <w:t xml:space="preserve">                           └─ Dashboards / Reporting</w:t>
        <w:br/>
        <w:t xml:space="preserve">                           └─ CMMS integration (work orders, schedules)</w:t>
        <w:br/>
      </w:r>
    </w:p>
    <w:p>
      <w:r>
        <w:t>Integration commitments: OPC-UA namespace mapping, Kafka topic naming/versioning, and CMMS connector behavior are defined in Appendix B (Schemas).</w:t>
      </w:r>
    </w:p>
    <w:p>
      <w:pPr>
        <w:pStyle w:val="Heading1"/>
      </w:pPr>
      <w:r>
        <w:t>6. Engineering and Mathematics (Deterministic Core)</w:t>
      </w:r>
    </w:p>
    <w:p>
      <w:pPr>
        <w:pStyle w:val="Heading2"/>
      </w:pPr>
      <w:r>
        <w:t>6.1 Zero-Hallucination Thermodynamic Calculation Principle</w:t>
      </w:r>
    </w:p>
    <w:p>
      <w:r>
        <w:t>All thermodynamic quantities used for alarms, KPIs, and optimization must be computed using deterministic code paths with explicit units and bounded assumptions. The language model (if used for narrative reporting) MUST NOT generate numeric results. Numeric outputs originate only from the validated calculation engine and recorded inputs.</w:t>
      </w:r>
    </w:p>
    <w:p>
      <w:r>
        <w:t>Mandatory design controls:</w:t>
      </w:r>
    </w:p>
    <w:p>
      <w:pPr>
        <w:pStyle w:val="ListBullet"/>
      </w:pPr>
      <w:r>
        <w:t>Unit-aware computation (e.g., Pint) with explicit conversions; reject unitless inputs.</w:t>
      </w:r>
    </w:p>
    <w:p>
      <w:pPr>
        <w:pStyle w:val="ListBullet"/>
      </w:pPr>
      <w:r>
        <w:t>Property libraries: IAPWS-IF97 (water/steam) for enthalpy/saturation temperature; documented cp correlations for flue gas.</w:t>
      </w:r>
    </w:p>
    <w:p>
      <w:pPr>
        <w:pStyle w:val="ListBullet"/>
      </w:pPr>
      <w:r>
        <w:t>Versioned parameter sets (fuel LHV, sulphur conversion defaults, heat transfer area, design UA) stored in config management.</w:t>
      </w:r>
    </w:p>
    <w:p>
      <w:pPr>
        <w:pStyle w:val="ListBullet"/>
      </w:pPr>
      <w:r>
        <w:t>Deterministic replay: ability to replay any event window and reproduce identical outputs (same inputs + same versions).</w:t>
      </w:r>
    </w:p>
    <w:p>
      <w:pPr>
        <w:pStyle w:val="ListBullet"/>
      </w:pPr>
      <w:r>
        <w:t>Comprehensive unit tests: compare to hand calculations and reference tools; maintain tolerances per variable.</w:t>
      </w:r>
    </w:p>
    <w:p>
      <w:pPr>
        <w:pStyle w:val="Heading2"/>
      </w:pPr>
      <w:r>
        <w:t>6.2 Sulphuric Acid Dew Point (Verhoff–Banchero)</w:t>
      </w:r>
    </w:p>
    <w:p>
      <w:r>
        <w:t>GL-020 computes the sulphuric acid dew point (T_ADP) primarily using the Verhoff–Banchero (1974) correlation, expressed in terms of the partial pressures of water vapor and SO₃.</w:t>
      </w:r>
    </w:p>
    <w:p>
      <w:r>
        <w:t>Correlation (Verhoff–Banchero):</w:t>
      </w:r>
    </w:p>
    <w:p>
      <w:pPr>
        <w:pStyle w:val="IntenseQuote"/>
      </w:pPr>
      <w:r>
        <w:t>1000 / T[K] = 2.276 − 0.02943·ln(P_H2O) − 0.0858·ln(P_SO3) + 0.0062·ln(P_H2O)·ln(P_SO3)</w:t>
      </w:r>
    </w:p>
    <w:p>
      <w:r>
        <w:t>Where P_H2O and P_SO3 are partial pressures in mmHg (Torr). Computation steps:</w:t>
      </w:r>
    </w:p>
    <w:p>
      <w:pPr>
        <w:pStyle w:val="ListNumber"/>
      </w:pPr>
      <w:r>
        <w:t>Determine total flue gas absolute pressure P_total (preferred from tag; else assume 1 atm and record uncertainty).</w:t>
      </w:r>
    </w:p>
    <w:p>
      <w:pPr>
        <w:pStyle w:val="ListNumber"/>
      </w:pPr>
      <w:r>
        <w:t>Compute mole fraction of H2O (y_H2O). Preferred: measured moisture analyzer; alternative: infer from fuel/air stoichiometry using O2% and fuel ultimate analysis.</w:t>
      </w:r>
    </w:p>
    <w:p>
      <w:pPr>
        <w:pStyle w:val="ListNumber"/>
      </w:pPr>
      <w:r>
        <w:t>Compute SO3 partial pressure: use measured SO3_ppm if available; else estimate SO3 from SO2 and a configurable SO2→SO3 conversion factor (default range 0.1–4% depending on fuel/conditions).</w:t>
      </w:r>
    </w:p>
    <w:p>
      <w:pPr>
        <w:pStyle w:val="ListNumber"/>
      </w:pPr>
      <w:r>
        <w:t>Convert partial pressures from Pa to mmHg: P_mmHg = P_Pa / 133.322.</w:t>
      </w:r>
    </w:p>
    <w:p>
      <w:pPr>
        <w:pStyle w:val="ListNumber"/>
      </w:pPr>
      <w:r>
        <w:t>Evaluate correlation to obtain T_ADP (K), convert to °C.</w:t>
      </w:r>
    </w:p>
    <w:p>
      <w:pPr>
        <w:pStyle w:val="ListNumber"/>
      </w:pPr>
      <w:r>
        <w:t>Compute margin: Margin_ADP = T_fluegas_min − T_ADP − SafetyOffset. SafetyOffset defaults to 10–20°C and is site/material dependent.</w:t>
      </w:r>
    </w:p>
    <w:p>
      <w:r>
        <w:t>Outputs from this module:</w:t>
      </w:r>
    </w:p>
    <w:p>
      <w:pPr>
        <w:pStyle w:val="ListBullet"/>
      </w:pPr>
      <w:r>
        <w:t>T_ADP (°C), Margin_ADP (°C), uncertainty band (°C) based on missing tags/assumptions</w:t>
      </w:r>
    </w:p>
    <w:p>
      <w:pPr>
        <w:pStyle w:val="ListBullet"/>
      </w:pPr>
      <w:r>
        <w:t>Time-in-risk: cumulative minutes with Margin_ADP below thresholds</w:t>
      </w:r>
    </w:p>
    <w:p>
      <w:pPr>
        <w:pStyle w:val="ListBullet"/>
      </w:pPr>
      <w:r>
        <w:t>Corrosion risk index combining margin, exposure time, and material/water-chemistry modifiers</w:t>
      </w:r>
    </w:p>
    <w:p>
      <w:pPr>
        <w:pStyle w:val="Heading2"/>
      </w:pPr>
      <w:r>
        <w:t>6.3 Heat Transfer Effectiveness (ε) and NTU</w:t>
      </w:r>
    </w:p>
    <w:p>
      <w:r>
        <w:t>GL-020 tracks economizer heat transfer using effectiveness-NTU (ε-NTU). This supports fouling detection, benchmarking vs design, and actionability for soot blowing.</w:t>
      </w:r>
    </w:p>
    <w:p>
      <w:r>
        <w:t>Key definitions:</w:t>
      </w:r>
    </w:p>
    <w:p>
      <w:pPr>
        <w:pStyle w:val="ListBullet"/>
      </w:pPr>
      <w:r>
        <w:t>Heat capacity rates: C_h = ṁ_h·c_p,h and C_c = ṁ_c·c_p,c (W/K).</w:t>
      </w:r>
    </w:p>
    <w:p>
      <w:pPr>
        <w:pStyle w:val="ListBullet"/>
      </w:pPr>
      <w:r>
        <w:t>C_min = min(C_h, C_c); C_r = C_min/C_max.</w:t>
      </w:r>
    </w:p>
    <w:p>
      <w:pPr>
        <w:pStyle w:val="ListBullet"/>
      </w:pPr>
      <w:r>
        <w:t>Maximum possible heat transfer: Q_max = C_min·(T_h,in − T_c,in).</w:t>
      </w:r>
    </w:p>
    <w:p>
      <w:pPr>
        <w:pStyle w:val="ListBullet"/>
      </w:pPr>
      <w:r>
        <w:t>Actual heat transfer: Q = ṁ_w·(h_out − h_in) (preferred) or ṁ_w·c_p,w·(T_w,out − T_w,in) (approx).</w:t>
      </w:r>
    </w:p>
    <w:p>
      <w:pPr>
        <w:pStyle w:val="ListBullet"/>
      </w:pPr>
      <w:r>
        <w:t>Effectiveness: ε = Q / Q_max (0…1).</w:t>
      </w:r>
    </w:p>
    <w:p>
      <w:pPr>
        <w:pStyle w:val="ListBullet"/>
      </w:pPr>
      <w:r>
        <w:t>NTU: NTU = U·A / C_min.</w:t>
      </w:r>
    </w:p>
    <w:p>
      <w:r>
        <w:t>Implementation notes:</w:t>
      </w:r>
    </w:p>
    <w:p>
      <w:pPr>
        <w:pStyle w:val="ListBullet"/>
      </w:pPr>
      <w:r>
        <w:t>Use IAPWS-IF97 enthalpies for water/steam where pressure is available; otherwise use c_p with bounded error.</w:t>
      </w:r>
    </w:p>
    <w:p>
      <w:pPr>
        <w:pStyle w:val="ListBullet"/>
      </w:pPr>
      <w:r>
        <w:t>Flue gas c_p can be computed from composition (CO2, H2O, N2, O2) if available, else use a temperature-dependent correlation with error bounds.</w:t>
      </w:r>
    </w:p>
    <w:p>
      <w:pPr>
        <w:pStyle w:val="ListBullet"/>
      </w:pPr>
      <w:r>
        <w:t>Infer UA (effective) by rearranging Q = UA·ΔT_LM when both outlet temperatures are available; track UA trend as a fouling proxy.</w:t>
      </w:r>
    </w:p>
    <w:p>
      <w:pPr>
        <w:pStyle w:val="ListBullet"/>
      </w:pPr>
      <w:r>
        <w:t>Normalize ε and UA by load and flow to enable like-for-like comparisons.</w:t>
      </w:r>
    </w:p>
    <w:p>
      <w:pPr>
        <w:pStyle w:val="Heading2"/>
      </w:pPr>
      <w:r>
        <w:t>6.4 Steaming Detection (Economizer Two-Phase Risk)</w:t>
      </w:r>
    </w:p>
    <w:p>
      <w:r>
        <w:t>Steaming in economizer tubes can precede flow instabilities, vibration, and accelerated damage. GL-020 provides an early-warning 'steaming risk' signal based on thermodynamic margin and pattern recognition.</w:t>
      </w:r>
    </w:p>
    <w:p>
      <w:r>
        <w:t>Deterministic steaming margin:</w:t>
      </w:r>
    </w:p>
    <w:p>
      <w:pPr>
        <w:pStyle w:val="IntenseQuote"/>
      </w:pPr>
      <w:r>
        <w:t>Steaming_Margin = T_sat(P_water,out) − T_water,out  (°C).</w:t>
      </w:r>
    </w:p>
    <w:p>
      <w:r>
        <w:t>If Steaming_Margin falls below configurable thresholds (e.g., &lt;10°C warning, &lt;5°C critical), raise alerts.</w:t>
      </w:r>
    </w:p>
    <w:p>
      <w:r>
        <w:t>ML layer (recommended):</w:t>
      </w:r>
    </w:p>
    <w:p>
      <w:pPr>
        <w:pStyle w:val="ListBullet"/>
      </w:pPr>
      <w:r>
        <w:t>Model target: probability of incipient boiling/flow instability episodes (supervised) or anomaly score (unsupervised) based on historical events.</w:t>
      </w:r>
    </w:p>
    <w:p>
      <w:pPr>
        <w:pStyle w:val="ListBullet"/>
      </w:pPr>
      <w:r>
        <w:t>Features: Steaming_Margin, dT/dt of water outlet, water flow drops, gas temperature spikes, ΔP fluctuations, load transients, sootblower events.</w:t>
      </w:r>
    </w:p>
    <w:p>
      <w:pPr>
        <w:pStyle w:val="ListBullet"/>
      </w:pPr>
      <w:r>
        <w:t>Model types: gradient boosted trees with monotonic constraints, or temporal models (TCN/LSTM) if justified by data volume; prioritize interpretability.</w:t>
      </w:r>
    </w:p>
    <w:p>
      <w:pPr>
        <w:pStyle w:val="ListBullet"/>
      </w:pPr>
      <w:r>
        <w:t>Labels: use operator logs, vibration/acoustic alarms, tube metal temp anomalies, or inferred episodes from consistent multi-signal patterns.</w:t>
      </w:r>
    </w:p>
    <w:p>
      <w:pPr>
        <w:pStyle w:val="Heading1"/>
      </w:pPr>
      <w:r>
        <w:t>7. ML Optimization: Soot Blowing and Cleaning Schedules</w:t>
      </w:r>
    </w:p>
    <w:p>
      <w:r>
        <w:t>Soot blowing impacts efficiency and reliability but consumes steam/air and can increase erosion. GL-020 optimizes soot blowing frequency and targeting using a safe-ML approach with strict constraints.</w:t>
      </w:r>
    </w:p>
    <w:p>
      <w:pPr>
        <w:pStyle w:val="Heading2"/>
      </w:pPr>
      <w:r>
        <w:t>7.1 Optimization Objectives and Constraints</w:t>
      </w:r>
    </w:p>
    <w:p>
      <w:pPr>
        <w:pStyle w:val="ListBullet"/>
      </w:pPr>
      <w:r>
        <w:t>Primary: recover/maintain economizer effectiveness (ε) and reduce stack temperature while staying above acid dew point margin.</w:t>
      </w:r>
    </w:p>
    <w:p>
      <w:pPr>
        <w:pStyle w:val="ListBullet"/>
      </w:pPr>
      <w:r>
        <w:t>Cost terms: sootblower steam consumption, wear/erosion proxy, and operational constraints (max runs per day, forbidden windows).</w:t>
      </w:r>
    </w:p>
    <w:p>
      <w:pPr>
        <w:pStyle w:val="ListBullet"/>
      </w:pPr>
      <w:r>
        <w:t>Safety constraints: do not recommend actions that reduce T_fluegas_out below (T_ADP + SafetyOffset).</w:t>
      </w:r>
    </w:p>
    <w:p>
      <w:pPr>
        <w:pStyle w:val="ListBullet"/>
      </w:pPr>
      <w:r>
        <w:t>Human-in-the-loop: recommendations require operator/engineer confirmation until proven safe and accepted.</w:t>
      </w:r>
    </w:p>
    <w:p>
      <w:pPr>
        <w:pStyle w:val="Heading2"/>
      </w:pPr>
      <w:r>
        <w:t>7.2 Control Policy Approach (Practical)</w:t>
      </w:r>
    </w:p>
    <w:p>
      <w:pPr>
        <w:pStyle w:val="ListBullet"/>
      </w:pPr>
      <w:r>
        <w:t>Phase 1 (baseline): rules + predictive fouling index (from UA/ε degradation rate) to recommend 'run/no-run' and zone selection.</w:t>
      </w:r>
    </w:p>
    <w:p>
      <w:pPr>
        <w:pStyle w:val="ListBullet"/>
      </w:pPr>
      <w:r>
        <w:t>Phase 2 (advanced): contextual bandit / constrained RL trained offline on historical response-to-sootblowing; deploy with safety guardrails and throttles.</w:t>
      </w:r>
    </w:p>
    <w:p>
      <w:pPr>
        <w:pStyle w:val="ListBullet"/>
      </w:pPr>
      <w:r>
        <w:t>Counterfactual evaluation: use off-policy evaluation (OPE) and backtesting to demonstrate expected benefit before enabling advanced policy.</w:t>
      </w:r>
    </w:p>
    <w:p>
      <w:pPr>
        <w:pStyle w:val="Heading1"/>
      </w:pPr>
      <w:r>
        <w:t>8. Explainability (SHAP + LIME) and Reporting</w:t>
      </w:r>
    </w:p>
    <w:p>
      <w:r>
        <w:t>Every non-trivial output (alert severity, soot blowing recommendation, corrosion risk) must be explainable. Explainability is not optional; it is a core deliverable for trust and audit.</w:t>
      </w:r>
    </w:p>
    <w:p>
      <w:r>
        <w:t>Minimum explainability deliverables:</w:t>
      </w:r>
    </w:p>
    <w:p>
      <w:pPr>
        <w:pStyle w:val="ListBullet"/>
      </w:pPr>
      <w:r>
        <w:t>Global feature importance (SHAP summary) per model, refreshed on retrain.</w:t>
      </w:r>
    </w:p>
    <w:p>
      <w:pPr>
        <w:pStyle w:val="ListBullet"/>
      </w:pPr>
      <w:r>
        <w:t>Local explanation (LIME or SHAP values) attached to each decision event.</w:t>
      </w:r>
    </w:p>
    <w:p>
      <w:pPr>
        <w:pStyle w:val="ListBullet"/>
      </w:pPr>
      <w:r>
        <w:t>Natural-language report template that cites the top drivers and the deterministic margins (ADP, steaming margin, ε).</w:t>
      </w:r>
    </w:p>
    <w:p>
      <w:pPr>
        <w:pStyle w:val="ListBullet"/>
      </w:pPr>
      <w:r>
        <w:t>Model cards: training data window, performance metrics, limitations, and change log.</w:t>
      </w:r>
    </w:p>
    <w:p>
      <w:pPr>
        <w:pStyle w:val="Heading1"/>
      </w:pPr>
      <w:r>
        <w:t>9. Integrations: Instrumentation, OPC-UA, Kafka, and CMMS</w:t>
      </w:r>
    </w:p>
    <w:p>
      <w:pPr>
        <w:pStyle w:val="Heading2"/>
      </w:pPr>
      <w:r>
        <w:t>9.1 Instrumentation and Controls</w:t>
      </w:r>
    </w:p>
    <w:p>
      <w:pPr>
        <w:pStyle w:val="ListBullet"/>
      </w:pPr>
      <w:r>
        <w:t>Confirm sensor placement against P&amp;IDs: economizer inlet/outlet T, flow meters, DP taps, gas analyzers.</w:t>
      </w:r>
    </w:p>
    <w:p>
      <w:pPr>
        <w:pStyle w:val="ListBullet"/>
      </w:pPr>
      <w:r>
        <w:t>Define calibration schedules and verification checks (especially temperature and gas analyzers).</w:t>
      </w:r>
    </w:p>
    <w:p>
      <w:pPr>
        <w:pStyle w:val="ListBullet"/>
      </w:pPr>
      <w:r>
        <w:t>Soot blower telemetry: status, sequence, permissives, and steam flow measurement where feasible.</w:t>
      </w:r>
    </w:p>
    <w:p>
      <w:pPr>
        <w:pStyle w:val="ListBullet"/>
      </w:pPr>
      <w:r>
        <w:t>Water treatment integration: include key chemistry tags or periodic lab results for scaling/corrosion modifiers.</w:t>
      </w:r>
    </w:p>
    <w:p>
      <w:pPr>
        <w:pStyle w:val="Heading2"/>
      </w:pPr>
      <w:r>
        <w:t>9.2 Data Pipeline and Schemas</w:t>
      </w:r>
    </w:p>
    <w:p>
      <w:r>
        <w:t>Data engineering must implement:</w:t>
      </w:r>
    </w:p>
    <w:p>
      <w:pPr>
        <w:pStyle w:val="ListBullet"/>
      </w:pPr>
      <w:r>
        <w:t>OPC-UA tag mapping document (namespace → canonical tag names) and change control process.</w:t>
      </w:r>
    </w:p>
    <w:p>
      <w:pPr>
        <w:pStyle w:val="ListBullet"/>
      </w:pPr>
      <w:r>
        <w:t>Kafka topic set: raw.telemetry.*, validated.telemetry.*, derived.features.*, model.outputs.*, events.sootblower.*, cmms.workorders.*</w:t>
      </w:r>
    </w:p>
    <w:p>
      <w:pPr>
        <w:pStyle w:val="ListBullet"/>
      </w:pPr>
      <w:r>
        <w:t>Schema registry (Avro/Protobuf): explicit units, sensor IDs, quality flags, and version fields.</w:t>
      </w:r>
    </w:p>
    <w:p>
      <w:pPr>
        <w:pStyle w:val="ListBullet"/>
      </w:pPr>
      <w:r>
        <w:t>Backfill/replay pipeline for model training and incident investigations.</w:t>
      </w:r>
    </w:p>
    <w:p>
      <w:pPr>
        <w:pStyle w:val="Heading2"/>
      </w:pPr>
      <w:r>
        <w:t>9.3 CMMS Integration (Cleaning Schedules)</w:t>
      </w:r>
    </w:p>
    <w:p>
      <w:r>
        <w:t>Reliability/CMMS integration produces actionable work: cleaning recommendations, inspections, and soot blower maintenance.</w:t>
      </w:r>
    </w:p>
    <w:p>
      <w:pPr>
        <w:pStyle w:val="ListBullet"/>
      </w:pPr>
      <w:r>
        <w:t>Create work orders when corrosion risk index exceeds threshold for a sustained window.</w:t>
      </w:r>
    </w:p>
    <w:p>
      <w:pPr>
        <w:pStyle w:val="ListBullet"/>
      </w:pPr>
      <w:r>
        <w:t>Create inspection tasks when time-in-risk accumulates beyond site-defined limits.</w:t>
      </w:r>
    </w:p>
    <w:p>
      <w:pPr>
        <w:pStyle w:val="ListBullet"/>
      </w:pPr>
      <w:r>
        <w:t>Create cleaning tasks when fouling index indicates persistent degradation not recoverable by soot blowing.</w:t>
      </w:r>
    </w:p>
    <w:p>
      <w:pPr>
        <w:pStyle w:val="ListBullet"/>
      </w:pPr>
      <w:r>
        <w:t>All CMMS actions must include evidence: charts of ε/UA trends, ADP margin history, and model explanations.</w:t>
      </w:r>
    </w:p>
    <w:p>
      <w:pPr>
        <w:pStyle w:val="Heading1"/>
      </w:pPr>
      <w:r>
        <w:t>10. Climate Intelligence (Emissions and Energy Impact)</w:t>
      </w:r>
    </w:p>
    <w:p>
      <w:r>
        <w:t>Improved economizer performance reduces fuel consumption and associated CO₂ emissions. Climate intelligence owns the measurement methodology for avoided emissions and ensures claims are auditable.</w:t>
      </w:r>
    </w:p>
    <w:p>
      <w:pPr>
        <w:pStyle w:val="ListBullet"/>
      </w:pPr>
      <w:r>
        <w:t>Define baseline methodology: compare heat rate / stack temperature at matched load and ambient conditions.</w:t>
      </w:r>
    </w:p>
    <w:p>
      <w:pPr>
        <w:pStyle w:val="ListBullet"/>
      </w:pPr>
      <w:r>
        <w:t>Compute incremental fuel savings from recovered heat duty (Q) and fuel LHV; convert to CO₂ using fuel-specific emission factors.</w:t>
      </w:r>
    </w:p>
    <w:p>
      <w:pPr>
        <w:pStyle w:val="ListBullet"/>
      </w:pPr>
      <w:r>
        <w:t>Report confidence intervals based on sensor uncertainties and model residuals.</w:t>
      </w:r>
    </w:p>
    <w:p>
      <w:pPr>
        <w:pStyle w:val="ListBullet"/>
      </w:pPr>
      <w:r>
        <w:t>Ensure any external reporting follows corporate climate accounting rules and applicable standards.</w:t>
      </w:r>
    </w:p>
    <w:p>
      <w:pPr>
        <w:pStyle w:val="Heading1"/>
      </w:pPr>
      <w:r>
        <w:t>11. Validation, Testing, and Acceptance Criteria</w:t>
      </w:r>
    </w:p>
    <w:p>
      <w:pPr>
        <w:pStyle w:val="Heading2"/>
      </w:pPr>
      <w:r>
        <w:t>11.1 Engineering Validation</w:t>
      </w:r>
    </w:p>
    <w:p>
      <w:pPr>
        <w:pStyle w:val="ListBullet"/>
      </w:pPr>
      <w:r>
        <w:t>Hand-check acid dew point calculation against known cases; verify pressure unit conversions and logarithm domain safety.</w:t>
      </w:r>
    </w:p>
    <w:p>
      <w:pPr>
        <w:pStyle w:val="ListBullet"/>
      </w:pPr>
      <w:r>
        <w:t>Energy balance closure: Q_gas ≈ Q_water within tolerance; log residual and flag degraded mode.</w:t>
      </w:r>
    </w:p>
    <w:p>
      <w:pPr>
        <w:pStyle w:val="ListBullet"/>
      </w:pPr>
      <w:r>
        <w:t>Effectiveness and UA sanity: ε ∈ [0,1], UA positive, monotonic trends consistent with soot blowing events.</w:t>
      </w:r>
    </w:p>
    <w:p>
      <w:pPr>
        <w:pStyle w:val="Heading2"/>
      </w:pPr>
      <w:r>
        <w:t>11.2 ML Validation</w:t>
      </w:r>
    </w:p>
    <w:p>
      <w:pPr>
        <w:pStyle w:val="ListBullet"/>
      </w:pPr>
      <w:r>
        <w:t>Train/validation/test splits respect time ordering; no leakage.</w:t>
      </w:r>
    </w:p>
    <w:p>
      <w:pPr>
        <w:pStyle w:val="ListBullet"/>
      </w:pPr>
      <w:r>
        <w:t>Performance metrics: ROC-AUC/PR-AUC for events, calibration curves, and false alarm rate per day.</w:t>
      </w:r>
    </w:p>
    <w:p>
      <w:pPr>
        <w:pStyle w:val="ListBullet"/>
      </w:pPr>
      <w:r>
        <w:t>Robustness: drift monitoring on key features; retrain triggers defined.</w:t>
      </w:r>
    </w:p>
    <w:p>
      <w:pPr>
        <w:pStyle w:val="ListBullet"/>
      </w:pPr>
      <w:r>
        <w:t>Safety: constraints enforced in post-processing; unit tests confirm guards cannot be bypassed.</w:t>
      </w:r>
    </w:p>
    <w:p>
      <w:pPr>
        <w:pStyle w:val="Heading2"/>
      </w:pPr>
      <w:r>
        <w:t>11.3 Definition of Done (DoD)</w:t>
      </w:r>
    </w:p>
    <w:p>
      <w:pPr>
        <w:pStyle w:val="ListBullet"/>
      </w:pPr>
      <w:r>
        <w:t>All required tags ingested with quality gates; data dictionary complete.</w:t>
      </w:r>
    </w:p>
    <w:p>
      <w:pPr>
        <w:pStyle w:val="ListBullet"/>
      </w:pPr>
      <w:r>
        <w:t>Thermo engine produces reproducible ADP margin, ε-NTU, and steaming margin with unit tests passing.</w:t>
      </w:r>
    </w:p>
    <w:p>
      <w:pPr>
        <w:pStyle w:val="ListBullet"/>
      </w:pPr>
      <w:r>
        <w:t>Alerts and recommendations visible in dashboard with explanation attachments.</w:t>
      </w:r>
    </w:p>
    <w:p>
      <w:pPr>
        <w:pStyle w:val="ListBullet"/>
      </w:pPr>
      <w:r>
        <w:t>CMMS work order creation tested in sandbox and production per site procedure.</w:t>
      </w:r>
    </w:p>
    <w:p>
      <w:pPr>
        <w:pStyle w:val="ListBullet"/>
      </w:pPr>
      <w:r>
        <w:t>Runbook, on-call rotation, and incident response process published.</w:t>
      </w:r>
    </w:p>
    <w:p>
      <w:pPr>
        <w:pStyle w:val="Heading1"/>
      </w:pPr>
      <w:r>
        <w:t>12. Delivery Plan to Q3 2026 (Milestones)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Scope</w:t>
            </w:r>
          </w:p>
        </w:tc>
        <w:tc>
          <w:tcPr>
            <w:tcW w:type="dxa" w:w="2880"/>
          </w:tcPr>
          <w:p>
            <w:r>
              <w:t>Exit Criteria (examples)</w:t>
            </w:r>
          </w:p>
        </w:tc>
      </w:tr>
      <w:tr>
        <w:tc>
          <w:tcPr>
            <w:tcW w:type="dxa" w:w="2880"/>
          </w:tcPr>
          <w:p>
            <w:r>
              <w:t>M0</w:t>
            </w:r>
          </w:p>
        </w:tc>
        <w:tc>
          <w:tcPr>
            <w:tcW w:type="dxa" w:w="2880"/>
          </w:tcPr>
          <w:p>
            <w:r>
              <w:t>Kickoff + site survey: P&amp;IDs, tag availability, soot blower inventory, water treatment data</w:t>
            </w:r>
          </w:p>
        </w:tc>
        <w:tc>
          <w:tcPr>
            <w:tcW w:type="dxa" w:w="2880"/>
          </w:tcPr>
          <w:p>
            <w:r>
              <w:t>Program owner sign-off</w:t>
            </w:r>
          </w:p>
        </w:tc>
      </w:tr>
      <w:tr>
        <w:tc>
          <w:tcPr>
            <w:tcW w:type="dxa" w:w="2880"/>
          </w:tcPr>
          <w:p>
            <w:r>
              <w:t>M1</w:t>
            </w:r>
          </w:p>
        </w:tc>
        <w:tc>
          <w:tcPr>
            <w:tcW w:type="dxa" w:w="2880"/>
          </w:tcPr>
          <w:p>
            <w:r>
              <w:t>Data pipeline live (OPC-UA→Kafka), quality gates, initial dashboard</w:t>
            </w:r>
          </w:p>
        </w:tc>
        <w:tc>
          <w:tcPr>
            <w:tcW w:type="dxa" w:w="2880"/>
          </w:tcPr>
          <w:p>
            <w:r>
              <w:t>≥95% of required tags streaming; schema registry active; basic dashboards</w:t>
            </w:r>
          </w:p>
        </w:tc>
      </w:tr>
      <w:tr>
        <w:tc>
          <w:tcPr>
            <w:tcW w:type="dxa" w:w="2880"/>
          </w:tcPr>
          <w:p>
            <w:r>
              <w:t>M2</w:t>
            </w:r>
          </w:p>
        </w:tc>
        <w:tc>
          <w:tcPr>
            <w:tcW w:type="dxa" w:w="2880"/>
          </w:tcPr>
          <w:p>
            <w:r>
              <w:t>Thermodynamic core live: ADP margin, ε/UA tracking, basic alerts</w:t>
            </w:r>
          </w:p>
        </w:tc>
        <w:tc>
          <w:tcPr>
            <w:tcW w:type="dxa" w:w="2880"/>
          </w:tcPr>
          <w:p>
            <w:r>
              <w:t>ADP margin + ε trending stable; unit tests; initial thresholds tuned</w:t>
            </w:r>
          </w:p>
        </w:tc>
      </w:tr>
      <w:tr>
        <w:tc>
          <w:tcPr>
            <w:tcW w:type="dxa" w:w="2880"/>
          </w:tcPr>
          <w:p>
            <w:r>
              <w:t>M3</w:t>
            </w:r>
          </w:p>
        </w:tc>
        <w:tc>
          <w:tcPr>
            <w:tcW w:type="dxa" w:w="2880"/>
          </w:tcPr>
          <w:p>
            <w:r>
              <w:t>Steaming detection (deterministic + ML) and explainability reporting</w:t>
            </w:r>
          </w:p>
        </w:tc>
        <w:tc>
          <w:tcPr>
            <w:tcW w:type="dxa" w:w="2880"/>
          </w:tcPr>
          <w:p>
            <w:r>
              <w:t>Program owner sign-off</w:t>
            </w:r>
          </w:p>
        </w:tc>
      </w:tr>
      <w:tr>
        <w:tc>
          <w:tcPr>
            <w:tcW w:type="dxa" w:w="2880"/>
          </w:tcPr>
          <w:p>
            <w:r>
              <w:t>M4</w:t>
            </w:r>
          </w:p>
        </w:tc>
        <w:tc>
          <w:tcPr>
            <w:tcW w:type="dxa" w:w="2880"/>
          </w:tcPr>
          <w:p>
            <w:r>
              <w:t>Soot blowing optimization v1 + CMMS integration for schedules</w:t>
            </w:r>
          </w:p>
        </w:tc>
        <w:tc>
          <w:tcPr>
            <w:tcW w:type="dxa" w:w="2880"/>
          </w:tcPr>
          <w:p>
            <w:r>
              <w:t>Recommendations generated; safety constraints validated; CMMS tasks created</w:t>
            </w:r>
          </w:p>
        </w:tc>
      </w:tr>
      <w:tr>
        <w:tc>
          <w:tcPr>
            <w:tcW w:type="dxa" w:w="2880"/>
          </w:tcPr>
          <w:p>
            <w:r>
              <w:t>M5</w:t>
            </w:r>
          </w:p>
        </w:tc>
        <w:tc>
          <w:tcPr>
            <w:tcW w:type="dxa" w:w="2880"/>
          </w:tcPr>
          <w:p>
            <w:r>
              <w:t>Hardening: security review, reliability testing, model governance</w:t>
            </w:r>
          </w:p>
        </w:tc>
        <w:tc>
          <w:tcPr>
            <w:tcW w:type="dxa" w:w="2880"/>
          </w:tcPr>
          <w:p>
            <w:r>
              <w:t>Program owner sign-off</w:t>
            </w:r>
          </w:p>
        </w:tc>
      </w:tr>
      <w:tr>
        <w:tc>
          <w:tcPr>
            <w:tcW w:type="dxa" w:w="2880"/>
          </w:tcPr>
          <w:p>
            <w:r>
              <w:t>M6</w:t>
            </w:r>
          </w:p>
        </w:tc>
        <w:tc>
          <w:tcPr>
            <w:tcW w:type="dxa" w:w="2880"/>
          </w:tcPr>
          <w:p>
            <w:r>
              <w:t>Go-live + 30/60/90-day benefit verification and tuning</w:t>
            </w:r>
          </w:p>
        </w:tc>
        <w:tc>
          <w:tcPr>
            <w:tcW w:type="dxa" w:w="2880"/>
          </w:tcPr>
          <w:p>
            <w:r>
              <w:t>Ops sign-off; false alarm rate acceptable; benefits report produced</w:t>
            </w:r>
          </w:p>
        </w:tc>
      </w:tr>
    </w:tbl>
    <w:p>
      <w:r>
        <w:br w:type="page"/>
      </w:r>
    </w:p>
    <w:p>
      <w:pPr>
        <w:pStyle w:val="Heading1"/>
      </w:pPr>
      <w:r>
        <w:t>Appendix A — Key Formulas and Unit Conversions</w:t>
      </w:r>
    </w:p>
    <w:p>
      <w:r>
        <w:t>1) Partial pressure from ppmv: y = ppmv / 1e6; P_i = y·P_total.</w:t>
      </w:r>
    </w:p>
    <w:p>
      <w:r>
        <w:t>2) Pressure conversion: 1 mmHg (Torr) = 133.322 Pa.</w:t>
      </w:r>
    </w:p>
    <w:p>
      <w:r>
        <w:t>3) Heat duty (water side): Q = ṁ_w·(h_out − h_in).</w:t>
      </w:r>
    </w:p>
    <w:p>
      <w:r>
        <w:t>4) Heat duty (gas side): Q = ṁ_g·c_p,g·(T_g,in − T_g,out) (approx).</w:t>
      </w:r>
    </w:p>
    <w:p>
      <w:r>
        <w:t>5) LMTD for counterflow: ΔT_LM = (ΔT1 − ΔT2)/ln(ΔT1/ΔT2).</w:t>
      </w:r>
    </w:p>
    <w:p>
      <w:r>
        <w:t>6) UA inference: UA ≈ Q/ΔT_LM (when applicable and with guardrails).</w:t>
      </w:r>
    </w:p>
    <w:p>
      <w:pPr>
        <w:pStyle w:val="Heading1"/>
      </w:pPr>
      <w:r>
        <w:t>Appendix B — Data Contracts (Recommended)</w:t>
      </w:r>
    </w:p>
    <w:p>
      <w:r>
        <w:t>Canonical message fields per telemetry record: {timestamp_utc, tag_name, value, unit, quality_flag, source_system, asset_id, calibration_id, version}. Use schema registry; never rely on implicit units.</w:t>
      </w:r>
    </w:p>
    <w:p>
      <w:pPr>
        <w:pStyle w:val="Heading1"/>
      </w:pPr>
      <w:r>
        <w:t>Appendix C — References</w:t>
      </w:r>
    </w:p>
    <w:p>
      <w:r>
        <w:t>Verhoff, F.H., and Banchero, J.T., “Predicting dew points of flue gases,” Chemical Engineering Progress, 1974.</w:t>
      </w:r>
    </w:p>
    <w:p>
      <w:r>
        <w:t>EBSILON® Professional documentation: Component 136 (Acid dew point correlations).</w:t>
      </w:r>
    </w:p>
    <w:p>
      <w:r>
        <w:t>Effectiveness-NTU method overview (heat exchanger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