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LTitle"/>
        <w:jc w:val="left"/>
      </w:pPr>
      <w:r>
        <w:t>GL-001 ThermalCommand</w:t>
      </w:r>
    </w:p>
    <w:p>
      <w:pPr>
        <w:pStyle w:val="GLSubtitle"/>
      </w:pPr>
      <w:r>
        <w:t>ProcessHeatOrchestrator - Master Orchestration Specification and Execution Playbook</w:t>
      </w:r>
    </w:p>
    <w:p>
      <w:pPr>
        <w:pStyle w:val="GLSubtitle"/>
      </w:pPr>
      <w:r>
        <w:rPr>
          <w:b/>
        </w:rPr>
        <w:t>Internal - Confidential</w:t>
      </w:r>
    </w:p>
    <w:p/>
    <w:tbl>
      <w:tblPr>
        <w:tblStyle w:val="TableGrid"/>
        <w:tblW w:type="auto" w:w="0"/>
        <w:jc w:val="left"/>
        <w:tblLook w:firstColumn="1" w:firstRow="1" w:lastColumn="0" w:lastRow="0" w:noHBand="0" w:noVBand="1" w:val="04A0"/>
      </w:tblPr>
      <w:tblGrid>
        <w:gridCol w:w="4873"/>
        <w:gridCol w:w="4873"/>
      </w:tblGrid>
      <w:tr>
        <w:tc>
          <w:tcPr>
            <w:tcW w:type="dxa" w:w="4873"/>
            <w:vAlign w:val="center"/>
          </w:tcPr>
          <w:p>
            <w:r>
              <w:rPr>
                <w:b/>
              </w:rPr>
              <w:t>Agent ID</w:t>
            </w:r>
          </w:p>
        </w:tc>
        <w:tc>
          <w:tcPr>
            <w:tcW w:type="dxa" w:w="4873"/>
            <w:vAlign w:val="center"/>
          </w:tcPr>
          <w:p>
            <w:r>
              <w:t>GL-001</w:t>
            </w:r>
          </w:p>
        </w:tc>
      </w:tr>
      <w:tr>
        <w:tc>
          <w:tcPr>
            <w:tcW w:type="dxa" w:w="4873"/>
            <w:vAlign w:val="center"/>
          </w:tcPr>
          <w:p>
            <w:r>
              <w:rPr>
                <w:b/>
              </w:rPr>
              <w:t>Capability</w:t>
            </w:r>
          </w:p>
        </w:tc>
        <w:tc>
          <w:tcPr>
            <w:tcW w:type="dxa" w:w="4873"/>
            <w:vAlign w:val="center"/>
          </w:tcPr>
          <w:p>
            <w:r>
              <w:t>THERMALCOMMAND / Process Heat Orchestrator</w:t>
            </w:r>
          </w:p>
        </w:tc>
      </w:tr>
      <w:tr>
        <w:tc>
          <w:tcPr>
            <w:tcW w:type="dxa" w:w="4873"/>
            <w:vAlign w:val="center"/>
          </w:tcPr>
          <w:p>
            <w:r>
              <w:rPr>
                <w:b/>
              </w:rPr>
              <w:t>Priority</w:t>
            </w:r>
          </w:p>
        </w:tc>
        <w:tc>
          <w:tcPr>
            <w:tcW w:type="dxa" w:w="4873"/>
            <w:vAlign w:val="center"/>
          </w:tcPr>
          <w:p>
            <w:r>
              <w:t>P0 (High)</w:t>
            </w:r>
          </w:p>
        </w:tc>
      </w:tr>
      <w:tr>
        <w:tc>
          <w:tcPr>
            <w:tcW w:type="dxa" w:w="4873"/>
            <w:vAlign w:val="center"/>
          </w:tcPr>
          <w:p>
            <w:r>
              <w:rPr>
                <w:b/>
              </w:rPr>
              <w:t>Business Impact</w:t>
            </w:r>
          </w:p>
        </w:tc>
        <w:tc>
          <w:tcPr>
            <w:tcW w:type="dxa" w:w="4873"/>
            <w:vAlign w:val="center"/>
          </w:tcPr>
          <w:p>
            <w:r>
              <w:t>$20B value at stake (portfolio estimate)</w:t>
            </w:r>
          </w:p>
        </w:tc>
      </w:tr>
      <w:tr>
        <w:tc>
          <w:tcPr>
            <w:tcW w:type="dxa" w:w="4873"/>
            <w:vAlign w:val="center"/>
          </w:tcPr>
          <w:p>
            <w:r>
              <w:rPr>
                <w:b/>
              </w:rPr>
              <w:t>Target Release</w:t>
            </w:r>
          </w:p>
        </w:tc>
        <w:tc>
          <w:tcPr>
            <w:tcW w:type="dxa" w:w="4873"/>
            <w:vAlign w:val="center"/>
          </w:tcPr>
          <w:p>
            <w:r>
              <w:t>Q4 2025</w:t>
            </w:r>
          </w:p>
        </w:tc>
      </w:tr>
      <w:tr>
        <w:tc>
          <w:tcPr>
            <w:tcW w:type="dxa" w:w="4873"/>
            <w:vAlign w:val="center"/>
          </w:tcPr>
          <w:p>
            <w:r>
              <w:rPr>
                <w:b/>
              </w:rPr>
              <w:t>Status</w:t>
            </w:r>
          </w:p>
        </w:tc>
        <w:tc>
          <w:tcPr>
            <w:tcW w:type="dxa" w:w="4873"/>
            <w:vAlign w:val="center"/>
          </w:tcPr>
          <w:p>
            <w:r>
              <w:t>Implemented (baseline) - scaling and hardening</w:t>
            </w:r>
          </w:p>
        </w:tc>
      </w:tr>
    </w:tbl>
    <w:p/>
    <w:p>
      <w:r>
        <w:t>Document version: 1.0 | Date: 2025-12-17 | Owner: Orchestration Program Office</w:t>
      </w:r>
    </w:p>
    <w:p>
      <w:r>
        <w:br w:type="page"/>
      </w:r>
    </w:p>
    <w:p>
      <w:pPr>
        <w:pStyle w:val="Heading1"/>
      </w:pPr>
      <w:r>
        <w:t>1. Executive Summary</w:t>
      </w:r>
    </w:p>
    <w:p>
      <w:r>
        <w:t>GL-001 is the master orchestrator for all process heat operations. It coordinates heat generation, distribution, and consumption across the plant to minimize total cost and emissions while maintaining production quality and strict safety boundaries. It integrates optimization (MILP), classical control (cascade PID), predictive analytics, and full explainability (SHAP/LIME) with comprehensive audit logging.</w:t>
      </w:r>
    </w:p>
    <w:p>
      <w:r>
        <w:t>This document aligns AI/ML, software development, controls/OT engineering, safety/SIS, data engineering, maintenance (CMMS), climate/energy intelligence, and operations on a single implementation plan, including required data, interfaces, mathematical formulations, and acceptance criteria.</w:t>
      </w:r>
    </w:p>
    <w:p>
      <w:pPr>
        <w:pStyle w:val="Heading1"/>
      </w:pPr>
      <w:r>
        <w:t>2. Mission, Scope, and Success Criteria</w:t>
      </w:r>
    </w:p>
    <w:p>
      <w:pPr>
        <w:pStyle w:val="Heading2"/>
      </w:pPr>
      <w:r>
        <w:t>2.1 Mission</w:t>
      </w:r>
    </w:p>
    <w:p>
      <w:r>
        <w:t>Deliver reliable, safe, and cost-optimal heat to all consuming units by orchestrating supply assets and distribution networks in real time, with traceable decisions and explainability suitable for regulated industrial environments.</w:t>
      </w:r>
    </w:p>
    <w:p>
      <w:pPr>
        <w:pStyle w:val="Heading2"/>
      </w:pPr>
      <w:r>
        <w:t>2.2 In Scope</w:t>
      </w:r>
    </w:p>
    <w:p>
      <w:pPr>
        <w:pStyle w:val="ListBullet"/>
      </w:pPr>
      <w:r>
        <w:t>Plant-wide heat network (steam/hot water/thermal oil) allocation and scheduling</w:t>
      </w:r>
    </w:p>
    <w:p>
      <w:pPr>
        <w:pStyle w:val="ListBullet"/>
      </w:pPr>
      <w:r>
        <w:t>Multi-period optimization of boilers, heaters, heat recovery, and distribution headers</w:t>
      </w:r>
    </w:p>
    <w:p>
      <w:pPr>
        <w:pStyle w:val="ListBullet"/>
      </w:pPr>
      <w:r>
        <w:t>Real-time setpoint recommendations and ramp plans with cascade PID integration</w:t>
      </w:r>
    </w:p>
    <w:p>
      <w:pPr>
        <w:pStyle w:val="ListBullet"/>
      </w:pPr>
      <w:r>
        <w:t>Safety boundary enforcement aligned with SIS and operating envelopes</w:t>
      </w:r>
    </w:p>
    <w:p>
      <w:pPr>
        <w:pStyle w:val="ListBullet"/>
      </w:pPr>
      <w:r>
        <w:t>CMMS integration for condition-based maintenance triggers and schedule coordination</w:t>
      </w:r>
    </w:p>
    <w:p>
      <w:pPr>
        <w:pStyle w:val="ListBullet"/>
      </w:pPr>
      <w:r>
        <w:t>Streaming integrations (OPC-UA, Kafka) and service interfaces (GraphQL/gRPC, webhooks)</w:t>
      </w:r>
    </w:p>
    <w:p>
      <w:pPr>
        <w:pStyle w:val="ListBullet"/>
      </w:pPr>
      <w:r>
        <w:t>Explainability (SHAP/LIME) for ML components and decision traceability for optimization/control</w:t>
      </w:r>
    </w:p>
    <w:p>
      <w:pPr>
        <w:pStyle w:val="ListBullet"/>
      </w:pPr>
      <w:r>
        <w:t>Uncertainty quantification (UQ) and scenario planning (weather, prices, demand variability)</w:t>
      </w:r>
    </w:p>
    <w:p>
      <w:pPr>
        <w:pStyle w:val="ListBullet"/>
      </w:pPr>
      <w:r>
        <w:t>Audit logging and evidence generation for compliance and incident analysis</w:t>
      </w:r>
    </w:p>
    <w:p>
      <w:pPr>
        <w:pStyle w:val="Heading2"/>
      </w:pPr>
      <w:r>
        <w:t>2.3 Explicit Non-Goals (to prevent scope creep)</w:t>
      </w:r>
    </w:p>
    <w:p>
      <w:pPr>
        <w:pStyle w:val="ListBullet"/>
      </w:pPr>
      <w:r>
        <w:t>Bypassing, disabling, or replacing SIS logic (SIS remains independent and authoritative)</w:t>
      </w:r>
    </w:p>
    <w:p>
      <w:pPr>
        <w:pStyle w:val="ListBullet"/>
      </w:pPr>
      <w:r>
        <w:t>Direct manipulation of safety-instrumented functions without approved safety authority</w:t>
      </w:r>
    </w:p>
    <w:p>
      <w:pPr>
        <w:pStyle w:val="ListBullet"/>
      </w:pPr>
      <w:r>
        <w:t>Plant-wide ERP redesign (only required interfaces and data contracts are in scope)</w:t>
      </w:r>
    </w:p>
    <w:p>
      <w:pPr>
        <w:pStyle w:val="ListBullet"/>
      </w:pPr>
      <w:r>
        <w:t>Replacing local regulatory control loops in PLC/DCS (GL-001 coordinates supervisory targets)</w:t>
      </w:r>
    </w:p>
    <w:p>
      <w:r>
        <w:br w:type="page"/>
      </w:r>
    </w:p>
    <w:p>
      <w:pPr>
        <w:pStyle w:val="Heading2"/>
      </w:pPr>
      <w:r>
        <w:t>2.4 Success Criteria (KPIs and Guardrails)</w:t>
      </w:r>
    </w:p>
    <w:tbl>
      <w:tblPr>
        <w:tblStyle w:val="TableGrid"/>
        <w:tblW w:type="auto" w:w="0"/>
        <w:tblLook w:firstColumn="1" w:firstRow="1" w:lastColumn="0" w:lastRow="0" w:noHBand="0" w:noVBand="1" w:val="04A0"/>
      </w:tblPr>
      <w:tblGrid>
        <w:gridCol w:w="3249"/>
        <w:gridCol w:w="3249"/>
        <w:gridCol w:w="3249"/>
      </w:tblGrid>
      <w:tr>
        <w:trPr>
          <w:cantSplit/>
        </w:trPr>
        <w:tc>
          <w:tcPr>
            <w:tcW w:type="dxa" w:w="3249"/>
          </w:tcPr>
          <w:p>
            <w:r>
              <w:t>Category</w:t>
            </w:r>
          </w:p>
        </w:tc>
        <w:tc>
          <w:tcPr>
            <w:tcW w:type="dxa" w:w="3249"/>
          </w:tcPr>
          <w:p>
            <w:r>
              <w:t>Metric</w:t>
            </w:r>
          </w:p>
        </w:tc>
        <w:tc>
          <w:tcPr>
            <w:tcW w:type="dxa" w:w="3249"/>
          </w:tcPr>
          <w:p>
            <w:r>
              <w:t>Target / Guardrail</w:t>
            </w:r>
          </w:p>
        </w:tc>
      </w:tr>
      <w:tr>
        <w:trPr>
          <w:cantSplit/>
        </w:trPr>
        <w:tc>
          <w:tcPr>
            <w:tcW w:type="dxa" w:w="3249"/>
          </w:tcPr>
          <w:p>
            <w:r>
              <w:t>Economics</w:t>
            </w:r>
          </w:p>
        </w:tc>
        <w:tc>
          <w:tcPr>
            <w:tcW w:type="dxa" w:w="3249"/>
          </w:tcPr>
          <w:p>
            <w:r>
              <w:t>Energy cost reduction vs baseline</w:t>
            </w:r>
          </w:p>
        </w:tc>
        <w:tc>
          <w:tcPr>
            <w:tcW w:type="dxa" w:w="3249"/>
          </w:tcPr>
          <w:p>
            <w:r>
              <w:t>Plant-specific target; report weekly and per-shift</w:t>
            </w:r>
          </w:p>
        </w:tc>
      </w:tr>
      <w:tr>
        <w:trPr>
          <w:cantSplit/>
        </w:trPr>
        <w:tc>
          <w:tcPr>
            <w:tcW w:type="dxa" w:w="3249"/>
          </w:tcPr>
          <w:p>
            <w:r>
              <w:t>Reliability</w:t>
            </w:r>
          </w:p>
        </w:tc>
        <w:tc>
          <w:tcPr>
            <w:tcW w:type="dxa" w:w="3249"/>
          </w:tcPr>
          <w:p>
            <w:r>
              <w:t>Heat demand satisfaction</w:t>
            </w:r>
          </w:p>
        </w:tc>
        <w:tc>
          <w:tcPr>
            <w:tcW w:type="dxa" w:w="3249"/>
          </w:tcPr>
          <w:p>
            <w:r>
              <w:t>&gt;= 99% demand served within tolerance bands</w:t>
            </w:r>
          </w:p>
        </w:tc>
      </w:tr>
      <w:tr>
        <w:trPr>
          <w:cantSplit/>
        </w:trPr>
        <w:tc>
          <w:tcPr>
            <w:tcW w:type="dxa" w:w="3249"/>
          </w:tcPr>
          <w:p>
            <w:r>
              <w:t>Safety</w:t>
            </w:r>
          </w:p>
        </w:tc>
        <w:tc>
          <w:tcPr>
            <w:tcW w:type="dxa" w:w="3249"/>
          </w:tcPr>
          <w:p>
            <w:r>
              <w:t>SIS boundary violations by GL-001</w:t>
            </w:r>
          </w:p>
        </w:tc>
        <w:tc>
          <w:tcPr>
            <w:tcW w:type="dxa" w:w="3249"/>
          </w:tcPr>
          <w:p>
            <w:r>
              <w:t>0 (hard stop); all attempted actions blocked and logged</w:t>
            </w:r>
          </w:p>
        </w:tc>
      </w:tr>
      <w:tr>
        <w:trPr>
          <w:cantSplit/>
        </w:trPr>
        <w:tc>
          <w:tcPr>
            <w:tcW w:type="dxa" w:w="3249"/>
          </w:tcPr>
          <w:p>
            <w:r>
              <w:t>Emissions</w:t>
            </w:r>
          </w:p>
        </w:tc>
        <w:tc>
          <w:tcPr>
            <w:tcW w:type="dxa" w:w="3249"/>
          </w:tcPr>
          <w:p>
            <w:r>
              <w:t>CO2e per unit production</w:t>
            </w:r>
          </w:p>
        </w:tc>
        <w:tc>
          <w:tcPr>
            <w:tcW w:type="dxa" w:w="3249"/>
          </w:tcPr>
          <w:p>
            <w:r>
              <w:t>Downward trend; tracked with auditable calculation</w:t>
            </w:r>
          </w:p>
        </w:tc>
      </w:tr>
      <w:tr>
        <w:trPr>
          <w:cantSplit/>
        </w:trPr>
        <w:tc>
          <w:tcPr>
            <w:tcW w:type="dxa" w:w="3249"/>
          </w:tcPr>
          <w:p>
            <w:r>
              <w:t>Operations</w:t>
            </w:r>
          </w:p>
        </w:tc>
        <w:tc>
          <w:tcPr>
            <w:tcW w:type="dxa" w:w="3249"/>
          </w:tcPr>
          <w:p>
            <w:r>
              <w:t>Operator override rate</w:t>
            </w:r>
          </w:p>
        </w:tc>
        <w:tc>
          <w:tcPr>
            <w:tcW w:type="dxa" w:w="3249"/>
          </w:tcPr>
          <w:p>
            <w:r>
              <w:t>Declining trend after stabilization; captured with reasons</w:t>
            </w:r>
          </w:p>
        </w:tc>
      </w:tr>
      <w:tr>
        <w:trPr>
          <w:cantSplit/>
        </w:trPr>
        <w:tc>
          <w:tcPr>
            <w:tcW w:type="dxa" w:w="3249"/>
          </w:tcPr>
          <w:p>
            <w:r>
              <w:t>Latency</w:t>
            </w:r>
          </w:p>
        </w:tc>
        <w:tc>
          <w:tcPr>
            <w:tcW w:type="dxa" w:w="3249"/>
          </w:tcPr>
          <w:p>
            <w:r>
              <w:t>Decision-to-actuation cycle time</w:t>
            </w:r>
          </w:p>
        </w:tc>
        <w:tc>
          <w:tcPr>
            <w:tcW w:type="dxa" w:w="3249"/>
          </w:tcPr>
          <w:p>
            <w:r>
              <w:t>Supervisory loop &lt;= 60s typical; configurable by unit</w:t>
            </w:r>
          </w:p>
        </w:tc>
      </w:tr>
    </w:tbl>
    <w:p>
      <w:pPr>
        <w:pStyle w:val="Heading1"/>
      </w:pPr>
      <w:r>
        <w:t>3. Teams, Responsibilities, and Deliverables</w:t>
      </w:r>
    </w:p>
    <w:p>
      <w:pPr>
        <w:pStyle w:val="Heading2"/>
      </w:pPr>
      <w:r>
        <w:t>3.1 Cross-Functional Workstreams</w:t>
      </w:r>
    </w:p>
    <w:p>
      <w:r>
        <w:t>GL-001 requires coordinated delivery across the following workstreams. Each workstream owns specific artifacts and acceptance tests.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tcPr>
          <w:p>
            <w:r>
              <w:t>Team / Function</w:t>
            </w:r>
          </w:p>
        </w:tc>
        <w:tc>
          <w:tcPr>
            <w:tcW w:type="dxa" w:w="2436"/>
          </w:tcPr>
          <w:p>
            <w:r>
              <w:t>Primary Responsibilities</w:t>
            </w:r>
          </w:p>
        </w:tc>
        <w:tc>
          <w:tcPr>
            <w:tcW w:type="dxa" w:w="2436"/>
          </w:tcPr>
          <w:p>
            <w:r>
              <w:t>Key Deliverables</w:t>
            </w:r>
          </w:p>
        </w:tc>
        <w:tc>
          <w:tcPr>
            <w:tcW w:type="dxa" w:w="2436"/>
          </w:tcPr>
          <w:p>
            <w:r>
              <w:t>Acceptance Evidence</w:t>
            </w:r>
          </w:p>
        </w:tc>
      </w:tr>
      <w:tr>
        <w:tc>
          <w:tcPr>
            <w:tcW w:type="dxa" w:w="2436"/>
          </w:tcPr>
          <w:p>
            <w:r>
              <w:t>AI/ML Engineering</w:t>
            </w:r>
          </w:p>
        </w:tc>
        <w:tc>
          <w:tcPr>
            <w:tcW w:type="dxa" w:w="2436"/>
          </w:tcPr>
          <w:p>
            <w:r>
              <w:t>Forecasting, anomaly detection, equipment health models; UQ; SHAP/LIME explainability; model governance.</w:t>
            </w:r>
          </w:p>
        </w:tc>
        <w:tc>
          <w:tcPr>
            <w:tcW w:type="dxa" w:w="2436"/>
          </w:tcPr>
          <w:p>
            <w:r>
              <w:t>Model registry; training pipelines; feature definitions; explainability dashboards; drift monitors.</w:t>
            </w:r>
          </w:p>
        </w:tc>
        <w:tc>
          <w:tcPr>
            <w:tcW w:type="dxa" w:w="2436"/>
          </w:tcPr>
          <w:p>
            <w:r>
              <w:t>Backtests; calibration/UQ reports; explainability examples; model cards; reproducibility checks.</w:t>
            </w:r>
          </w:p>
        </w:tc>
      </w:tr>
      <w:tr>
        <w:tc>
          <w:tcPr>
            <w:tcW w:type="dxa" w:w="2436"/>
          </w:tcPr>
          <w:p>
            <w:r>
              <w:t>Data Engineering</w:t>
            </w:r>
          </w:p>
        </w:tc>
        <w:tc>
          <w:tcPr>
            <w:tcW w:type="dxa" w:w="2436"/>
          </w:tcPr>
          <w:p>
            <w:r>
              <w:t>Ingestion, normalization, unit conversions; data quality; feature store; lineage; schema management.</w:t>
            </w:r>
          </w:p>
        </w:tc>
        <w:tc>
          <w:tcPr>
            <w:tcW w:type="dxa" w:w="2436"/>
          </w:tcPr>
          <w:p>
            <w:r>
              <w:t>OPC-UA mappings; Kafka topics/schemas; data lake/warehouse tables; validation rules.</w:t>
            </w:r>
          </w:p>
        </w:tc>
        <w:tc>
          <w:tcPr>
            <w:tcW w:type="dxa" w:w="2436"/>
          </w:tcPr>
          <w:p>
            <w:r>
              <w:t>Data completeness/latency SLAs; DQ dashboards; lineage reports; contract tests.</w:t>
            </w:r>
          </w:p>
        </w:tc>
      </w:tr>
      <w:tr>
        <w:tc>
          <w:tcPr>
            <w:tcW w:type="dxa" w:w="2436"/>
          </w:tcPr>
          <w:p>
            <w:r>
              <w:t>Software Platform (APIs/Orchestration)</w:t>
            </w:r>
          </w:p>
        </w:tc>
        <w:tc>
          <w:tcPr>
            <w:tcW w:type="dxa" w:w="2436"/>
          </w:tcPr>
          <w:p>
            <w:r>
              <w:t>Coordinator services; GraphQL/gRPC APIs; webhooks; state management; audit logging; RBAC.</w:t>
            </w:r>
          </w:p>
        </w:tc>
        <w:tc>
          <w:tcPr>
            <w:tcW w:type="dxa" w:w="2436"/>
          </w:tcPr>
          <w:p>
            <w:r>
              <w:t>Microservices; API specs; event envelopes; audit store; configuration UI.</w:t>
            </w:r>
          </w:p>
        </w:tc>
        <w:tc>
          <w:tcPr>
            <w:tcW w:type="dxa" w:w="2436"/>
          </w:tcPr>
          <w:p>
            <w:r>
              <w:t>Load/perf tests; security tests; trace logs; API conformance tests.</w:t>
            </w:r>
          </w:p>
        </w:tc>
      </w:tr>
      <w:tr>
        <w:tc>
          <w:tcPr>
            <w:tcW w:type="dxa" w:w="2436"/>
          </w:tcPr>
          <w:p>
            <w:r>
              <w:t>OT Controls &amp; SCADA</w:t>
            </w:r>
          </w:p>
        </w:tc>
        <w:tc>
          <w:tcPr>
            <w:tcW w:type="dxa" w:w="2436"/>
          </w:tcPr>
          <w:p>
            <w:r>
              <w:t>OPC-UA connectivity; supervisory setpoint write path; control mode management; cascade PID integration.</w:t>
            </w:r>
          </w:p>
        </w:tc>
        <w:tc>
          <w:tcPr>
            <w:tcW w:type="dxa" w:w="2436"/>
          </w:tcPr>
          <w:p>
            <w:r>
              <w:t>Tag lists; write enable logic; bumpless transfer strategy; HMI integration points.</w:t>
            </w:r>
          </w:p>
        </w:tc>
        <w:tc>
          <w:tcPr>
            <w:tcW w:type="dxa" w:w="2436"/>
          </w:tcPr>
          <w:p>
            <w:r>
              <w:t>FAT/SAT results; closed-loop simulation; change control approvals.</w:t>
            </w:r>
          </w:p>
        </w:tc>
      </w:tr>
      <w:tr>
        <w:tc>
          <w:tcPr>
            <w:tcW w:type="dxa" w:w="2436"/>
          </w:tcPr>
          <w:p>
            <w:r>
              <w:t>Process/Thermal Engineering</w:t>
            </w:r>
          </w:p>
        </w:tc>
        <w:tc>
          <w:tcPr>
            <w:tcW w:type="dxa" w:w="2436"/>
          </w:tcPr>
          <w:p>
            <w:r>
              <w:t>Thermal network model; equipment constraints; operating envelopes; loss models; physics validation.</w:t>
            </w:r>
          </w:p>
        </w:tc>
        <w:tc>
          <w:tcPr>
            <w:tcW w:type="dxa" w:w="2436"/>
          </w:tcPr>
          <w:p>
            <w:r>
              <w:t>Heat balance model; constraint library; unit test cases for plant scenarios.</w:t>
            </w:r>
          </w:p>
        </w:tc>
        <w:tc>
          <w:tcPr>
            <w:tcW w:type="dxa" w:w="2436"/>
          </w:tcPr>
          <w:p>
            <w:r>
              <w:t>Engineering sign-off; model validation vs plant history; documented assumptions.</w:t>
            </w:r>
          </w:p>
        </w:tc>
      </w:tr>
      <w:tr>
        <w:tc>
          <w:tcPr>
            <w:tcW w:type="dxa" w:w="2436"/>
          </w:tcPr>
          <w:p>
            <w:r>
              <w:t>Safety/SIS Engineering</w:t>
            </w:r>
          </w:p>
        </w:tc>
        <w:tc>
          <w:tcPr>
            <w:tcW w:type="dxa" w:w="2436"/>
          </w:tcPr>
          <w:p>
            <w:r>
              <w:t>Safety boundaries; interlock assumptions; LOPA/HAZOP alignment; enforcement design; proof test plan.</w:t>
            </w:r>
          </w:p>
        </w:tc>
        <w:tc>
          <w:tcPr>
            <w:tcW w:type="dxa" w:w="2436"/>
          </w:tcPr>
          <w:p>
            <w:r>
              <w:t>Boundary policy config; safety monitors; MOC package; incident playbooks.</w:t>
            </w:r>
          </w:p>
        </w:tc>
        <w:tc>
          <w:tcPr>
            <w:tcW w:type="dxa" w:w="2436"/>
          </w:tcPr>
          <w:p>
            <w:r>
              <w:t>Safety authority approval; boundary test results; evidence of independence from SIS.</w:t>
            </w:r>
          </w:p>
        </w:tc>
      </w:tr>
      <w:tr>
        <w:tc>
          <w:tcPr>
            <w:tcW w:type="dxa" w:w="2436"/>
          </w:tcPr>
          <w:p>
            <w:r>
              <w:t>Maintenance &amp; Reliability (CMMS)</w:t>
            </w:r>
          </w:p>
        </w:tc>
        <w:tc>
          <w:tcPr>
            <w:tcW w:type="dxa" w:w="2436"/>
          </w:tcPr>
          <w:p>
            <w:r>
              <w:t>Work order triggers; maintenance schedules; asset hierarchy; failure modes; reliability KPIs.</w:t>
            </w:r>
          </w:p>
        </w:tc>
        <w:tc>
          <w:tcPr>
            <w:tcW w:type="dxa" w:w="2436"/>
          </w:tcPr>
          <w:p>
            <w:r>
              <w:t>CMMS integration; event-to-work-order mapping; maintenance dashboards.</w:t>
            </w:r>
          </w:p>
        </w:tc>
        <w:tc>
          <w:tcPr>
            <w:tcW w:type="dxa" w:w="2436"/>
          </w:tcPr>
          <w:p>
            <w:r>
              <w:t>Closed-loop trace from health signal to work order to completion; audit trail.</w:t>
            </w:r>
          </w:p>
        </w:tc>
      </w:tr>
      <w:tr>
        <w:tc>
          <w:tcPr>
            <w:tcW w:type="dxa" w:w="2436"/>
          </w:tcPr>
          <w:p>
            <w:r>
              <w:t>Climate / Energy Intelligence</w:t>
            </w:r>
          </w:p>
        </w:tc>
        <w:tc>
          <w:tcPr>
            <w:tcW w:type="dxa" w:w="2436"/>
          </w:tcPr>
          <w:p>
            <w:r>
              <w:t>Weather forecasts; energy price feeds; emissions factors; scenario inputs and monitoring.</w:t>
            </w:r>
          </w:p>
        </w:tc>
        <w:tc>
          <w:tcPr>
            <w:tcW w:type="dxa" w:w="2436"/>
          </w:tcPr>
          <w:p>
            <w:r>
              <w:t>Forecast service; price feed adapters; emissions calculation spec.</w:t>
            </w:r>
          </w:p>
        </w:tc>
        <w:tc>
          <w:tcPr>
            <w:tcW w:type="dxa" w:w="2436"/>
          </w:tcPr>
          <w:p>
            <w:r>
              <w:t>Feed accuracy monitoring; fallback behavior; documented sources.</w:t>
            </w:r>
          </w:p>
        </w:tc>
      </w:tr>
      <w:tr>
        <w:tc>
          <w:tcPr>
            <w:tcW w:type="dxa" w:w="2436"/>
          </w:tcPr>
          <w:p>
            <w:r>
              <w:t>Cybersecurity / Compliance</w:t>
            </w:r>
          </w:p>
        </w:tc>
        <w:tc>
          <w:tcPr>
            <w:tcW w:type="dxa" w:w="2436"/>
          </w:tcPr>
          <w:p>
            <w:r>
              <w:t>Network segmentation; cert management; secrets; logging/retention; access control; threat modeling.</w:t>
            </w:r>
          </w:p>
        </w:tc>
        <w:tc>
          <w:tcPr>
            <w:tcW w:type="dxa" w:w="2436"/>
          </w:tcPr>
          <w:p>
            <w:r>
              <w:t>Security architecture; IAM roles; pen test results; compliance mapping.</w:t>
            </w:r>
          </w:p>
        </w:tc>
        <w:tc>
          <w:tcPr>
            <w:tcW w:type="dxa" w:w="2436"/>
          </w:tcPr>
          <w:p>
            <w:r>
              <w:t>Security review sign-off; vulnerability remediation evidence; audit retention validation.</w:t>
            </w:r>
          </w:p>
        </w:tc>
      </w:tr>
      <w:tr>
        <w:tc>
          <w:tcPr>
            <w:tcW w:type="dxa" w:w="2436"/>
          </w:tcPr>
          <w:p>
            <w:r>
              <w:t>SRE/DevOps</w:t>
            </w:r>
          </w:p>
        </w:tc>
        <w:tc>
          <w:tcPr>
            <w:tcW w:type="dxa" w:w="2436"/>
          </w:tcPr>
          <w:p>
            <w:r>
              <w:t>Deployments; monitoring; incident response; scaling; DR/backup; CI/CD pipelines.</w:t>
            </w:r>
          </w:p>
        </w:tc>
        <w:tc>
          <w:tcPr>
            <w:tcW w:type="dxa" w:w="2436"/>
          </w:tcPr>
          <w:p>
            <w:r>
              <w:t>Infra-as-code; runbooks; dashboards; SLOs; on-call rotation.</w:t>
            </w:r>
          </w:p>
        </w:tc>
        <w:tc>
          <w:tcPr>
            <w:tcW w:type="dxa" w:w="2436"/>
          </w:tcPr>
          <w:p>
            <w:r>
              <w:t>Game days; restore tests; SLO compliance reports.</w:t>
            </w:r>
          </w:p>
        </w:tc>
      </w:tr>
    </w:tbl>
    <w:p>
      <w:r>
        <w:br w:type="page"/>
      </w:r>
    </w:p>
    <w:p>
      <w:pPr>
        <w:pStyle w:val="Heading2"/>
      </w:pPr>
      <w:r>
        <w:t>3.2 RACI (high-level)</w:t>
      </w:r>
    </w:p>
    <w:p>
      <w:r>
        <w:t>RACI is project-specific; below is a template to finalize during kickoff.</w:t>
      </w:r>
    </w:p>
    <w:tbl>
      <w:tblPr>
        <w:tblStyle w:val="TableGrid"/>
        <w:tblW w:type="auto" w:w="0"/>
        <w:tblLook w:firstColumn="1" w:firstRow="1" w:lastColumn="0" w:lastRow="0" w:noHBand="0" w:noVBand="1" w:val="04A0"/>
      </w:tblPr>
      <w:tblGrid>
        <w:gridCol w:w="1949"/>
        <w:gridCol w:w="1949"/>
        <w:gridCol w:w="1949"/>
        <w:gridCol w:w="1949"/>
        <w:gridCol w:w="1949"/>
      </w:tblGrid>
      <w:tr>
        <w:trPr>
          <w:cantSplit/>
        </w:trPr>
        <w:tc>
          <w:tcPr>
            <w:tcW w:type="dxa" w:w="1949"/>
          </w:tcPr>
          <w:p>
            <w:r>
              <w:t>Decision Area</w:t>
            </w:r>
          </w:p>
        </w:tc>
        <w:tc>
          <w:tcPr>
            <w:tcW w:type="dxa" w:w="1949"/>
          </w:tcPr>
          <w:p>
            <w:r>
              <w:t>Responsible</w:t>
            </w:r>
          </w:p>
        </w:tc>
        <w:tc>
          <w:tcPr>
            <w:tcW w:type="dxa" w:w="1949"/>
          </w:tcPr>
          <w:p>
            <w:r>
              <w:t>Accountable</w:t>
            </w:r>
          </w:p>
        </w:tc>
        <w:tc>
          <w:tcPr>
            <w:tcW w:type="dxa" w:w="1949"/>
          </w:tcPr>
          <w:p>
            <w:r>
              <w:t>Consulted</w:t>
            </w:r>
          </w:p>
        </w:tc>
        <w:tc>
          <w:tcPr>
            <w:tcW w:type="dxa" w:w="1949"/>
          </w:tcPr>
          <w:p>
            <w:r>
              <w:t>Informed</w:t>
            </w:r>
          </w:p>
        </w:tc>
      </w:tr>
      <w:tr>
        <w:trPr>
          <w:cantSplit/>
        </w:trPr>
        <w:tc>
          <w:tcPr>
            <w:tcW w:type="dxa" w:w="1949"/>
          </w:tcPr>
          <w:p>
            <w:r>
              <w:t>Safety boundary policy (allowed actions, limits)</w:t>
            </w:r>
          </w:p>
        </w:tc>
        <w:tc>
          <w:tcPr>
            <w:tcW w:type="dxa" w:w="1949"/>
          </w:tcPr>
          <w:p>
            <w:r>
              <w:t>Safety/SIS Eng</w:t>
            </w:r>
          </w:p>
        </w:tc>
        <w:tc>
          <w:tcPr>
            <w:tcW w:type="dxa" w:w="1949"/>
          </w:tcPr>
          <w:p>
            <w:r>
              <w:t>Plant Safety Authority</w:t>
            </w:r>
          </w:p>
        </w:tc>
        <w:tc>
          <w:tcPr>
            <w:tcW w:type="dxa" w:w="1949"/>
          </w:tcPr>
          <w:p>
            <w:r>
              <w:t>OT Controls, Ops, Cyber</w:t>
            </w:r>
          </w:p>
        </w:tc>
        <w:tc>
          <w:tcPr>
            <w:tcW w:type="dxa" w:w="1949"/>
          </w:tcPr>
          <w:p>
            <w:r>
              <w:t>All teams</w:t>
            </w:r>
          </w:p>
        </w:tc>
      </w:tr>
      <w:tr>
        <w:trPr>
          <w:cantSplit/>
        </w:trPr>
        <w:tc>
          <w:tcPr>
            <w:tcW w:type="dxa" w:w="1949"/>
          </w:tcPr>
          <w:p>
            <w:r>
              <w:t>OPC-UA write permissions and modes</w:t>
            </w:r>
          </w:p>
        </w:tc>
        <w:tc>
          <w:tcPr>
            <w:tcW w:type="dxa" w:w="1949"/>
          </w:tcPr>
          <w:p>
            <w:r>
              <w:t>OT Controls</w:t>
            </w:r>
          </w:p>
        </w:tc>
        <w:tc>
          <w:tcPr>
            <w:tcW w:type="dxa" w:w="1949"/>
          </w:tcPr>
          <w:p>
            <w:r>
              <w:t>Ops Manager</w:t>
            </w:r>
          </w:p>
        </w:tc>
        <w:tc>
          <w:tcPr>
            <w:tcW w:type="dxa" w:w="1949"/>
          </w:tcPr>
          <w:p>
            <w:r>
              <w:t>Cyber, Safety</w:t>
            </w:r>
          </w:p>
        </w:tc>
        <w:tc>
          <w:tcPr>
            <w:tcW w:type="dxa" w:w="1949"/>
          </w:tcPr>
          <w:p>
            <w:r>
              <w:t>All teams</w:t>
            </w:r>
          </w:p>
        </w:tc>
      </w:tr>
      <w:tr>
        <w:trPr>
          <w:cantSplit/>
        </w:trPr>
        <w:tc>
          <w:tcPr>
            <w:tcW w:type="dxa" w:w="1949"/>
          </w:tcPr>
          <w:p>
            <w:r>
              <w:t>Optimization objective weights (cost vs emissions vs stability)</w:t>
            </w:r>
          </w:p>
        </w:tc>
        <w:tc>
          <w:tcPr>
            <w:tcW w:type="dxa" w:w="1949"/>
          </w:tcPr>
          <w:p>
            <w:r>
              <w:t>Process/Thermal Eng</w:t>
            </w:r>
          </w:p>
        </w:tc>
        <w:tc>
          <w:tcPr>
            <w:tcW w:type="dxa" w:w="1949"/>
          </w:tcPr>
          <w:p>
            <w:r>
              <w:t>Plant Manager</w:t>
            </w:r>
          </w:p>
        </w:tc>
        <w:tc>
          <w:tcPr>
            <w:tcW w:type="dxa" w:w="1949"/>
          </w:tcPr>
          <w:p>
            <w:r>
              <w:t>Ops, AI/ML, Finance</w:t>
            </w:r>
          </w:p>
        </w:tc>
        <w:tc>
          <w:tcPr>
            <w:tcW w:type="dxa" w:w="1949"/>
          </w:tcPr>
          <w:p>
            <w:r>
              <w:t>All teams</w:t>
            </w:r>
          </w:p>
        </w:tc>
      </w:tr>
      <w:tr>
        <w:trPr>
          <w:cantSplit/>
        </w:trPr>
        <w:tc>
          <w:tcPr>
            <w:tcW w:type="dxa" w:w="1949"/>
          </w:tcPr>
          <w:p>
            <w:r>
              <w:t>ML model promotion to production</w:t>
            </w:r>
          </w:p>
        </w:tc>
        <w:tc>
          <w:tcPr>
            <w:tcW w:type="dxa" w:w="1949"/>
          </w:tcPr>
          <w:p>
            <w:r>
              <w:t>AI/ML</w:t>
            </w:r>
          </w:p>
        </w:tc>
        <w:tc>
          <w:tcPr>
            <w:tcW w:type="dxa" w:w="1949"/>
          </w:tcPr>
          <w:p>
            <w:r>
              <w:t>Model Governance Board</w:t>
            </w:r>
          </w:p>
        </w:tc>
        <w:tc>
          <w:tcPr>
            <w:tcW w:type="dxa" w:w="1949"/>
          </w:tcPr>
          <w:p>
            <w:r>
              <w:t>Ops, Safety, Data Eng</w:t>
            </w:r>
          </w:p>
        </w:tc>
        <w:tc>
          <w:tcPr>
            <w:tcW w:type="dxa" w:w="1949"/>
          </w:tcPr>
          <w:p>
            <w:r>
              <w:t>All teams</w:t>
            </w:r>
          </w:p>
        </w:tc>
      </w:tr>
      <w:tr>
        <w:trPr>
          <w:cantSplit/>
        </w:trPr>
        <w:tc>
          <w:tcPr>
            <w:tcW w:type="dxa" w:w="1949"/>
          </w:tcPr>
          <w:p>
            <w:r>
              <w:t>Release / change control to plant</w:t>
            </w:r>
          </w:p>
        </w:tc>
        <w:tc>
          <w:tcPr>
            <w:tcW w:type="dxa" w:w="1949"/>
          </w:tcPr>
          <w:p>
            <w:r>
              <w:t>SRE/DevOps</w:t>
            </w:r>
          </w:p>
        </w:tc>
        <w:tc>
          <w:tcPr>
            <w:tcW w:type="dxa" w:w="1949"/>
          </w:tcPr>
          <w:p>
            <w:r>
              <w:t>Change Advisory Board</w:t>
            </w:r>
          </w:p>
        </w:tc>
        <w:tc>
          <w:tcPr>
            <w:tcW w:type="dxa" w:w="1949"/>
          </w:tcPr>
          <w:p>
            <w:r>
              <w:t>OT Controls, Safety</w:t>
            </w:r>
          </w:p>
        </w:tc>
        <w:tc>
          <w:tcPr>
            <w:tcW w:type="dxa" w:w="1949"/>
          </w:tcPr>
          <w:p>
            <w:r>
              <w:t>All teams</w:t>
            </w:r>
          </w:p>
        </w:tc>
      </w:tr>
    </w:tbl>
    <w:p>
      <w:pPr>
        <w:pStyle w:val="Heading1"/>
      </w:pPr>
      <w:r>
        <w:t>4. System Architecture Overview</w:t>
      </w:r>
    </w:p>
    <w:p>
      <w:pPr>
        <w:pStyle w:val="Heading2"/>
      </w:pPr>
      <w:r>
        <w:t>4.1 Conceptual Architecture</w:t>
      </w:r>
    </w:p>
    <w:p>
      <w:r>
        <w:t>The orchestrator is composed of ingestion and context services, an optimization core, a control layer, and execution/feedback services. All decisions are logged and linked to the exact input data, model versions, and constraint sets used at runtime.</w:t>
      </w:r>
    </w:p>
    <w:p>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gl001_architecture.png"/>
                    <pic:cNvPicPr/>
                  </pic:nvPicPr>
                  <pic:blipFill>
                    <a:blip r:embed="rId10"/>
                    <a:stretch>
                      <a:fillRect/>
                    </a:stretch>
                  </pic:blipFill>
                  <pic:spPr>
                    <a:xfrm>
                      <a:off x="0" y="0"/>
                      <a:ext cx="6126480" cy="3063240"/>
                    </a:xfrm>
                    <a:prstGeom prst="rect"/>
                  </pic:spPr>
                </pic:pic>
              </a:graphicData>
            </a:graphic>
          </wp:inline>
        </w:drawing>
      </w:r>
    </w:p>
    <w:p>
      <w:pPr>
        <w:jc w:val="center"/>
      </w:pPr>
      <w:r>
        <w:t>Figure 1 - GL-001 high-level architecture (conceptual).</w:t>
      </w:r>
    </w:p>
    <w:p>
      <w:pPr>
        <w:pStyle w:val="Heading2"/>
      </w:pPr>
      <w:r>
        <w:t>4.2 Operating Modes</w:t>
      </w:r>
    </w:p>
    <w:p>
      <w:pPr>
        <w:pStyle w:val="ListBullet"/>
      </w:pPr>
      <w:r>
        <w:t>Advisory (recommended setpoints/dispatch only; operators approve or auto-apply by policy).</w:t>
      </w:r>
    </w:p>
    <w:p>
      <w:pPr>
        <w:pStyle w:val="ListBullet"/>
      </w:pPr>
      <w:r>
        <w:t>Supervisory closed-loop (GL-001 writes supervisory targets within bounded envelopes; local loops remain in PLC/DCS).</w:t>
      </w:r>
    </w:p>
    <w:p>
      <w:pPr>
        <w:pStyle w:val="ListBullet"/>
      </w:pPr>
      <w:r>
        <w:t>Degraded / fallback (loss of certain data feeds; conservative constraints and static allocations).</w:t>
      </w:r>
    </w:p>
    <w:p>
      <w:pPr>
        <w:pStyle w:val="ListBullet"/>
      </w:pPr>
      <w:r>
        <w:t>Emergency (SIS trip or safety-critical alarms; GL-001 halts actions and provides situational reports).</w:t>
      </w:r>
    </w:p>
    <w:p>
      <w:pPr>
        <w:pStyle w:val="Heading1"/>
      </w:pPr>
      <w:r>
        <w:t>5. Data Requirements and Contracts</w:t>
      </w:r>
    </w:p>
    <w:p>
      <w:pPr>
        <w:pStyle w:val="Heading2"/>
      </w:pPr>
      <w:r>
        <w:t>5.1 Canonical Data Domains</w:t>
      </w:r>
    </w:p>
    <w:p>
      <w:r>
        <w:t>GL-001 consumes and produces data across the following domains. Data engineering must define canonical schemas, units, and ownership.</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t>Domain</w:t>
            </w:r>
          </w:p>
        </w:tc>
        <w:tc>
          <w:tcPr>
            <w:tcW w:type="dxa" w:w="1624"/>
          </w:tcPr>
          <w:p>
            <w:r>
              <w:t>Examples</w:t>
            </w:r>
          </w:p>
        </w:tc>
        <w:tc>
          <w:tcPr>
            <w:tcW w:type="dxa" w:w="1624"/>
          </w:tcPr>
          <w:p>
            <w:r>
              <w:t>Source System</w:t>
            </w:r>
          </w:p>
        </w:tc>
        <w:tc>
          <w:tcPr>
            <w:tcW w:type="dxa" w:w="1624"/>
          </w:tcPr>
          <w:p>
            <w:r>
              <w:t>Typical Frequency</w:t>
            </w:r>
          </w:p>
        </w:tc>
        <w:tc>
          <w:tcPr>
            <w:tcW w:type="dxa" w:w="1624"/>
          </w:tcPr>
          <w:p>
            <w:r>
              <w:t>Latency SLA</w:t>
            </w:r>
          </w:p>
        </w:tc>
        <w:tc>
          <w:tcPr>
            <w:tcW w:type="dxa" w:w="1624"/>
          </w:tcPr>
          <w:p>
            <w:r>
              <w:t>Notes / Quality Rules</w:t>
            </w:r>
          </w:p>
        </w:tc>
      </w:tr>
      <w:tr>
        <w:tc>
          <w:tcPr>
            <w:tcW w:type="dxa" w:w="1624"/>
          </w:tcPr>
          <w:p>
            <w:r>
              <w:t>Process sensors</w:t>
            </w:r>
          </w:p>
        </w:tc>
        <w:tc>
          <w:tcPr>
            <w:tcW w:type="dxa" w:w="1624"/>
          </w:tcPr>
          <w:p>
            <w:r>
              <w:t>Header pressure/temp; flow; valve positions; HX outlet temps; condensate return</w:t>
            </w:r>
          </w:p>
        </w:tc>
        <w:tc>
          <w:tcPr>
            <w:tcW w:type="dxa" w:w="1624"/>
          </w:tcPr>
          <w:p>
            <w:r>
              <w:t>SCADA/PLC via OPC-UA</w:t>
            </w:r>
          </w:p>
        </w:tc>
        <w:tc>
          <w:tcPr>
            <w:tcW w:type="dxa" w:w="1624"/>
          </w:tcPr>
          <w:p>
            <w:r>
              <w:t>1-5s</w:t>
            </w:r>
          </w:p>
        </w:tc>
        <w:tc>
          <w:tcPr>
            <w:tcW w:type="dxa" w:w="1624"/>
          </w:tcPr>
          <w:p>
            <w:r>
              <w:t>&lt;10s end-to-end</w:t>
            </w:r>
          </w:p>
        </w:tc>
        <w:tc>
          <w:tcPr>
            <w:tcW w:type="dxa" w:w="1624"/>
          </w:tcPr>
          <w:p>
            <w:r>
              <w:t>Unit normalization; bad-value handling; timestamp alignment</w:t>
            </w:r>
          </w:p>
        </w:tc>
      </w:tr>
      <w:tr>
        <w:tc>
          <w:tcPr>
            <w:tcW w:type="dxa" w:w="1624"/>
          </w:tcPr>
          <w:p>
            <w:r>
              <w:t>Energy consumption</w:t>
            </w:r>
          </w:p>
        </w:tc>
        <w:tc>
          <w:tcPr>
            <w:tcW w:type="dxa" w:w="1624"/>
          </w:tcPr>
          <w:p>
            <w:r>
              <w:t>Fuel flow; electricity kW; steam production; boiler efficiency</w:t>
            </w:r>
          </w:p>
        </w:tc>
        <w:tc>
          <w:tcPr>
            <w:tcW w:type="dxa" w:w="1624"/>
          </w:tcPr>
          <w:p>
            <w:r>
              <w:t>Energy meters/EMS</w:t>
            </w:r>
          </w:p>
        </w:tc>
        <w:tc>
          <w:tcPr>
            <w:tcW w:type="dxa" w:w="1624"/>
          </w:tcPr>
          <w:p>
            <w:r>
              <w:t>5-60s</w:t>
            </w:r>
          </w:p>
        </w:tc>
        <w:tc>
          <w:tcPr>
            <w:tcW w:type="dxa" w:w="1624"/>
          </w:tcPr>
          <w:p>
            <w:r>
              <w:t>&lt;60s</w:t>
            </w:r>
          </w:p>
        </w:tc>
        <w:tc>
          <w:tcPr>
            <w:tcW w:type="dxa" w:w="1624"/>
          </w:tcPr>
          <w:p>
            <w:r>
              <w:t>Reconcile with billing-grade meters; time zone consistency</w:t>
            </w:r>
          </w:p>
        </w:tc>
      </w:tr>
      <w:tr>
        <w:tc>
          <w:tcPr>
            <w:tcW w:type="dxa" w:w="1624"/>
          </w:tcPr>
          <w:p>
            <w:r>
              <w:t>Safety system status</w:t>
            </w:r>
          </w:p>
        </w:tc>
        <w:tc>
          <w:tcPr>
            <w:tcW w:type="dxa" w:w="1624"/>
          </w:tcPr>
          <w:p>
            <w:r>
              <w:t>SIS permissives; trip statuses; proof test states; bypasses</w:t>
            </w:r>
          </w:p>
        </w:tc>
        <w:tc>
          <w:tcPr>
            <w:tcW w:type="dxa" w:w="1624"/>
          </w:tcPr>
          <w:p>
            <w:r>
              <w:t>SIS historian / gateway</w:t>
            </w:r>
          </w:p>
        </w:tc>
        <w:tc>
          <w:tcPr>
            <w:tcW w:type="dxa" w:w="1624"/>
          </w:tcPr>
          <w:p>
            <w:r>
              <w:t>1-10s</w:t>
            </w:r>
          </w:p>
        </w:tc>
        <w:tc>
          <w:tcPr>
            <w:tcW w:type="dxa" w:w="1624"/>
          </w:tcPr>
          <w:p>
            <w:r>
              <w:t>&lt;10s</w:t>
            </w:r>
          </w:p>
        </w:tc>
        <w:tc>
          <w:tcPr>
            <w:tcW w:type="dxa" w:w="1624"/>
          </w:tcPr>
          <w:p>
            <w:r>
              <w:t>Read-only; enforce separation and access policy</w:t>
            </w:r>
          </w:p>
        </w:tc>
      </w:tr>
      <w:tr>
        <w:tc>
          <w:tcPr>
            <w:tcW w:type="dxa" w:w="1624"/>
          </w:tcPr>
          <w:p>
            <w:r>
              <w:t>Production schedules</w:t>
            </w:r>
          </w:p>
        </w:tc>
        <w:tc>
          <w:tcPr>
            <w:tcW w:type="dxa" w:w="1624"/>
          </w:tcPr>
          <w:p>
            <w:r>
              <w:t>Campaigns; unit targets; batch plans; constraints</w:t>
            </w:r>
          </w:p>
        </w:tc>
        <w:tc>
          <w:tcPr>
            <w:tcW w:type="dxa" w:w="1624"/>
          </w:tcPr>
          <w:p>
            <w:r>
              <w:t>ERP/MES</w:t>
            </w:r>
          </w:p>
        </w:tc>
        <w:tc>
          <w:tcPr>
            <w:tcW w:type="dxa" w:w="1624"/>
          </w:tcPr>
          <w:p>
            <w:r>
              <w:t>15m-24h</w:t>
            </w:r>
          </w:p>
        </w:tc>
        <w:tc>
          <w:tcPr>
            <w:tcW w:type="dxa" w:w="1624"/>
          </w:tcPr>
          <w:p>
            <w:r>
              <w:t>&lt;5m</w:t>
            </w:r>
          </w:p>
        </w:tc>
        <w:tc>
          <w:tcPr>
            <w:tcW w:type="dxa" w:w="1624"/>
          </w:tcPr>
          <w:p>
            <w:r>
              <w:t>Versioning; effective times; scenario overrides</w:t>
            </w:r>
          </w:p>
        </w:tc>
      </w:tr>
      <w:tr>
        <w:tc>
          <w:tcPr>
            <w:tcW w:type="dxa" w:w="1624"/>
          </w:tcPr>
          <w:p>
            <w:r>
              <w:t>Weather forecasts</w:t>
            </w:r>
          </w:p>
        </w:tc>
        <w:tc>
          <w:tcPr>
            <w:tcW w:type="dxa" w:w="1624"/>
          </w:tcPr>
          <w:p>
            <w:r>
              <w:t>Temp; humidity; wind; forecast uncertainty</w:t>
            </w:r>
          </w:p>
        </w:tc>
        <w:tc>
          <w:tcPr>
            <w:tcW w:type="dxa" w:w="1624"/>
          </w:tcPr>
          <w:p>
            <w:r>
              <w:t>Weather provider/API</w:t>
            </w:r>
          </w:p>
        </w:tc>
        <w:tc>
          <w:tcPr>
            <w:tcW w:type="dxa" w:w="1624"/>
          </w:tcPr>
          <w:p>
            <w:r>
              <w:t>1h-6h</w:t>
            </w:r>
          </w:p>
        </w:tc>
        <w:tc>
          <w:tcPr>
            <w:tcW w:type="dxa" w:w="1624"/>
          </w:tcPr>
          <w:p>
            <w:r>
              <w:t>&lt;10m</w:t>
            </w:r>
          </w:p>
        </w:tc>
        <w:tc>
          <w:tcPr>
            <w:tcW w:type="dxa" w:w="1624"/>
          </w:tcPr>
          <w:p>
            <w:r>
              <w:t>Store provider, issue time, and confidence bands</w:t>
            </w:r>
          </w:p>
        </w:tc>
      </w:tr>
      <w:tr>
        <w:tc>
          <w:tcPr>
            <w:tcW w:type="dxa" w:w="1624"/>
          </w:tcPr>
          <w:p>
            <w:r>
              <w:t>Energy prices</w:t>
            </w:r>
          </w:p>
        </w:tc>
        <w:tc>
          <w:tcPr>
            <w:tcW w:type="dxa" w:w="1624"/>
          </w:tcPr>
          <w:p>
            <w:r>
              <w:t>Day-ahead/real-time prices; fuel prices; tariffs</w:t>
            </w:r>
          </w:p>
        </w:tc>
        <w:tc>
          <w:tcPr>
            <w:tcW w:type="dxa" w:w="1624"/>
          </w:tcPr>
          <w:p>
            <w:r>
              <w:t>Market feed/API</w:t>
            </w:r>
          </w:p>
        </w:tc>
        <w:tc>
          <w:tcPr>
            <w:tcW w:type="dxa" w:w="1624"/>
          </w:tcPr>
          <w:p>
            <w:r>
              <w:t>5m-1h</w:t>
            </w:r>
          </w:p>
        </w:tc>
        <w:tc>
          <w:tcPr>
            <w:tcW w:type="dxa" w:w="1624"/>
          </w:tcPr>
          <w:p>
            <w:r>
              <w:t>&lt;10m</w:t>
            </w:r>
          </w:p>
        </w:tc>
        <w:tc>
          <w:tcPr>
            <w:tcW w:type="dxa" w:w="1624"/>
          </w:tcPr>
          <w:p>
            <w:r>
              <w:t>Fallback to last-known; detect spikes/outliers</w:t>
            </w:r>
          </w:p>
        </w:tc>
      </w:tr>
      <w:tr>
        <w:tc>
          <w:tcPr>
            <w:tcW w:type="dxa" w:w="1624"/>
          </w:tcPr>
          <w:p>
            <w:r>
              <w:t>Equipment health</w:t>
            </w:r>
          </w:p>
        </w:tc>
        <w:tc>
          <w:tcPr>
            <w:tcW w:type="dxa" w:w="1624"/>
          </w:tcPr>
          <w:p>
            <w:r>
              <w:t>Vibration; lube oil; fouling indicators; remaining useful life (RUL)</w:t>
            </w:r>
          </w:p>
        </w:tc>
        <w:tc>
          <w:tcPr>
            <w:tcW w:type="dxa" w:w="1624"/>
          </w:tcPr>
          <w:p>
            <w:r>
              <w:t>CMMS/EAM + condition monitoring</w:t>
            </w:r>
          </w:p>
        </w:tc>
        <w:tc>
          <w:tcPr>
            <w:tcW w:type="dxa" w:w="1624"/>
          </w:tcPr>
          <w:p>
            <w:r>
              <w:t>1m-1h</w:t>
            </w:r>
          </w:p>
        </w:tc>
        <w:tc>
          <w:tcPr>
            <w:tcW w:type="dxa" w:w="1624"/>
          </w:tcPr>
          <w:p>
            <w:r>
              <w:t>&lt;15m</w:t>
            </w:r>
          </w:p>
        </w:tc>
        <w:tc>
          <w:tcPr>
            <w:tcW w:type="dxa" w:w="1624"/>
          </w:tcPr>
          <w:p>
            <w:r>
              <w:t>Asset hierarchy alignment; standard failure modes</w:t>
            </w:r>
          </w:p>
        </w:tc>
      </w:tr>
      <w:tr>
        <w:tc>
          <w:tcPr>
            <w:tcW w:type="dxa" w:w="1624"/>
          </w:tcPr>
          <w:p>
            <w:r>
              <w:t>Alarm states</w:t>
            </w:r>
          </w:p>
        </w:tc>
        <w:tc>
          <w:tcPr>
            <w:tcW w:type="dxa" w:w="1624"/>
          </w:tcPr>
          <w:p>
            <w:r>
              <w:t>Process alarms; operator acknowledgements</w:t>
            </w:r>
          </w:p>
        </w:tc>
        <w:tc>
          <w:tcPr>
            <w:tcW w:type="dxa" w:w="1624"/>
          </w:tcPr>
          <w:p>
            <w:r>
              <w:t>Alarm system / historian</w:t>
            </w:r>
          </w:p>
        </w:tc>
        <w:tc>
          <w:tcPr>
            <w:tcW w:type="dxa" w:w="1624"/>
          </w:tcPr>
          <w:p>
            <w:r>
              <w:t>1-5s</w:t>
            </w:r>
          </w:p>
        </w:tc>
        <w:tc>
          <w:tcPr>
            <w:tcW w:type="dxa" w:w="1624"/>
          </w:tcPr>
          <w:p>
            <w:r>
              <w:t>&lt;10s</w:t>
            </w:r>
          </w:p>
        </w:tc>
        <w:tc>
          <w:tcPr>
            <w:tcW w:type="dxa" w:w="1624"/>
          </w:tcPr>
          <w:p>
            <w:r>
              <w:t>De-duplicate; include severity, shelving state, ack info</w:t>
            </w:r>
          </w:p>
        </w:tc>
      </w:tr>
    </w:tbl>
    <w:p>
      <w:pPr>
        <w:pStyle w:val="Heading2"/>
      </w:pPr>
      <w:r>
        <w:t>5.2 Data Quality Requirements (non-negotiable)</w:t>
      </w:r>
    </w:p>
    <w:p>
      <w:pPr>
        <w:pStyle w:val="ListBullet"/>
      </w:pPr>
      <w:r>
        <w:t>Time synchronization: all sources must be aligned to a common clock (NTP/PTP) with measured skew.</w:t>
      </w:r>
    </w:p>
    <w:p>
      <w:pPr>
        <w:pStyle w:val="ListBullet"/>
      </w:pPr>
      <w:r>
        <w:t>Unit governance: every tag must specify engineering units; conversions must be centralized and versioned.</w:t>
      </w:r>
    </w:p>
    <w:p>
      <w:pPr>
        <w:pStyle w:val="ListBullet"/>
      </w:pPr>
      <w:r>
        <w:t>Completeness: define per-tag minimum availability; missingness triggers degraded mode with alarms.</w:t>
      </w:r>
    </w:p>
    <w:p>
      <w:pPr>
        <w:pStyle w:val="ListBullet"/>
      </w:pPr>
      <w:r>
        <w:t>Truth labels: historian vs real-time values must be distinguishable; handle late-arriving data explicitly.</w:t>
      </w:r>
    </w:p>
    <w:p>
      <w:pPr>
        <w:pStyle w:val="ListBullet"/>
      </w:pPr>
      <w:r>
        <w:t>Lineage: every decision must reference input data hashes/IDs and the exact schema versions used.</w:t>
      </w:r>
    </w:p>
    <w:p>
      <w:pPr>
        <w:pStyle w:val="Heading2"/>
      </w:pPr>
      <w:r>
        <w:t>5.3 Minimum Data Dictionary (starter set)</w:t>
      </w:r>
    </w:p>
    <w:p>
      <w:r>
        <w:t>This starter list must be expanded per site. Each tag/field must be mapped to canonical names and units.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t>Canonical Name</w:t>
            </w:r>
          </w:p>
        </w:tc>
        <w:tc>
          <w:tcPr>
            <w:tcW w:type="dxa" w:w="1949"/>
          </w:tcPr>
          <w:p>
            <w:r>
              <w:t>Type</w:t>
            </w:r>
          </w:p>
        </w:tc>
        <w:tc>
          <w:tcPr>
            <w:tcW w:type="dxa" w:w="1949"/>
          </w:tcPr>
          <w:p>
            <w:r>
              <w:t>Units</w:t>
            </w:r>
          </w:p>
        </w:tc>
        <w:tc>
          <w:tcPr>
            <w:tcW w:type="dxa" w:w="1949"/>
          </w:tcPr>
          <w:p>
            <w:r>
              <w:t>Example Source Tag</w:t>
            </w:r>
          </w:p>
        </w:tc>
        <w:tc>
          <w:tcPr>
            <w:tcW w:type="dxa" w:w="1949"/>
          </w:tcPr>
          <w:p>
            <w:r>
              <w:t>Notes</w:t>
            </w:r>
          </w:p>
        </w:tc>
      </w:tr>
      <w:tr>
        <w:tc>
          <w:tcPr>
            <w:tcW w:type="dxa" w:w="1949"/>
          </w:tcPr>
          <w:p>
            <w:r>
              <w:t>steam.headerA.pressure</w:t>
            </w:r>
          </w:p>
        </w:tc>
        <w:tc>
          <w:tcPr>
            <w:tcW w:type="dxa" w:w="1949"/>
          </w:tcPr>
          <w:p>
            <w:r>
              <w:t>float</w:t>
            </w:r>
          </w:p>
        </w:tc>
        <w:tc>
          <w:tcPr>
            <w:tcW w:type="dxa" w:w="1949"/>
          </w:tcPr>
          <w:p>
            <w:r>
              <w:t>bar(g)</w:t>
            </w:r>
          </w:p>
        </w:tc>
        <w:tc>
          <w:tcPr>
            <w:tcW w:type="dxa" w:w="1949"/>
          </w:tcPr>
          <w:p>
            <w:r>
              <w:t>OPC/Steam/HA/P</w:t>
            </w:r>
          </w:p>
        </w:tc>
        <w:tc>
          <w:tcPr>
            <w:tcW w:type="dxa" w:w="1949"/>
          </w:tcPr>
          <w:p>
            <w:r>
              <w:t>Validated; used for dispatch constraints</w:t>
            </w:r>
          </w:p>
        </w:tc>
      </w:tr>
      <w:tr>
        <w:tc>
          <w:tcPr>
            <w:tcW w:type="dxa" w:w="1949"/>
          </w:tcPr>
          <w:p>
            <w:r>
              <w:t>steam.headerA.temperature</w:t>
            </w:r>
          </w:p>
        </w:tc>
        <w:tc>
          <w:tcPr>
            <w:tcW w:type="dxa" w:w="1949"/>
          </w:tcPr>
          <w:p>
            <w:r>
              <w:t>float</w:t>
            </w:r>
          </w:p>
        </w:tc>
        <w:tc>
          <w:tcPr>
            <w:tcW w:type="dxa" w:w="1949"/>
          </w:tcPr>
          <w:p>
            <w:r>
              <w:t>C</w:t>
            </w:r>
          </w:p>
        </w:tc>
        <w:tc>
          <w:tcPr>
            <w:tcW w:type="dxa" w:w="1949"/>
          </w:tcPr>
          <w:p>
            <w:r>
              <w:t>OPC/Steam/HA/T</w:t>
            </w:r>
          </w:p>
        </w:tc>
        <w:tc>
          <w:tcPr>
            <w:tcW w:type="dxa" w:w="1949"/>
          </w:tcPr>
          <w:p>
            <w:r>
              <w:t>Used for enthalpy and quality checks</w:t>
            </w:r>
          </w:p>
        </w:tc>
      </w:tr>
      <w:tr>
        <w:tc>
          <w:tcPr>
            <w:tcW w:type="dxa" w:w="1949"/>
          </w:tcPr>
          <w:p>
            <w:r>
              <w:t>steam.headerA.flow_total</w:t>
            </w:r>
          </w:p>
        </w:tc>
        <w:tc>
          <w:tcPr>
            <w:tcW w:type="dxa" w:w="1949"/>
          </w:tcPr>
          <w:p>
            <w:r>
              <w:t>float</w:t>
            </w:r>
          </w:p>
        </w:tc>
        <w:tc>
          <w:tcPr>
            <w:tcW w:type="dxa" w:w="1949"/>
          </w:tcPr>
          <w:p>
            <w:r>
              <w:t>t/h</w:t>
            </w:r>
          </w:p>
        </w:tc>
        <w:tc>
          <w:tcPr>
            <w:tcW w:type="dxa" w:w="1949"/>
          </w:tcPr>
          <w:p>
            <w:r>
              <w:t>OPC/Steam/HA/F</w:t>
            </w:r>
          </w:p>
        </w:tc>
        <w:tc>
          <w:tcPr>
            <w:tcW w:type="dxa" w:w="1949"/>
          </w:tcPr>
          <w:p>
            <w:r>
              <w:t>Reconciled with demand allocation</w:t>
            </w:r>
          </w:p>
        </w:tc>
      </w:tr>
      <w:tr>
        <w:tc>
          <w:tcPr>
            <w:tcW w:type="dxa" w:w="1949"/>
          </w:tcPr>
          <w:p>
            <w:r>
              <w:t>boiler.B1.fuel_flow</w:t>
            </w:r>
          </w:p>
        </w:tc>
        <w:tc>
          <w:tcPr>
            <w:tcW w:type="dxa" w:w="1949"/>
          </w:tcPr>
          <w:p>
            <w:r>
              <w:t>float</w:t>
            </w:r>
          </w:p>
        </w:tc>
        <w:tc>
          <w:tcPr>
            <w:tcW w:type="dxa" w:w="1949"/>
          </w:tcPr>
          <w:p>
            <w:r>
              <w:t>kg/h or Nm3/h</w:t>
            </w:r>
          </w:p>
        </w:tc>
        <w:tc>
          <w:tcPr>
            <w:tcW w:type="dxa" w:w="1949"/>
          </w:tcPr>
          <w:p>
            <w:r>
              <w:t>OPC/Boiler/B1/Fuel</w:t>
            </w:r>
          </w:p>
        </w:tc>
        <w:tc>
          <w:tcPr>
            <w:tcW w:type="dxa" w:w="1949"/>
          </w:tcPr>
          <w:p>
            <w:r>
              <w:t>Converted to energy input; efficiency model</w:t>
            </w:r>
          </w:p>
        </w:tc>
      </w:tr>
      <w:tr>
        <w:tc>
          <w:tcPr>
            <w:tcW w:type="dxa" w:w="1949"/>
          </w:tcPr>
          <w:p>
            <w:r>
              <w:t>boiler.B1.max_rate</w:t>
            </w:r>
          </w:p>
        </w:tc>
        <w:tc>
          <w:tcPr>
            <w:tcW w:type="dxa" w:w="1949"/>
          </w:tcPr>
          <w:p>
            <w:r>
              <w:t>float</w:t>
            </w:r>
          </w:p>
        </w:tc>
        <w:tc>
          <w:tcPr>
            <w:tcW w:type="dxa" w:w="1949"/>
          </w:tcPr>
          <w:p>
            <w:r>
              <w:t>t/h</w:t>
            </w:r>
          </w:p>
        </w:tc>
        <w:tc>
          <w:tcPr>
            <w:tcW w:type="dxa" w:w="1949"/>
          </w:tcPr>
          <w:p>
            <w:r>
              <w:t>Config</w:t>
            </w:r>
          </w:p>
        </w:tc>
        <w:tc>
          <w:tcPr>
            <w:tcW w:type="dxa" w:w="1949"/>
          </w:tcPr>
          <w:p>
            <w:r>
              <w:t>Static constraint; versioned by MOC</w:t>
            </w:r>
          </w:p>
        </w:tc>
      </w:tr>
      <w:tr>
        <w:tc>
          <w:tcPr>
            <w:tcW w:type="dxa" w:w="1949"/>
          </w:tcPr>
          <w:p>
            <w:r>
              <w:t>unit.U1.heat_demand</w:t>
            </w:r>
          </w:p>
        </w:tc>
        <w:tc>
          <w:tcPr>
            <w:tcW w:type="dxa" w:w="1949"/>
          </w:tcPr>
          <w:p>
            <w:r>
              <w:t>float</w:t>
            </w:r>
          </w:p>
        </w:tc>
        <w:tc>
          <w:tcPr>
            <w:tcW w:type="dxa" w:w="1949"/>
          </w:tcPr>
          <w:p>
            <w:r>
              <w:t>MWth</w:t>
            </w:r>
          </w:p>
        </w:tc>
        <w:tc>
          <w:tcPr>
            <w:tcW w:type="dxa" w:w="1949"/>
          </w:tcPr>
          <w:p>
            <w:r>
              <w:t>Derived/Forecast</w:t>
            </w:r>
          </w:p>
        </w:tc>
        <w:tc>
          <w:tcPr>
            <w:tcW w:type="dxa" w:w="1949"/>
          </w:tcPr>
          <w:p>
            <w:r>
              <w:t>Demand forecast with uncertainty interval</w:t>
            </w:r>
          </w:p>
        </w:tc>
      </w:tr>
      <w:tr>
        <w:tc>
          <w:tcPr>
            <w:tcW w:type="dxa" w:w="1949"/>
          </w:tcPr>
          <w:p>
            <w:r>
              <w:t>sis.permissive.dispatch_enabled</w:t>
            </w:r>
          </w:p>
        </w:tc>
        <w:tc>
          <w:tcPr>
            <w:tcW w:type="dxa" w:w="1949"/>
          </w:tcPr>
          <w:p>
            <w:r>
              <w:t>bool</w:t>
            </w:r>
          </w:p>
        </w:tc>
        <w:tc>
          <w:tcPr>
            <w:tcW w:type="dxa" w:w="1949"/>
          </w:tcPr>
          <w:p>
            <w:r>
              <w:t>-</w:t>
            </w:r>
          </w:p>
        </w:tc>
        <w:tc>
          <w:tcPr>
            <w:tcW w:type="dxa" w:w="1949"/>
          </w:tcPr>
          <w:p>
            <w:r>
              <w:t>SIS/Perm/Dispatch</w:t>
            </w:r>
          </w:p>
        </w:tc>
        <w:tc>
          <w:tcPr>
            <w:tcW w:type="dxa" w:w="1949"/>
          </w:tcPr>
          <w:p>
            <w:r>
              <w:t>Read-only; if false -&gt; block actions</w:t>
            </w:r>
          </w:p>
        </w:tc>
      </w:tr>
      <w:tr>
        <w:tc>
          <w:tcPr>
            <w:tcW w:type="dxa" w:w="1949"/>
          </w:tcPr>
          <w:p>
            <w:r>
              <w:t>alarm.high_pressure.headerA</w:t>
            </w:r>
          </w:p>
        </w:tc>
        <w:tc>
          <w:tcPr>
            <w:tcW w:type="dxa" w:w="1949"/>
          </w:tcPr>
          <w:p>
            <w:r>
              <w:t>bool</w:t>
            </w:r>
          </w:p>
        </w:tc>
        <w:tc>
          <w:tcPr>
            <w:tcW w:type="dxa" w:w="1949"/>
          </w:tcPr>
          <w:p>
            <w:r>
              <w:t>-</w:t>
            </w:r>
          </w:p>
        </w:tc>
        <w:tc>
          <w:tcPr>
            <w:tcW w:type="dxa" w:w="1949"/>
          </w:tcPr>
          <w:p>
            <w:r>
              <w:t>Alarm/HA_HP</w:t>
            </w:r>
          </w:p>
        </w:tc>
        <w:tc>
          <w:tcPr>
            <w:tcW w:type="dxa" w:w="1949"/>
          </w:tcPr>
          <w:p>
            <w:r>
              <w:t>Severity drives degraded mode or stop</w:t>
            </w:r>
          </w:p>
        </w:tc>
      </w:tr>
      <w:tr>
        <w:tc>
          <w:tcPr>
            <w:tcW w:type="dxa" w:w="1949"/>
          </w:tcPr>
          <w:p>
            <w:r>
              <w:t>price.electricity.rt</w:t>
            </w:r>
          </w:p>
        </w:tc>
        <w:tc>
          <w:tcPr>
            <w:tcW w:type="dxa" w:w="1949"/>
          </w:tcPr>
          <w:p>
            <w:r>
              <w:t>float</w:t>
            </w:r>
          </w:p>
        </w:tc>
        <w:tc>
          <w:tcPr>
            <w:tcW w:type="dxa" w:w="1949"/>
          </w:tcPr>
          <w:p>
            <w:r>
              <w:t>$/MWh</w:t>
            </w:r>
          </w:p>
        </w:tc>
        <w:tc>
          <w:tcPr>
            <w:tcW w:type="dxa" w:w="1949"/>
          </w:tcPr>
          <w:p>
            <w:r>
              <w:t>PriceFeed/RT</w:t>
            </w:r>
          </w:p>
        </w:tc>
        <w:tc>
          <w:tcPr>
            <w:tcW w:type="dxa" w:w="1949"/>
          </w:tcPr>
          <w:p>
            <w:r>
              <w:t>Includes market timestamp and region</w:t>
            </w:r>
          </w:p>
        </w:tc>
      </w:tr>
      <w:tr>
        <w:tc>
          <w:tcPr>
            <w:tcW w:type="dxa" w:w="1949"/>
          </w:tcPr>
          <w:p>
            <w:r>
              <w:t>weather.temp_forecast</w:t>
            </w:r>
          </w:p>
        </w:tc>
        <w:tc>
          <w:tcPr>
            <w:tcW w:type="dxa" w:w="1949"/>
          </w:tcPr>
          <w:p>
            <w:r>
              <w:t>float</w:t>
            </w:r>
          </w:p>
        </w:tc>
        <w:tc>
          <w:tcPr>
            <w:tcW w:type="dxa" w:w="1949"/>
          </w:tcPr>
          <w:p>
            <w:r>
              <w:t>C</w:t>
            </w:r>
          </w:p>
        </w:tc>
        <w:tc>
          <w:tcPr>
            <w:tcW w:type="dxa" w:w="1949"/>
          </w:tcPr>
          <w:p>
            <w:r>
              <w:t>Weather/Temp</w:t>
            </w:r>
          </w:p>
        </w:tc>
        <w:tc>
          <w:tcPr>
            <w:tcW w:type="dxa" w:w="1949"/>
          </w:tcPr>
          <w:p>
            <w:r>
              <w:t>Store issue time + horizon</w:t>
            </w:r>
          </w:p>
        </w:tc>
      </w:tr>
      <w:tr>
        <w:tc>
          <w:tcPr>
            <w:tcW w:type="dxa" w:w="1949"/>
          </w:tcPr>
          <w:p>
            <w:r>
              <w:t>cmms.asset.B1.health_score</w:t>
            </w:r>
          </w:p>
        </w:tc>
        <w:tc>
          <w:tcPr>
            <w:tcW w:type="dxa" w:w="1949"/>
          </w:tcPr>
          <w:p>
            <w:r>
              <w:t>float</w:t>
            </w:r>
          </w:p>
        </w:tc>
        <w:tc>
          <w:tcPr>
            <w:tcW w:type="dxa" w:w="1949"/>
          </w:tcPr>
          <w:p>
            <w:r>
              <w:t>0-1</w:t>
            </w:r>
          </w:p>
        </w:tc>
        <w:tc>
          <w:tcPr>
            <w:tcW w:type="dxa" w:w="1949"/>
          </w:tcPr>
          <w:p>
            <w:r>
              <w:t>CMMS/Health/B1</w:t>
            </w:r>
          </w:p>
        </w:tc>
        <w:tc>
          <w:tcPr>
            <w:tcW w:type="dxa" w:w="1949"/>
          </w:tcPr>
          <w:p>
            <w:r>
              <w:t>Used for derating and maintenance triggers</w:t>
            </w:r>
          </w:p>
        </w:tc>
      </w:tr>
    </w:tbl>
    <w:p>
      <w:pPr>
        <w:pStyle w:val="Heading1"/>
      </w:pPr>
      <w:r>
        <w:t>6. Functional Requirements (what GL-001 must do)</w:t>
      </w:r>
    </w:p>
    <w:p>
      <w:pPr>
        <w:pStyle w:val="Heading2"/>
      </w:pPr>
      <w:r>
        <w:t>6.1 Orchestration and State Management</w:t>
      </w:r>
    </w:p>
    <w:p>
      <w:pPr>
        <w:pStyle w:val="ListBullet"/>
      </w:pPr>
      <w:r>
        <w:t>Maintain a real-time plant heat state: asset availability, network topology, constraints, demands, and active alarms.</w:t>
      </w:r>
    </w:p>
    <w:p>
      <w:pPr>
        <w:pStyle w:val="ListBullet"/>
      </w:pPr>
      <w:r>
        <w:t>Coordinate all process heat agents (downstream controllers, unit agents) via explicit contracts: requests, offers, allocations, acknowledgements.</w:t>
      </w:r>
    </w:p>
    <w:p>
      <w:pPr>
        <w:pStyle w:val="ListBullet"/>
      </w:pPr>
      <w:r>
        <w:t>Support multi-timescale planning: (a) minutes-level supervisory dispatch, (b) shift-level plans, (c) day-ahead scenario evaluation.</w:t>
      </w:r>
    </w:p>
    <w:p>
      <w:pPr>
        <w:pStyle w:val="ListBullet"/>
      </w:pPr>
      <w:r>
        <w:t>Provide operator-facing reasoning: what changed, why the plan changed, and what risk/uncertainty remains.</w:t>
      </w:r>
    </w:p>
    <w:p>
      <w:pPr>
        <w:pStyle w:val="Heading2"/>
      </w:pPr>
      <w:r>
        <w:t>6.2 Optimization (MILP dispatch and allocation)</w:t>
      </w:r>
    </w:p>
    <w:p>
      <w:pPr>
        <w:pStyle w:val="ListBullet"/>
      </w:pPr>
      <w:r>
        <w:t>Solve a Mixed-Integer Linear Program (MILP) to allocate heat supply to demands across time steps, subject to capacity, ramping, min up/down, and network constraints.</w:t>
      </w:r>
    </w:p>
    <w:p>
      <w:pPr>
        <w:pStyle w:val="ListBullet"/>
      </w:pPr>
      <w:r>
        <w:t>Include economic objective terms (fuel, electricity, tariff) and emissions terms (CO2e factors), with configurable weights and guardrails.</w:t>
      </w:r>
    </w:p>
    <w:p>
      <w:pPr>
        <w:pStyle w:val="ListBullet"/>
      </w:pPr>
      <w:r>
        <w:t>Incorporate equipment health derates and maintenance constraints (e.g., restrict operation during inspection windows).</w:t>
      </w:r>
    </w:p>
    <w:p>
      <w:pPr>
        <w:pStyle w:val="ListBullet"/>
      </w:pPr>
      <w:r>
        <w:t>Provide feasibility recovery: if constraints conflict, compute minimal-violation plans and surface the violating constraints explicitly.</w:t>
      </w:r>
    </w:p>
    <w:p>
      <w:pPr>
        <w:pStyle w:val="Heading2"/>
      </w:pPr>
      <w:r>
        <w:t>6.3 Control (cascade PID and setpoint governance)</w:t>
      </w:r>
    </w:p>
    <w:p>
      <w:pPr>
        <w:pStyle w:val="ListBullet"/>
      </w:pPr>
      <w:r>
        <w:t>Translate MILP allocations into supervisory setpoints (header pressure targets, boiler firing rates, valve targets) with ramps and rate limits.</w:t>
      </w:r>
    </w:p>
    <w:p>
      <w:pPr>
        <w:pStyle w:val="ListBullet"/>
      </w:pPr>
      <w:r>
        <w:t>Coordinate cascade loops: outer loop (temperature/pressure) sets inner loop (flow/firing) targets; local DCS/PLC maintains stability.</w:t>
      </w:r>
    </w:p>
    <w:p>
      <w:pPr>
        <w:pStyle w:val="ListBullet"/>
      </w:pPr>
      <w:r>
        <w:t>Support bumpless transfer between manual, advisory, and supervisory modes; enforce anti-windup and saturation handling.</w:t>
      </w:r>
    </w:p>
    <w:p>
      <w:pPr>
        <w:pStyle w:val="ListBullet"/>
      </w:pPr>
      <w:r>
        <w:t>Implement disturbance handling: feedforward terms from demand forecast changes and weather impacts where applicable.</w:t>
      </w:r>
    </w:p>
    <w:p>
      <w:pPr>
        <w:pStyle w:val="Heading2"/>
      </w:pPr>
      <w:r>
        <w:t>6.4 Explainability and Decision Traceability</w:t>
      </w:r>
    </w:p>
    <w:p>
      <w:pPr>
        <w:pStyle w:val="ListBullet"/>
      </w:pPr>
      <w:r>
        <w:t>Explain ML-derived inputs (demand forecasts, health scores) using SHAP and/or LIME at prediction time and in batch reports.</w:t>
      </w:r>
    </w:p>
    <w:p>
      <w:pPr>
        <w:pStyle w:val="ListBullet"/>
      </w:pPr>
      <w:r>
        <w:t>Explain optimization decisions by reporting binding constraints, shadow prices/sensitivities where available, and counterfactuals (what would change if X changed).</w:t>
      </w:r>
    </w:p>
    <w:p>
      <w:pPr>
        <w:pStyle w:val="ListBullet"/>
      </w:pPr>
      <w:r>
        <w:t>Generate per-decision evidence packs: inputs (with versions), constraints, solver status, recommended actions, expected impact, and uncertainty.</w:t>
      </w:r>
    </w:p>
    <w:p>
      <w:pPr>
        <w:pStyle w:val="Heading2"/>
      </w:pPr>
      <w:r>
        <w:t>6.5 CMMS / Maintenance Integration</w:t>
      </w:r>
    </w:p>
    <w:p>
      <w:pPr>
        <w:pStyle w:val="ListBullet"/>
      </w:pPr>
      <w:r>
        <w:t>Generate maintenance triggers when health models detect elevated risk (configurable thresholds and hysteresis).</w:t>
      </w:r>
    </w:p>
    <w:p>
      <w:pPr>
        <w:pStyle w:val="ListBullet"/>
      </w:pPr>
      <w:r>
        <w:t>Propose maintenance windows aligned with production schedules and heat network redundancy.</w:t>
      </w:r>
    </w:p>
    <w:p>
      <w:pPr>
        <w:pStyle w:val="ListBullet"/>
      </w:pPr>
      <w:r>
        <w:t>Create or update CMMS work orders via API, including supporting evidence (signals, model outputs, recommended tasks).</w:t>
      </w:r>
    </w:p>
    <w:p>
      <w:pPr>
        <w:pStyle w:val="Heading1"/>
      </w:pPr>
      <w:r>
        <w:t>7. Non-Functional Requirements</w:t>
      </w:r>
    </w:p>
    <w:p>
      <w:pPr>
        <w:pStyle w:val="Heading2"/>
      </w:pPr>
      <w:r>
        <w:t>7.1 Safety and Independence from SIS</w:t>
      </w:r>
    </w:p>
    <w:p>
      <w:pPr>
        <w:pStyle w:val="ListBullet"/>
      </w:pPr>
      <w:r>
        <w:t>GL-001 must never disable or override SIS functions. SIS remains the final authority for trips and interlocks.</w:t>
      </w:r>
    </w:p>
    <w:p>
      <w:pPr>
        <w:pStyle w:val="ListBullet"/>
      </w:pPr>
      <w:r>
        <w:t>All write actions must be pre-approved by a safety boundary policy (limits, allowed tags, rate limits, conditions).</w:t>
      </w:r>
    </w:p>
    <w:p>
      <w:pPr>
        <w:pStyle w:val="ListBullet"/>
      </w:pPr>
      <w:r>
        <w:t>Safety boundary checks run both pre-optimization (constraint) and pre-actuation (runtime gate).</w:t>
      </w:r>
    </w:p>
    <w:p>
      <w:pPr>
        <w:pStyle w:val="ListBullet"/>
      </w:pPr>
      <w:r>
        <w:t>Any boundary violation attempt results in (a) blocked actuation, (b) alarm/event emission, (c) immutable audit record.</w:t>
      </w:r>
    </w:p>
    <w:p>
      <w:pPr>
        <w:pStyle w:val="Heading2"/>
      </w:pPr>
      <w:r>
        <w:t>7.2 Performance, Availability, and Resilience</w:t>
      </w:r>
    </w:p>
    <w:p>
      <w:pPr>
        <w:pStyle w:val="ListBullet"/>
      </w:pPr>
      <w:r>
        <w:t>High availability architecture with zero single points of failure in core coordinator services.</w:t>
      </w:r>
    </w:p>
    <w:p>
      <w:pPr>
        <w:pStyle w:val="ListBullet"/>
      </w:pPr>
      <w:r>
        <w:t>Graceful degradation when one or more data feeds are delayed or unavailable; safe static allocations as fallback.</w:t>
      </w:r>
    </w:p>
    <w:p>
      <w:pPr>
        <w:pStyle w:val="ListBullet"/>
      </w:pPr>
      <w:r>
        <w:t>Deterministic behavior: same inputs produce the same outputs (within controlled solver tolerances).</w:t>
      </w:r>
    </w:p>
    <w:p>
      <w:pPr>
        <w:pStyle w:val="ListBullet"/>
      </w:pPr>
      <w:r>
        <w:t>Configurable decision intervals (typical 30-60s for supervisory dispatch) and solver time limits with warm starts.</w:t>
      </w:r>
    </w:p>
    <w:p>
      <w:pPr>
        <w:pStyle w:val="Heading2"/>
      </w:pPr>
      <w:r>
        <w:t>7.3 Security, Compliance, and Audit</w:t>
      </w:r>
    </w:p>
    <w:p>
      <w:pPr>
        <w:pStyle w:val="ListBullet"/>
      </w:pPr>
      <w:r>
        <w:t>Strong identity and access management (RBAC/ABAC), including separation of duties for safety-critical configuration.</w:t>
      </w:r>
    </w:p>
    <w:p>
      <w:pPr>
        <w:pStyle w:val="ListBullet"/>
      </w:pPr>
      <w:r>
        <w:t>Mutual TLS for OPC-UA, Kafka, and service APIs; centralized secrets management; certificate lifecycle procedures.</w:t>
      </w:r>
    </w:p>
    <w:p>
      <w:pPr>
        <w:pStyle w:val="ListBullet"/>
      </w:pPr>
      <w:r>
        <w:t>Comprehensive audit logging: who/what/when/why; input data references; action diffs; correlation IDs across services.</w:t>
      </w:r>
    </w:p>
    <w:p>
      <w:pPr>
        <w:pStyle w:val="ListBullet"/>
      </w:pPr>
      <w:r>
        <w:t>Log retention and integrity controls aligned to site compliance requirements (append-only storage where required).</w:t>
      </w:r>
    </w:p>
    <w:p>
      <w:pPr>
        <w:pStyle w:val="Heading1"/>
      </w:pPr>
      <w:r>
        <w:t>8. Mathematical and Engineering Foundations</w:t>
      </w:r>
    </w:p>
    <w:p>
      <w:pPr>
        <w:pStyle w:val="Heading2"/>
      </w:pPr>
      <w:r>
        <w:t>8.1 Thermal Requirements and Plant Heat Network Modeling</w:t>
      </w:r>
    </w:p>
    <w:p>
      <w:r>
        <w:t>Process heat dispatch is constrained by thermodynamics and equipment physics. The thermal engineering team must provide a validated model of:</w:t>
      </w:r>
    </w:p>
    <w:p>
      <w:pPr>
        <w:pStyle w:val="ListBullet"/>
      </w:pPr>
      <w:r>
        <w:t>Heat demands by unit (MWth) as a function of throughput/recipe and ambient conditions.</w:t>
      </w:r>
    </w:p>
    <w:p>
      <w:pPr>
        <w:pStyle w:val="ListBullet"/>
      </w:pPr>
      <w:r>
        <w:t>Supply asset performance curves (boilers/heaters): max/min rates, efficiency vs load, fuel constraints, start-up costs and times.</w:t>
      </w:r>
    </w:p>
    <w:p>
      <w:pPr>
        <w:pStyle w:val="ListBullet"/>
      </w:pPr>
      <w:r>
        <w:t>Distribution network constraints: header pressures, line losses, pressure drops, valve limits, condensate return limitations.</w:t>
      </w:r>
    </w:p>
    <w:p>
      <w:pPr>
        <w:pStyle w:val="ListBullet"/>
      </w:pPr>
      <w:r>
        <w:t>Heat exchanger models where relevant (UA, effectiveness) and minimum approach temperatures.</w:t>
      </w:r>
    </w:p>
    <w:p>
      <w:pPr>
        <w:pStyle w:val="ListBullet"/>
      </w:pPr>
      <w:r>
        <w:t>Steam properties: enthalpy and quality calculations (use a standardized steam table library and units).</w:t>
      </w:r>
    </w:p>
    <w:p>
      <w:pPr>
        <w:pStyle w:val="Heading2"/>
      </w:pPr>
      <w:r>
        <w:t>8.2 MILP Formulation (reference)</w:t>
      </w:r>
    </w:p>
    <w:p>
      <w:r>
        <w:t>The optimization engine solves a multi-period MILP. The exact formulation is site-specific; the following is a reference structure for the math and engineering teams.</w:t>
      </w:r>
    </w:p>
    <w:p>
      <w:pPr>
        <w:pStyle w:val="Heading3"/>
      </w:pPr>
      <w:r>
        <w:t>Decision variables (examples):</w:t>
      </w:r>
    </w:p>
    <w:p>
      <w:pPr>
        <w:pStyle w:val="ListBullet"/>
      </w:pPr>
      <w:r>
        <w:t>x_{a,t}: continuous dispatch level for asset a at time t (e.g., steam t/h or MWth).</w:t>
      </w:r>
    </w:p>
    <w:p>
      <w:pPr>
        <w:pStyle w:val="ListBullet"/>
      </w:pPr>
      <w:r>
        <w:t>y_{a,t}: binary on/off for asset a at time t (unit commitment).</w:t>
      </w:r>
    </w:p>
    <w:p>
      <w:pPr>
        <w:pStyle w:val="ListBullet"/>
      </w:pPr>
      <w:r>
        <w:t>f_{i-&gt;j,t}: flow on network edge i-&gt;j at time t (if network explicitly modeled).</w:t>
      </w:r>
    </w:p>
    <w:p>
      <w:pPr>
        <w:pStyle w:val="ListBullet"/>
      </w:pPr>
      <w:r>
        <w:t>s_{u,t}: served demand for unit u at time t; slack variables for feasibility recovery (penalized).</w:t>
      </w:r>
    </w:p>
    <w:p>
      <w:pPr>
        <w:pStyle w:val="Heading3"/>
      </w:pPr>
      <w:r>
        <w:t>Objective (illustrative):</w:t>
      </w:r>
    </w:p>
    <w:p>
      <w:r>
        <w:t>Minimize sum_t [ energy_cost_t(x) + start_cost_t(y) + emissions_cost_t(x) + penalty_unserved(s) + penalty_instability(ramps) ]</w:t>
      </w:r>
    </w:p>
    <w:p>
      <w:pPr>
        <w:pStyle w:val="Heading3"/>
      </w:pPr>
      <w:r>
        <w:t>Core constraints (illustrative):</w:t>
      </w:r>
    </w:p>
    <w:p>
      <w:pPr>
        <w:pStyle w:val="ListBullet"/>
      </w:pPr>
      <w:r>
        <w:t>Demand satisfaction: sum_a allocation_{a-&gt;u,t} + slack_{u,t} = demand_{u,t} for all units u, times t.</w:t>
      </w:r>
    </w:p>
    <w:p>
      <w:pPr>
        <w:pStyle w:val="ListBullet"/>
      </w:pPr>
      <w:r>
        <w:t>Capacity: min_a * y_{a,t} &lt;= x_{a,t} &lt;= max_a * y_{a,t}.</w:t>
      </w:r>
    </w:p>
    <w:p>
      <w:pPr>
        <w:pStyle w:val="ListBullet"/>
      </w:pPr>
      <w:r>
        <w:t>Ramping: -R_down_a &lt;= x_{a,t} - x_{a,t-1} &lt;= R_up_a.</w:t>
      </w:r>
    </w:p>
    <w:p>
      <w:pPr>
        <w:pStyle w:val="ListBullet"/>
      </w:pPr>
      <w:r>
        <w:t>Min up/down times for committed assets (standard unit commitment constraints).</w:t>
      </w:r>
    </w:p>
    <w:p>
      <w:pPr>
        <w:pStyle w:val="ListBullet"/>
      </w:pPr>
      <w:r>
        <w:t>Network/headers: pressure/flow feasibility and header capacity constraints (as linearized approximations where needed).</w:t>
      </w:r>
    </w:p>
    <w:p>
      <w:pPr>
        <w:pStyle w:val="ListBullet"/>
      </w:pPr>
      <w:r>
        <w:t>Maintenance derates: x_{a,t} &lt;= derate_{a,t} * max_a, with derate from health models or scheduled work.</w:t>
      </w:r>
    </w:p>
    <w:p>
      <w:pPr>
        <w:pStyle w:val="ListBullet"/>
      </w:pPr>
      <w:r>
        <w:t>Safety envelopes: x_{a,t} and setpoints must lie within approved operating limits.</w:t>
      </w:r>
    </w:p>
    <w:p>
      <w:pPr>
        <w:pStyle w:val="Heading2"/>
      </w:pPr>
      <w:r>
        <w:t>8.3 Uncertainty Quantification (UQ) and Robust Planning</w:t>
      </w:r>
    </w:p>
    <w:p>
      <w:pPr>
        <w:pStyle w:val="ListBullet"/>
      </w:pPr>
      <w:r>
        <w:t>Represent uncertainty in demand, weather, and prices using prediction intervals (e.g., quantiles) and scenario sets.</w:t>
      </w:r>
    </w:p>
    <w:p>
      <w:pPr>
        <w:pStyle w:val="ListBullet"/>
      </w:pPr>
      <w:r>
        <w:t>Run scenario optimization or robust constraints (e.g., ensure feasibility across a high-confidence band).</w:t>
      </w:r>
    </w:p>
    <w:p>
      <w:pPr>
        <w:pStyle w:val="ListBullet"/>
      </w:pPr>
      <w:r>
        <w:t>Expose uncertainty in operator displays: expected value, P10/P90, and risk of constraint binding.</w:t>
      </w:r>
    </w:p>
    <w:p>
      <w:pPr>
        <w:pStyle w:val="ListBullet"/>
      </w:pPr>
      <w:r>
        <w:t>Track calibration over time (e.g., coverage of prediction intervals) and trigger retraining when drift is detected.</w:t>
      </w:r>
    </w:p>
    <w:p>
      <w:pPr>
        <w:pStyle w:val="Heading2"/>
      </w:pPr>
      <w:r>
        <w:t>8.4 Control Strategy (cascade PID and supervisory coordination)</w:t>
      </w:r>
    </w:p>
    <w:p>
      <w:pPr>
        <w:pStyle w:val="ListBullet"/>
      </w:pPr>
      <w:r>
        <w:t>Supervisory setpoints must change smoothly: ramp limits, deadbands, and rate-of-change constraints protect equipment.</w:t>
      </w:r>
    </w:p>
    <w:p>
      <w:pPr>
        <w:pStyle w:val="ListBullet"/>
      </w:pPr>
      <w:r>
        <w:t>Cascade structure: outer loop regulates header pressure/temperature; inner loops regulate flow/firing/valves.</w:t>
      </w:r>
    </w:p>
    <w:p>
      <w:pPr>
        <w:pStyle w:val="ListBullet"/>
      </w:pPr>
      <w:r>
        <w:t>Anti-windup, saturation logic, and bumpless transfer are mandatory to prevent excursions during mode changes.</w:t>
      </w:r>
    </w:p>
    <w:p>
      <w:pPr>
        <w:pStyle w:val="ListBullet"/>
      </w:pPr>
      <w:r>
        <w:t>All control writes must be gated by: permissives, current alarm state, operator mode, and safety envelope checks.</w:t>
      </w:r>
    </w:p>
    <w:p>
      <w:pPr>
        <w:pStyle w:val="Heading1"/>
      </w:pPr>
      <w:r>
        <w:t>9. Interfaces and Integration Contracts</w:t>
      </w:r>
    </w:p>
    <w:p>
      <w:pPr>
        <w:pStyle w:val="Heading2"/>
      </w:pPr>
      <w:r>
        <w:t>9.1 OPC-UA Connectivity (OT boundary)</w:t>
      </w:r>
    </w:p>
    <w:p>
      <w:pPr>
        <w:pStyle w:val="ListBullet"/>
      </w:pPr>
      <w:r>
        <w:t>Read path: subscribe to required tags with defined sampling intervals; enforce timestamping and quality codes.</w:t>
      </w:r>
    </w:p>
    <w:p>
      <w:pPr>
        <w:pStyle w:val="ListBullet"/>
      </w:pPr>
      <w:r>
        <w:t>Write path: only to a whitelisted set of supervisory tags; implement two-step confirmation where required (recommendation + apply).</w:t>
      </w:r>
    </w:p>
    <w:p>
      <w:pPr>
        <w:pStyle w:val="ListBullet"/>
      </w:pPr>
      <w:r>
        <w:t>Certificate-based auth and network segmentation are mandatory; follow site OT cybersecurity standards.</w:t>
      </w:r>
    </w:p>
    <w:p>
      <w:pPr>
        <w:pStyle w:val="ListBullet"/>
      </w:pPr>
      <w:r>
        <w:t>Tag governance: canonical naming, units, scaling, and engineering ranges; include a versioned tag mapping file.</w:t>
      </w:r>
    </w:p>
    <w:p>
      <w:pPr>
        <w:pStyle w:val="Heading2"/>
      </w:pPr>
      <w:r>
        <w:t>9.2 Kafka Streaming (events and data planes)</w:t>
      </w:r>
    </w:p>
    <w:p>
      <w:r>
        <w:t>Define topics with explicit schemas (Avro/Protobuf/JSON Schema) and compatibility rules.</w:t>
      </w:r>
    </w:p>
    <w:tbl>
      <w:tblPr>
        <w:tblStyle w:val="TableGrid"/>
        <w:tblW w:type="auto" w:w="0"/>
        <w:tblLook w:firstColumn="1" w:firstRow="1" w:lastColumn="0" w:lastRow="0" w:noHBand="0" w:noVBand="1" w:val="04A0"/>
      </w:tblPr>
      <w:tblGrid>
        <w:gridCol w:w="2436"/>
        <w:gridCol w:w="2436"/>
        <w:gridCol w:w="2436"/>
        <w:gridCol w:w="2436"/>
      </w:tblGrid>
      <w:tr>
        <w:trPr>
          <w:cantSplit/>
        </w:trPr>
        <w:tc>
          <w:tcPr>
            <w:tcW w:type="dxa" w:w="2436"/>
          </w:tcPr>
          <w:p>
            <w:r>
              <w:t>Topic</w:t>
            </w:r>
          </w:p>
        </w:tc>
        <w:tc>
          <w:tcPr>
            <w:tcW w:type="dxa" w:w="2436"/>
          </w:tcPr>
          <w:p>
            <w:r>
              <w:t>Producer</w:t>
            </w:r>
          </w:p>
        </w:tc>
        <w:tc>
          <w:tcPr>
            <w:tcW w:type="dxa" w:w="2436"/>
          </w:tcPr>
          <w:p>
            <w:r>
              <w:t>Consumers</w:t>
            </w:r>
          </w:p>
        </w:tc>
        <w:tc>
          <w:tcPr>
            <w:tcW w:type="dxa" w:w="2436"/>
          </w:tcPr>
          <w:p>
            <w:r>
              <w:t>Payload (high-level)</w:t>
            </w:r>
          </w:p>
        </w:tc>
      </w:tr>
      <w:tr>
        <w:trPr>
          <w:cantSplit/>
        </w:trPr>
        <w:tc>
          <w:tcPr>
            <w:tcW w:type="dxa" w:w="2436"/>
          </w:tcPr>
          <w:p>
            <w:r>
              <w:t>gl001.telemetry.</w:t>
              <w:br/>
              <w:t>normalized</w:t>
            </w:r>
          </w:p>
        </w:tc>
        <w:tc>
          <w:tcPr>
            <w:tcW w:type="dxa" w:w="2436"/>
          </w:tcPr>
          <w:p>
            <w:r>
              <w:t>Ingestion</w:t>
            </w:r>
          </w:p>
        </w:tc>
        <w:tc>
          <w:tcPr>
            <w:tcW w:type="dxa" w:w="2436"/>
          </w:tcPr>
          <w:p>
            <w:r>
              <w:t>Optimizer, ML features</w:t>
            </w:r>
          </w:p>
        </w:tc>
        <w:tc>
          <w:tcPr>
            <w:tcW w:type="dxa" w:w="2436"/>
          </w:tcPr>
          <w:p>
            <w:r>
              <w:t>Normalized time-series points with units and quality</w:t>
            </w:r>
          </w:p>
        </w:tc>
      </w:tr>
      <w:tr>
        <w:trPr>
          <w:cantSplit/>
        </w:trPr>
        <w:tc>
          <w:tcPr>
            <w:tcW w:type="dxa" w:w="2436"/>
          </w:tcPr>
          <w:p>
            <w:r>
              <w:t>gl001.plan.</w:t>
              <w:br/>
              <w:t>dispatch</w:t>
            </w:r>
          </w:p>
        </w:tc>
        <w:tc>
          <w:tcPr>
            <w:tcW w:type="dxa" w:w="2436"/>
          </w:tcPr>
          <w:p>
            <w:r>
              <w:t>Optimizer</w:t>
            </w:r>
          </w:p>
        </w:tc>
        <w:tc>
          <w:tcPr>
            <w:tcW w:type="dxa" w:w="2436"/>
          </w:tcPr>
          <w:p>
            <w:r>
              <w:t>Control layer, dashboards</w:t>
            </w:r>
          </w:p>
        </w:tc>
        <w:tc>
          <w:tcPr>
            <w:tcW w:type="dxa" w:w="2436"/>
          </w:tcPr>
          <w:p>
            <w:r>
              <w:t>Dispatch plan, allocations, solver status, expected impact</w:t>
            </w:r>
          </w:p>
        </w:tc>
      </w:tr>
      <w:tr>
        <w:trPr>
          <w:cantSplit/>
        </w:trPr>
        <w:tc>
          <w:tcPr>
            <w:tcW w:type="dxa" w:w="2436"/>
          </w:tcPr>
          <w:p>
            <w:r>
              <w:t>gl001.actions.</w:t>
              <w:br/>
              <w:t>recommendations</w:t>
            </w:r>
          </w:p>
        </w:tc>
        <w:tc>
          <w:tcPr>
            <w:tcW w:type="dxa" w:w="2436"/>
          </w:tcPr>
          <w:p>
            <w:r>
              <w:t>Control layer</w:t>
            </w:r>
          </w:p>
        </w:tc>
        <w:tc>
          <w:tcPr>
            <w:tcW w:type="dxa" w:w="2436"/>
          </w:tcPr>
          <w:p>
            <w:r>
              <w:t>SCADA adapter, operator UI</w:t>
            </w:r>
          </w:p>
        </w:tc>
        <w:tc>
          <w:tcPr>
            <w:tcW w:type="dxa" w:w="2436"/>
          </w:tcPr>
          <w:p>
            <w:r>
              <w:t>Setpoint recommendations with bounds and rationale</w:t>
            </w:r>
          </w:p>
        </w:tc>
      </w:tr>
      <w:tr>
        <w:trPr>
          <w:cantSplit/>
        </w:trPr>
        <w:tc>
          <w:tcPr>
            <w:tcW w:type="dxa" w:w="2436"/>
          </w:tcPr>
          <w:p>
            <w:r>
              <w:t>gl001.safety.</w:t>
              <w:br/>
              <w:t>events</w:t>
            </w:r>
          </w:p>
        </w:tc>
        <w:tc>
          <w:tcPr>
            <w:tcW w:type="dxa" w:w="2436"/>
          </w:tcPr>
          <w:p>
            <w:r>
              <w:t>Safety gate</w:t>
            </w:r>
          </w:p>
        </w:tc>
        <w:tc>
          <w:tcPr>
            <w:tcW w:type="dxa" w:w="2436"/>
          </w:tcPr>
          <w:p>
            <w:r>
              <w:t>Ops, audit, SIEM</w:t>
            </w:r>
          </w:p>
        </w:tc>
        <w:tc>
          <w:tcPr>
            <w:tcW w:type="dxa" w:w="2436"/>
          </w:tcPr>
          <w:p>
            <w:r>
              <w:t>Boundary violations, blocked writes, SIS-permissive changes</w:t>
            </w:r>
          </w:p>
        </w:tc>
      </w:tr>
      <w:tr>
        <w:trPr>
          <w:cantSplit/>
        </w:trPr>
        <w:tc>
          <w:tcPr>
            <w:tcW w:type="dxa" w:w="2436"/>
          </w:tcPr>
          <w:p>
            <w:r>
              <w:t>gl001.maintenance.</w:t>
              <w:br/>
              <w:t>triggers</w:t>
            </w:r>
          </w:p>
        </w:tc>
        <w:tc>
          <w:tcPr>
            <w:tcW w:type="dxa" w:w="2436"/>
          </w:tcPr>
          <w:p>
            <w:r>
              <w:t>Reliability service</w:t>
            </w:r>
          </w:p>
        </w:tc>
        <w:tc>
          <w:tcPr>
            <w:tcW w:type="dxa" w:w="2436"/>
          </w:tcPr>
          <w:p>
            <w:r>
              <w:t>CMMS adapter</w:t>
            </w:r>
          </w:p>
        </w:tc>
        <w:tc>
          <w:tcPr>
            <w:tcW w:type="dxa" w:w="2436"/>
          </w:tcPr>
          <w:p>
            <w:r>
              <w:t>Work order recommendations with evidence</w:t>
            </w:r>
          </w:p>
        </w:tc>
      </w:tr>
      <w:tr>
        <w:trPr>
          <w:cantSplit/>
        </w:trPr>
        <w:tc>
          <w:tcPr>
            <w:tcW w:type="dxa" w:w="2436"/>
          </w:tcPr>
          <w:p>
            <w:r>
              <w:t>gl001.explainability.</w:t>
              <w:br/>
              <w:t>reports</w:t>
            </w:r>
          </w:p>
        </w:tc>
        <w:tc>
          <w:tcPr>
            <w:tcW w:type="dxa" w:w="2436"/>
          </w:tcPr>
          <w:p>
            <w:r>
              <w:t>Explainability service</w:t>
            </w:r>
          </w:p>
        </w:tc>
        <w:tc>
          <w:tcPr>
            <w:tcW w:type="dxa" w:w="2436"/>
          </w:tcPr>
          <w:p>
            <w:r>
              <w:t>Dashboards, reporting</w:t>
            </w:r>
          </w:p>
        </w:tc>
        <w:tc>
          <w:tcPr>
            <w:tcW w:type="dxa" w:w="2436"/>
          </w:tcPr>
          <w:p>
            <w:r>
              <w:t>SHAP/LIME summaries, feature contributions, uncertainty</w:t>
            </w:r>
          </w:p>
        </w:tc>
      </w:tr>
      <w:tr>
        <w:trPr>
          <w:cantSplit/>
        </w:trPr>
        <w:tc>
          <w:tcPr>
            <w:tcW w:type="dxa" w:w="2436"/>
          </w:tcPr>
          <w:p>
            <w:r>
              <w:t>gl001.audit.</w:t>
              <w:br/>
              <w:t>log</w:t>
            </w:r>
          </w:p>
        </w:tc>
        <w:tc>
          <w:tcPr>
            <w:tcW w:type="dxa" w:w="2436"/>
          </w:tcPr>
          <w:p>
            <w:r>
              <w:t>Audit service</w:t>
            </w:r>
          </w:p>
        </w:tc>
        <w:tc>
          <w:tcPr>
            <w:tcW w:type="dxa" w:w="2436"/>
          </w:tcPr>
          <w:p>
            <w:r>
              <w:t>Compliance, forensics</w:t>
            </w:r>
          </w:p>
        </w:tc>
        <w:tc>
          <w:tcPr>
            <w:tcW w:type="dxa" w:w="2436"/>
          </w:tcPr>
          <w:p>
            <w:r>
              <w:t>Append-only audit events with correlation IDs</w:t>
            </w:r>
          </w:p>
        </w:tc>
      </w:tr>
    </w:tbl>
    <w:p>
      <w:pPr>
        <w:pStyle w:val="Heading2"/>
      </w:pPr>
      <w:r>
        <w:t>9.3 GraphQL/gRPC APIs (applications and other agents)</w:t>
      </w:r>
    </w:p>
    <w:p>
      <w:r>
        <w:t>GL-001 exposes services for querying state and subscribing to updates. Use GraphQL for rich queries/subscriptions and gRPC for low-latency service calls.</w:t>
      </w:r>
    </w:p>
    <w:p>
      <w:pPr>
        <w:pStyle w:val="ListBullet"/>
      </w:pPr>
      <w:r>
        <w:t>GraphQL queries: current plan, asset states, constraints, KPIs, explainability summaries.</w:t>
      </w:r>
    </w:p>
    <w:p>
      <w:pPr>
        <w:pStyle w:val="ListBullet"/>
      </w:pPr>
      <w:r>
        <w:t>GraphQL subscriptions: plan updates, action recommendations, alarm/safety events, maintenance triggers.</w:t>
      </w:r>
    </w:p>
    <w:p>
      <w:pPr>
        <w:pStyle w:val="ListBullet"/>
      </w:pPr>
      <w:r>
        <w:t>gRPC services: request allocation, submit unit demand updates, fetch latest forecast distributions.</w:t>
      </w:r>
    </w:p>
    <w:p>
      <w:pPr>
        <w:pStyle w:val="ListBullet"/>
      </w:pPr>
      <w:r>
        <w:t>All APIs require mTLS + OAuth2/JWT (or site IAM equivalent) with fine-grained authorization.</w:t>
      </w:r>
    </w:p>
    <w:p>
      <w:pPr>
        <w:pStyle w:val="Heading2"/>
      </w:pPr>
      <w:r>
        <w:t>9.4 Webhook Events (external integrations)</w:t>
      </w:r>
    </w:p>
    <w:p>
      <w:r>
        <w:t>Webhooks are for near-real-time notifications to systems that cannot consume Kafka. They must be idempotent and signed.</w:t>
      </w:r>
    </w:p>
    <w:tbl>
      <w:tblPr>
        <w:tblStyle w:val="TableGrid"/>
        <w:tblW w:type="auto" w:w="0"/>
        <w:tblLook w:firstColumn="1" w:firstRow="1" w:lastColumn="0" w:lastRow="0" w:noHBand="0" w:noVBand="1" w:val="04A0"/>
      </w:tblPr>
      <w:tblGrid>
        <w:gridCol w:w="3249"/>
        <w:gridCol w:w="3249"/>
        <w:gridCol w:w="3249"/>
      </w:tblGrid>
      <w:tr>
        <w:trPr>
          <w:cantSplit/>
        </w:trPr>
        <w:tc>
          <w:tcPr>
            <w:tcW w:type="dxa" w:w="3249"/>
          </w:tcPr>
          <w:p>
            <w:r>
              <w:t>Event Type</w:t>
            </w:r>
          </w:p>
        </w:tc>
        <w:tc>
          <w:tcPr>
            <w:tcW w:type="dxa" w:w="3249"/>
          </w:tcPr>
          <w:p>
            <w:r>
              <w:t>When Fired</w:t>
            </w:r>
          </w:p>
        </w:tc>
        <w:tc>
          <w:tcPr>
            <w:tcW w:type="dxa" w:w="3249"/>
          </w:tcPr>
          <w:p>
            <w:r>
              <w:t>Minimum Fields</w:t>
            </w:r>
          </w:p>
        </w:tc>
      </w:tr>
      <w:tr>
        <w:trPr>
          <w:cantSplit/>
        </w:trPr>
        <w:tc>
          <w:tcPr>
            <w:tcW w:type="dxa" w:w="3249"/>
          </w:tcPr>
          <w:p>
            <w:r>
              <w:t>HeatPlanCreated</w:t>
            </w:r>
          </w:p>
        </w:tc>
        <w:tc>
          <w:tcPr>
            <w:tcW w:type="dxa" w:w="3249"/>
          </w:tcPr>
          <w:p>
            <w:r>
              <w:t>A new dispatch plan is accepted</w:t>
            </w:r>
          </w:p>
        </w:tc>
        <w:tc>
          <w:tcPr>
            <w:tcW w:type="dxa" w:w="3249"/>
          </w:tcPr>
          <w:p>
            <w:r>
              <w:t>plan_id, horizon, created_at, expected_cost, expected_emissions</w:t>
            </w:r>
          </w:p>
        </w:tc>
      </w:tr>
      <w:tr>
        <w:trPr>
          <w:cantSplit/>
        </w:trPr>
        <w:tc>
          <w:tcPr>
            <w:tcW w:type="dxa" w:w="3249"/>
          </w:tcPr>
          <w:p>
            <w:r>
              <w:t>SetpointRecommendation</w:t>
            </w:r>
          </w:p>
        </w:tc>
        <w:tc>
          <w:tcPr>
            <w:tcW w:type="dxa" w:w="3249"/>
          </w:tcPr>
          <w:p>
            <w:r>
              <w:t>A supervisory recommendation is generated</w:t>
            </w:r>
          </w:p>
        </w:tc>
        <w:tc>
          <w:tcPr>
            <w:tcW w:type="dxa" w:w="3249"/>
          </w:tcPr>
          <w:p>
            <w:r>
              <w:t>rec_id, tag, value, bounds, rationale, apply_policy</w:t>
            </w:r>
          </w:p>
        </w:tc>
      </w:tr>
      <w:tr>
        <w:trPr>
          <w:cantSplit/>
        </w:trPr>
        <w:tc>
          <w:tcPr>
            <w:tcW w:type="dxa" w:w="3249"/>
          </w:tcPr>
          <w:p>
            <w:r>
              <w:t>SafetyActionBlocked</w:t>
            </w:r>
          </w:p>
        </w:tc>
        <w:tc>
          <w:tcPr>
            <w:tcW w:type="dxa" w:w="3249"/>
          </w:tcPr>
          <w:p>
            <w:r>
              <w:t>A write is blocked by the safety gate</w:t>
            </w:r>
          </w:p>
        </w:tc>
        <w:tc>
          <w:tcPr>
            <w:tcW w:type="dxa" w:w="3249"/>
          </w:tcPr>
          <w:p>
            <w:r>
              <w:t>rec_id, reason, boundary_id, current_state_snapshot_ref</w:t>
            </w:r>
          </w:p>
        </w:tc>
      </w:tr>
      <w:tr>
        <w:trPr>
          <w:cantSplit/>
        </w:trPr>
        <w:tc>
          <w:tcPr>
            <w:tcW w:type="dxa" w:w="3249"/>
          </w:tcPr>
          <w:p>
            <w:r>
              <w:t>MaintenanceTrigger</w:t>
            </w:r>
          </w:p>
        </w:tc>
        <w:tc>
          <w:tcPr>
            <w:tcW w:type="dxa" w:w="3249"/>
          </w:tcPr>
          <w:p>
            <w:r>
              <w:t>Health signals exceed threshold</w:t>
            </w:r>
          </w:p>
        </w:tc>
        <w:tc>
          <w:tcPr>
            <w:tcW w:type="dxa" w:w="3249"/>
          </w:tcPr>
          <w:p>
            <w:r>
              <w:t>asset_id, trigger_level, evidence_refs, recommended_task</w:t>
            </w:r>
          </w:p>
        </w:tc>
      </w:tr>
    </w:tbl>
    <w:p>
      <w:pPr>
        <w:pStyle w:val="Heading2"/>
      </w:pPr>
      <w:r>
        <w:t>9.5 CMMS Integration</w:t>
      </w:r>
    </w:p>
    <w:p>
      <w:pPr>
        <w:pStyle w:val="ListBullet"/>
      </w:pPr>
      <w:r>
        <w:t>Map assets: GL-001 asset IDs must align with CMMS functional locations/equipment IDs.</w:t>
      </w:r>
    </w:p>
    <w:p>
      <w:pPr>
        <w:pStyle w:val="ListBullet"/>
      </w:pPr>
      <w:r>
        <w:t>Define trigger-to-work-order rules: thresholds, persistence windows, and required supporting signals.</w:t>
      </w:r>
    </w:p>
    <w:p>
      <w:pPr>
        <w:pStyle w:val="ListBullet"/>
      </w:pPr>
      <w:r>
        <w:t>Ensure closed-loop status: CMMS work order state changes feed back to GL-001 (planned outage -&gt; constraint).</w:t>
      </w:r>
    </w:p>
    <w:p>
      <w:pPr>
        <w:pStyle w:val="Heading1"/>
      </w:pPr>
      <w:r>
        <w:t>10. Audit Logging, Observability, and Evidence Packs</w:t>
      </w:r>
    </w:p>
    <w:p>
      <w:pPr>
        <w:pStyle w:val="Heading2"/>
      </w:pPr>
      <w:r>
        <w:t>10.1 Audit Logging (comprehensive, immutable where required)</w:t>
      </w:r>
    </w:p>
    <w:p>
      <w:pPr>
        <w:pStyle w:val="ListBullet"/>
      </w:pPr>
      <w:r>
        <w:t>Every optimization run and control recommendation must emit an audit event with: correlation_id, timestamps, input references, model versions, solver status, and action diffs.</w:t>
      </w:r>
    </w:p>
    <w:p>
      <w:pPr>
        <w:pStyle w:val="ListBullet"/>
      </w:pPr>
      <w:r>
        <w:t>Audit events must be queryable by: asset, time range, operator/agent, event type, and safety boundary ID.</w:t>
      </w:r>
    </w:p>
    <w:p>
      <w:pPr>
        <w:pStyle w:val="ListBullet"/>
      </w:pPr>
      <w:r>
        <w:t>Integrity controls: append-only storage option, hash chaining (optional), and retention policies per compliance.</w:t>
      </w:r>
    </w:p>
    <w:p>
      <w:pPr>
        <w:pStyle w:val="Heading2"/>
      </w:pPr>
      <w:r>
        <w:t>10.2 Observability</w:t>
      </w:r>
    </w:p>
    <w:p>
      <w:pPr>
        <w:pStyle w:val="ListBullet"/>
      </w:pPr>
      <w:r>
        <w:t>Metrics: solver time, feasibility rate, action rates, blocked actions, data latency, and feed health.</w:t>
      </w:r>
    </w:p>
    <w:p>
      <w:pPr>
        <w:pStyle w:val="ListBullet"/>
      </w:pPr>
      <w:r>
        <w:t>Logs: structured JSON logs with correlation IDs; no sensitive secrets; support central aggregation.</w:t>
      </w:r>
    </w:p>
    <w:p>
      <w:pPr>
        <w:pStyle w:val="ListBullet"/>
      </w:pPr>
      <w:r>
        <w:t>Tracing: distributed tracing across ingestion -&gt; optimization -&gt; control -&gt; actuation -&gt; feedback.</w:t>
      </w:r>
    </w:p>
    <w:p>
      <w:pPr>
        <w:pStyle w:val="ListBullet"/>
      </w:pPr>
      <w:r>
        <w:t>Dashboards: operations view (real-time) and engineering view (diagnostics).</w:t>
      </w:r>
    </w:p>
    <w:p>
      <w:pPr>
        <w:pStyle w:val="Heading1"/>
      </w:pPr>
      <w:r>
        <w:t>11. Testing, Validation, and Commissioning</w:t>
      </w:r>
    </w:p>
    <w:p>
      <w:pPr>
        <w:pStyle w:val="Heading2"/>
      </w:pPr>
      <w:r>
        <w:t>11.1 Test Pyramid</w:t>
      </w:r>
    </w:p>
    <w:p>
      <w:pPr>
        <w:pStyle w:val="ListBullet"/>
      </w:pPr>
      <w:r>
        <w:t>Unit tests for schema validation, unit conversion, and constraint enforcement.</w:t>
      </w:r>
    </w:p>
    <w:p>
      <w:pPr>
        <w:pStyle w:val="ListBullet"/>
      </w:pPr>
      <w:r>
        <w:t>Simulation tests using a digital twin or surrogate plant model for dispatch and control behavior.</w:t>
      </w:r>
    </w:p>
    <w:p>
      <w:pPr>
        <w:pStyle w:val="ListBullet"/>
      </w:pPr>
      <w:r>
        <w:t>Hardware-in-the-loop (HIL) tests for SCADA/OPC-UA write paths and mode transitions.</w:t>
      </w:r>
    </w:p>
    <w:p>
      <w:pPr>
        <w:pStyle w:val="ListBullet"/>
      </w:pPr>
      <w:r>
        <w:t>Safety tests: boundary violations, SIS permissive changes, alarm storms, and emergency stop behaviors.</w:t>
      </w:r>
    </w:p>
    <w:p>
      <w:pPr>
        <w:pStyle w:val="ListBullet"/>
      </w:pPr>
      <w:r>
        <w:t>Site Acceptance Test (SAT): supervised deployment with clearly defined rollback criteria.</w:t>
      </w:r>
    </w:p>
    <w:p>
      <w:pPr>
        <w:pStyle w:val="Heading2"/>
      </w:pPr>
      <w:r>
        <w:t>11.2 Acceptance Criteria (minimum)</w:t>
      </w:r>
    </w:p>
    <w:p>
      <w:pPr>
        <w:pStyle w:val="ListBullet"/>
      </w:pPr>
      <w:r>
        <w:t>No safety boundary violations in closed-loop trials; all blocked actions logged with correct reasons.</w:t>
      </w:r>
    </w:p>
    <w:p>
      <w:pPr>
        <w:pStyle w:val="ListBullet"/>
      </w:pPr>
      <w:r>
        <w:t>Dispatcher achieves target heat delivery within tolerance under representative scenarios.</w:t>
      </w:r>
    </w:p>
    <w:p>
      <w:pPr>
        <w:pStyle w:val="ListBullet"/>
      </w:pPr>
      <w:r>
        <w:t>Data SLAs met (latency, completeness) with automated monitoring.</w:t>
      </w:r>
    </w:p>
    <w:p>
      <w:pPr>
        <w:pStyle w:val="ListBullet"/>
      </w:pPr>
      <w:r>
        <w:t>Explainability reports reproducible and linked to exact model versions and inputs.</w:t>
      </w:r>
    </w:p>
    <w:p>
      <w:pPr>
        <w:pStyle w:val="ListBullet"/>
      </w:pPr>
      <w:r>
        <w:t>Operator workflows validated: advisory -&gt; apply -&gt; revert; clear HMI/UX for overrides and reasons.</w:t>
      </w:r>
    </w:p>
    <w:p>
      <w:pPr>
        <w:pStyle w:val="Heading1"/>
      </w:pPr>
      <w:r>
        <w:t>12. Delivery Plan (Q4 2025 target)</w:t>
      </w:r>
    </w:p>
    <w:p>
      <w:pPr>
        <w:pStyle w:val="Heading2"/>
      </w:pPr>
      <w:r>
        <w:t>12.1 Phases and Milestones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Phase</w:t>
            </w:r>
          </w:p>
        </w:tc>
        <w:tc>
          <w:tcPr>
            <w:tcW w:type="dxa" w:w="2436"/>
          </w:tcPr>
          <w:p>
            <w:r>
              <w:t>Scope</w:t>
            </w:r>
          </w:p>
        </w:tc>
        <w:tc>
          <w:tcPr>
            <w:tcW w:type="dxa" w:w="2436"/>
          </w:tcPr>
          <w:p>
            <w:r>
              <w:t>Key Outputs</w:t>
            </w:r>
          </w:p>
        </w:tc>
        <w:tc>
          <w:tcPr>
            <w:tcW w:type="dxa" w:w="2436"/>
          </w:tcPr>
          <w:p>
            <w:r>
              <w:t>Exit Criteria</w:t>
            </w:r>
          </w:p>
        </w:tc>
      </w:tr>
      <w:tr>
        <w:tc>
          <w:tcPr>
            <w:tcW w:type="dxa" w:w="2436"/>
          </w:tcPr>
          <w:p>
            <w:r>
              <w:t>P0 - Foundation</w:t>
            </w:r>
          </w:p>
        </w:tc>
        <w:tc>
          <w:tcPr>
            <w:tcW w:type="dxa" w:w="2436"/>
          </w:tcPr>
          <w:p>
            <w:r>
              <w:t>Data contracts, tag mapping, safety boundary policy draft, baseline KPIs</w:t>
            </w:r>
          </w:p>
        </w:tc>
        <w:tc>
          <w:tcPr>
            <w:tcW w:type="dxa" w:w="2436"/>
          </w:tcPr>
          <w:p>
            <w:r>
              <w:t>Canonical schemas; initial dashboards; safety MOC initiated</w:t>
            </w:r>
          </w:p>
        </w:tc>
        <w:tc>
          <w:tcPr>
            <w:tcW w:type="dxa" w:w="2436"/>
          </w:tcPr>
          <w:p>
            <w:r>
              <w:t>Data SLAs stable; safety authority agrees on boundary approach</w:t>
            </w:r>
          </w:p>
        </w:tc>
      </w:tr>
      <w:tr>
        <w:tc>
          <w:tcPr>
            <w:tcW w:type="dxa" w:w="2436"/>
          </w:tcPr>
          <w:p>
            <w:r>
              <w:t>P1 - Optimization MVP</w:t>
            </w:r>
          </w:p>
        </w:tc>
        <w:tc>
          <w:tcPr>
            <w:tcW w:type="dxa" w:w="2436"/>
          </w:tcPr>
          <w:p>
            <w:r>
              <w:t>MILP dispatch with historical replay; basic scenario runs</w:t>
            </w:r>
          </w:p>
        </w:tc>
        <w:tc>
          <w:tcPr>
            <w:tcW w:type="dxa" w:w="2436"/>
          </w:tcPr>
          <w:p>
            <w:r>
              <w:t>Feasible plans; cost/emissions reports; audit events</w:t>
            </w:r>
          </w:p>
        </w:tc>
        <w:tc>
          <w:tcPr>
            <w:tcW w:type="dxa" w:w="2436"/>
          </w:tcPr>
          <w:p>
            <w:r>
              <w:t>Backtest meets economic targets; operators can interpret plan</w:t>
            </w:r>
          </w:p>
        </w:tc>
      </w:tr>
      <w:tr>
        <w:tc>
          <w:tcPr>
            <w:tcW w:type="dxa" w:w="2436"/>
          </w:tcPr>
          <w:p>
            <w:r>
              <w:t>P2 - Control Integration</w:t>
            </w:r>
          </w:p>
        </w:tc>
        <w:tc>
          <w:tcPr>
            <w:tcW w:type="dxa" w:w="2436"/>
          </w:tcPr>
          <w:p>
            <w:r>
              <w:t>Supervisory setpoints + cascade coordination; advisory mode</w:t>
            </w:r>
          </w:p>
        </w:tc>
        <w:tc>
          <w:tcPr>
            <w:tcW w:type="dxa" w:w="2436"/>
          </w:tcPr>
          <w:p>
            <w:r>
              <w:t>Recommendation pipeline; gating; operator UX</w:t>
            </w:r>
          </w:p>
        </w:tc>
        <w:tc>
          <w:tcPr>
            <w:tcW w:type="dxa" w:w="2436"/>
          </w:tcPr>
          <w:p>
            <w:r>
              <w:t>Stable operation in advisory; no boundary violations</w:t>
            </w:r>
          </w:p>
        </w:tc>
      </w:tr>
      <w:tr>
        <w:tc>
          <w:tcPr>
            <w:tcW w:type="dxa" w:w="2436"/>
          </w:tcPr>
          <w:p>
            <w:r>
              <w:t>P3 - Closed-Loop Trials</w:t>
            </w:r>
          </w:p>
        </w:tc>
        <w:tc>
          <w:tcPr>
            <w:tcW w:type="dxa" w:w="2436"/>
          </w:tcPr>
          <w:p>
            <w:r>
              <w:t>Limited-scope supervisory writes on selected assets</w:t>
            </w:r>
          </w:p>
        </w:tc>
        <w:tc>
          <w:tcPr>
            <w:tcW w:type="dxa" w:w="2436"/>
          </w:tcPr>
          <w:p>
            <w:r>
              <w:t>Closed-loop performance; rollback procedures</w:t>
            </w:r>
          </w:p>
        </w:tc>
        <w:tc>
          <w:tcPr>
            <w:tcW w:type="dxa" w:w="2436"/>
          </w:tcPr>
          <w:p>
            <w:r>
              <w:t>SAT passed on pilot area; monitoring and on-call ready</w:t>
            </w:r>
          </w:p>
        </w:tc>
      </w:tr>
      <w:tr>
        <w:tc>
          <w:tcPr>
            <w:tcW w:type="dxa" w:w="2436"/>
          </w:tcPr>
          <w:p>
            <w:r>
              <w:t>P4 - Scale-out</w:t>
            </w:r>
          </w:p>
        </w:tc>
        <w:tc>
          <w:tcPr>
            <w:tcW w:type="dxa" w:w="2436"/>
          </w:tcPr>
          <w:p>
            <w:r>
              <w:t>Extend to full network; add CMMS triggers; enhance UQ/explainability</w:t>
            </w:r>
          </w:p>
        </w:tc>
        <w:tc>
          <w:tcPr>
            <w:tcW w:type="dxa" w:w="2436"/>
          </w:tcPr>
          <w:p>
            <w:r>
              <w:t>Plant-wide orchestration; maintenance integration</w:t>
            </w:r>
          </w:p>
        </w:tc>
        <w:tc>
          <w:tcPr>
            <w:tcW w:type="dxa" w:w="2436"/>
          </w:tcPr>
          <w:p>
            <w:r>
              <w:t>SLOs met; governance complete; handover to ops</w:t>
            </w:r>
          </w:p>
        </w:tc>
      </w:tr>
    </w:tbl>
    <w:p>
      <w:r>
        <w:br w:type="page"/>
      </w:r>
    </w:p>
    <w:p>
      <w:pPr>
        <w:pStyle w:val="Heading2"/>
      </w:pPr>
      <w:r>
        <w:t>12.2 Risks and Mitigations (starter)</w:t>
      </w:r>
    </w:p>
    <w:tbl>
      <w:tblPr>
        <w:tblStyle w:val="TableGrid"/>
        <w:tblW w:type="auto" w:w="0"/>
        <w:tblLook w:firstColumn="1" w:firstRow="1" w:lastColumn="0" w:lastRow="0" w:noHBand="0" w:noVBand="1" w:val="04A0"/>
      </w:tblPr>
      <w:tblGrid>
        <w:gridCol w:w="2436"/>
        <w:gridCol w:w="2436"/>
        <w:gridCol w:w="2436"/>
        <w:gridCol w:w="2436"/>
      </w:tblGrid>
      <w:tr>
        <w:trPr>
          <w:cantSplit/>
        </w:trPr>
        <w:tc>
          <w:tcPr>
            <w:tcW w:type="dxa" w:w="2436"/>
          </w:tcPr>
          <w:p>
            <w:r>
              <w:t>Risk</w:t>
            </w:r>
          </w:p>
        </w:tc>
        <w:tc>
          <w:tcPr>
            <w:tcW w:type="dxa" w:w="2436"/>
          </w:tcPr>
          <w:p>
            <w:r>
              <w:t>Impact</w:t>
            </w:r>
          </w:p>
        </w:tc>
        <w:tc>
          <w:tcPr>
            <w:tcW w:type="dxa" w:w="2436"/>
          </w:tcPr>
          <w:p>
            <w:r>
              <w:t>Mitigation</w:t>
            </w:r>
          </w:p>
        </w:tc>
        <w:tc>
          <w:tcPr>
            <w:tcW w:type="dxa" w:w="2436"/>
          </w:tcPr>
          <w:p>
            <w:r>
              <w:t>Owner</w:t>
            </w:r>
          </w:p>
        </w:tc>
      </w:tr>
      <w:tr>
        <w:trPr>
          <w:cantSplit/>
        </w:trPr>
        <w:tc>
          <w:tcPr>
            <w:tcW w:type="dxa" w:w="2436"/>
          </w:tcPr>
          <w:p>
            <w:r>
              <w:t>Data latency/missingness in critical tags</w:t>
            </w:r>
          </w:p>
        </w:tc>
        <w:tc>
          <w:tcPr>
            <w:tcW w:type="dxa" w:w="2436"/>
          </w:tcPr>
          <w:p>
            <w:r>
              <w:t>Infeasible or unsafe recommendations</w:t>
            </w:r>
          </w:p>
        </w:tc>
        <w:tc>
          <w:tcPr>
            <w:tcW w:type="dxa" w:w="2436"/>
          </w:tcPr>
          <w:p>
            <w:r>
              <w:t>Define SLAs; buffering; degraded mode; data quality alarms</w:t>
            </w:r>
          </w:p>
        </w:tc>
        <w:tc>
          <w:tcPr>
            <w:tcW w:type="dxa" w:w="2436"/>
          </w:tcPr>
          <w:p>
            <w:r>
              <w:t>Data Eng + OT</w:t>
            </w:r>
          </w:p>
        </w:tc>
      </w:tr>
      <w:tr>
        <w:trPr>
          <w:cantSplit/>
        </w:trPr>
        <w:tc>
          <w:tcPr>
            <w:tcW w:type="dxa" w:w="2436"/>
          </w:tcPr>
          <w:p>
            <w:r>
              <w:t>Mis-specified constraints or operating envelopes</w:t>
            </w:r>
          </w:p>
        </w:tc>
        <w:tc>
          <w:tcPr>
            <w:tcW w:type="dxa" w:w="2436"/>
          </w:tcPr>
          <w:p>
            <w:r>
              <w:t>Equipment stress or trips</w:t>
            </w:r>
          </w:p>
        </w:tc>
        <w:tc>
          <w:tcPr>
            <w:tcW w:type="dxa" w:w="2436"/>
          </w:tcPr>
          <w:p>
            <w:r>
              <w:t>Thermal eng review; enforce conservative bounds; iterative tuning</w:t>
            </w:r>
          </w:p>
        </w:tc>
        <w:tc>
          <w:tcPr>
            <w:tcW w:type="dxa" w:w="2436"/>
          </w:tcPr>
          <w:p>
            <w:r>
              <w:t>Thermal + Safety</w:t>
            </w:r>
          </w:p>
        </w:tc>
      </w:tr>
      <w:tr>
        <w:trPr>
          <w:cantSplit/>
        </w:trPr>
        <w:tc>
          <w:tcPr>
            <w:tcW w:type="dxa" w:w="2436"/>
          </w:tcPr>
          <w:p>
            <w:r>
              <w:t>Operator mistrust / poor usability</w:t>
            </w:r>
          </w:p>
        </w:tc>
        <w:tc>
          <w:tcPr>
            <w:tcW w:type="dxa" w:w="2436"/>
          </w:tcPr>
          <w:p>
            <w:r>
              <w:t>Low adoption; manual overrides</w:t>
            </w:r>
          </w:p>
        </w:tc>
        <w:tc>
          <w:tcPr>
            <w:tcW w:type="dxa" w:w="2436"/>
          </w:tcPr>
          <w:p>
            <w:r>
              <w:t>Co-design UX; explainability; phased rollout with training</w:t>
            </w:r>
          </w:p>
        </w:tc>
        <w:tc>
          <w:tcPr>
            <w:tcW w:type="dxa" w:w="2436"/>
          </w:tcPr>
          <w:p>
            <w:r>
              <w:t>Ops + Product</w:t>
            </w:r>
          </w:p>
        </w:tc>
      </w:tr>
      <w:tr>
        <w:trPr>
          <w:cantSplit/>
        </w:trPr>
        <w:tc>
          <w:tcPr>
            <w:tcW w:type="dxa" w:w="2436"/>
          </w:tcPr>
          <w:p>
            <w:r>
              <w:t>Cyber/OT security constraints block connectivity</w:t>
            </w:r>
          </w:p>
        </w:tc>
        <w:tc>
          <w:tcPr>
            <w:tcW w:type="dxa" w:w="2436"/>
          </w:tcPr>
          <w:p>
            <w:r>
              <w:t>Delays; limited functionality</w:t>
            </w:r>
          </w:p>
        </w:tc>
        <w:tc>
          <w:tcPr>
            <w:tcW w:type="dxa" w:w="2436"/>
          </w:tcPr>
          <w:p>
            <w:r>
              <w:t>Early security architecture; segmented gateways; mTLS</w:t>
            </w:r>
          </w:p>
        </w:tc>
        <w:tc>
          <w:tcPr>
            <w:tcW w:type="dxa" w:w="2436"/>
          </w:tcPr>
          <w:p>
            <w:r>
              <w:t>Cyber + OT</w:t>
            </w:r>
          </w:p>
        </w:tc>
      </w:tr>
      <w:tr>
        <w:trPr>
          <w:cantSplit/>
        </w:trPr>
        <w:tc>
          <w:tcPr>
            <w:tcW w:type="dxa" w:w="2436"/>
          </w:tcPr>
          <w:p>
            <w:r>
              <w:t>Solver performance under tight time limits</w:t>
            </w:r>
          </w:p>
        </w:tc>
        <w:tc>
          <w:tcPr>
            <w:tcW w:type="dxa" w:w="2436"/>
          </w:tcPr>
          <w:p>
            <w:r>
              <w:t>Stale plans; instability</w:t>
            </w:r>
          </w:p>
        </w:tc>
        <w:tc>
          <w:tcPr>
            <w:tcW w:type="dxa" w:w="2436"/>
          </w:tcPr>
          <w:p>
            <w:r>
              <w:t>Warm starts; model reduction; hierarchical optimization</w:t>
            </w:r>
          </w:p>
        </w:tc>
        <w:tc>
          <w:tcPr>
            <w:tcW w:type="dxa" w:w="2436"/>
          </w:tcPr>
          <w:p>
            <w:r>
              <w:t>AI/Optimization</w:t>
            </w:r>
          </w:p>
        </w:tc>
      </w:tr>
    </w:tbl>
    <w:p>
      <w:pPr>
        <w:pStyle w:val="Heading1"/>
      </w:pPr>
      <w:r>
        <w:t>Appendix A - Glossary</w:t>
      </w:r>
    </w:p>
    <w:tbl>
      <w:tblPr>
        <w:tblStyle w:val="TableGrid"/>
        <w:tblW w:type="auto" w:w="0"/>
        <w:tblLook w:firstColumn="1" w:firstRow="1" w:lastColumn="0" w:lastRow="0" w:noHBand="0" w:noVBand="1" w:val="04A0"/>
      </w:tblPr>
      <w:tblGrid>
        <w:gridCol w:w="4873"/>
        <w:gridCol w:w="4873"/>
      </w:tblGrid>
      <w:tr>
        <w:trPr>
          <w:cantSplit/>
        </w:trPr>
        <w:tc>
          <w:tcPr>
            <w:tcW w:type="dxa" w:w="4873"/>
          </w:tcPr>
          <w:p>
            <w:r>
              <w:t>Term</w:t>
            </w:r>
          </w:p>
        </w:tc>
        <w:tc>
          <w:tcPr>
            <w:tcW w:type="dxa" w:w="4873"/>
          </w:tcPr>
          <w:p>
            <w:r>
              <w:t>Definition</w:t>
            </w:r>
          </w:p>
        </w:tc>
      </w:tr>
      <w:tr>
        <w:trPr>
          <w:cantSplit/>
        </w:trPr>
        <w:tc>
          <w:tcPr>
            <w:tcW w:type="dxa" w:w="4873"/>
          </w:tcPr>
          <w:p>
            <w:r>
              <w:t>SIS</w:t>
            </w:r>
          </w:p>
        </w:tc>
        <w:tc>
          <w:tcPr>
            <w:tcW w:type="dxa" w:w="4873"/>
          </w:tcPr>
          <w:p>
            <w:r>
              <w:t>Safety Instrumented System; independent protection layer for safety-critical trips/interlocks.</w:t>
            </w:r>
          </w:p>
        </w:tc>
      </w:tr>
      <w:tr>
        <w:trPr>
          <w:cantSplit/>
        </w:trPr>
        <w:tc>
          <w:tcPr>
            <w:tcW w:type="dxa" w:w="4873"/>
          </w:tcPr>
          <w:p>
            <w:r>
              <w:t>MILP</w:t>
            </w:r>
          </w:p>
        </w:tc>
        <w:tc>
          <w:tcPr>
            <w:tcW w:type="dxa" w:w="4873"/>
          </w:tcPr>
          <w:p>
            <w:r>
              <w:t>Mixed-Integer Linear Program; optimization with continuous and integer decision variables.</w:t>
            </w:r>
          </w:p>
        </w:tc>
      </w:tr>
      <w:tr>
        <w:trPr>
          <w:cantSplit/>
        </w:trPr>
        <w:tc>
          <w:tcPr>
            <w:tcW w:type="dxa" w:w="4873"/>
          </w:tcPr>
          <w:p>
            <w:r>
              <w:t>SHAP/LIME</w:t>
            </w:r>
          </w:p>
        </w:tc>
        <w:tc>
          <w:tcPr>
            <w:tcW w:type="dxa" w:w="4873"/>
          </w:tcPr>
          <w:p>
            <w:r>
              <w:t>Model explainability methods for attributing feature contributions to predictions.</w:t>
            </w:r>
          </w:p>
        </w:tc>
      </w:tr>
      <w:tr>
        <w:trPr>
          <w:cantSplit/>
        </w:trPr>
        <w:tc>
          <w:tcPr>
            <w:tcW w:type="dxa" w:w="4873"/>
          </w:tcPr>
          <w:p>
            <w:r>
              <w:t>Cascade PID</w:t>
            </w:r>
          </w:p>
        </w:tc>
        <w:tc>
          <w:tcPr>
            <w:tcW w:type="dxa" w:w="4873"/>
          </w:tcPr>
          <w:p>
            <w:r>
              <w:t>Two-level control: an outer controller sets the setpoint for an inner controller.</w:t>
            </w:r>
          </w:p>
        </w:tc>
      </w:tr>
      <w:tr>
        <w:trPr>
          <w:cantSplit/>
        </w:trPr>
        <w:tc>
          <w:tcPr>
            <w:tcW w:type="dxa" w:w="4873"/>
          </w:tcPr>
          <w:p>
            <w:r>
              <w:t>CMMS</w:t>
            </w:r>
          </w:p>
        </w:tc>
        <w:tc>
          <w:tcPr>
            <w:tcW w:type="dxa" w:w="4873"/>
          </w:tcPr>
          <w:p>
            <w:r>
              <w:t>Computerized Maintenance Management System (EAM); manages work orders and asset records.</w:t>
            </w:r>
          </w:p>
        </w:tc>
      </w:tr>
      <w:tr>
        <w:trPr>
          <w:cantSplit/>
        </w:trPr>
        <w:tc>
          <w:tcPr>
            <w:tcW w:type="dxa" w:w="4873"/>
          </w:tcPr>
          <w:p>
            <w:r>
              <w:t>OPC-UA</w:t>
            </w:r>
          </w:p>
        </w:tc>
        <w:tc>
          <w:tcPr>
            <w:tcW w:type="dxa" w:w="4873"/>
          </w:tcPr>
          <w:p>
            <w:r>
              <w:t>Industrial interoperability standard for secure, structured data exchange.</w:t>
            </w:r>
          </w:p>
        </w:tc>
      </w:tr>
      <w:tr>
        <w:trPr>
          <w:cantSplit/>
        </w:trPr>
        <w:tc>
          <w:tcPr>
            <w:tcW w:type="dxa" w:w="4873"/>
          </w:tcPr>
          <w:p>
            <w:r>
              <w:t>Kafka</w:t>
            </w:r>
          </w:p>
        </w:tc>
        <w:tc>
          <w:tcPr>
            <w:tcW w:type="dxa" w:w="4873"/>
          </w:tcPr>
          <w:p>
            <w:r>
              <w:t>Distributed event streaming platform used for telemetry and event bus.</w:t>
            </w:r>
          </w:p>
        </w:tc>
      </w:tr>
      <w:tr>
        <w:trPr>
          <w:cantSplit/>
        </w:trPr>
        <w:tc>
          <w:tcPr>
            <w:tcW w:type="dxa" w:w="4873"/>
          </w:tcPr>
          <w:p>
            <w:r>
              <w:t>GraphQL/gRPC</w:t>
            </w:r>
          </w:p>
        </w:tc>
        <w:tc>
          <w:tcPr>
            <w:tcW w:type="dxa" w:w="4873"/>
          </w:tcPr>
          <w:p>
            <w:r>
              <w:t>API paradigms for querying/subscription (GraphQL) and low-latency service calls (gRPC).</w:t>
            </w:r>
          </w:p>
        </w:tc>
      </w:tr>
      <w:tr>
        <w:trPr>
          <w:cantSplit/>
        </w:trPr>
        <w:tc>
          <w:tcPr>
            <w:tcW w:type="dxa" w:w="4873"/>
          </w:tcPr>
          <w:p>
            <w:r>
              <w:t>UQ</w:t>
            </w:r>
          </w:p>
        </w:tc>
        <w:tc>
          <w:tcPr>
            <w:tcW w:type="dxa" w:w="4873"/>
          </w:tcPr>
          <w:p>
            <w:r>
              <w:t>Uncertainty Quantification; methods to estimate confidence/intervals in predictions and plans.</w:t>
            </w:r>
          </w:p>
        </w:tc>
      </w:tr>
    </w:tbl>
    <w:p>
      <w:pPr>
        <w:pStyle w:val="Heading1"/>
      </w:pPr>
      <w:r>
        <w:t>Appendix B - Evidence Pack Checklist (per decision)</w:t>
      </w:r>
    </w:p>
    <w:p>
      <w:pPr>
        <w:pStyle w:val="ListBullet"/>
      </w:pPr>
      <w:r>
        <w:t>Correlation ID and timestamps (ingestion time, decision time, actuation time).</w:t>
      </w:r>
    </w:p>
    <w:p>
      <w:pPr>
        <w:pStyle w:val="ListBullet"/>
      </w:pPr>
      <w:r>
        <w:t>Input dataset references (hashes/IDs), schema versions, and unit conversion version.</w:t>
      </w:r>
    </w:p>
    <w:p>
      <w:pPr>
        <w:pStyle w:val="ListBullet"/>
      </w:pPr>
      <w:r>
        <w:t>Constraint set and safety boundary policy version.</w:t>
      </w:r>
    </w:p>
    <w:p>
      <w:pPr>
        <w:pStyle w:val="ListBullet"/>
      </w:pPr>
      <w:r>
        <w:t>ML model versions used (demand, health, anomaly), SHAP/LIME artifacts, and UQ intervals.</w:t>
      </w:r>
    </w:p>
    <w:p>
      <w:pPr>
        <w:pStyle w:val="ListBullet"/>
      </w:pPr>
      <w:r>
        <w:t>Solver status (optimal/feasible/infeasible), objective breakdown, binding constraints summary.</w:t>
      </w:r>
    </w:p>
    <w:p>
      <w:pPr>
        <w:pStyle w:val="ListBullet"/>
      </w:pPr>
      <w:r>
        <w:t>Recommended actions (tag, value, bounds), ramps, and expected impact (cost/emissions/risk).</w:t>
      </w:r>
    </w:p>
    <w:p>
      <w:pPr>
        <w:pStyle w:val="ListBullet"/>
      </w:pPr>
      <w:r>
        <w:t>Operator actions (approved/rejected/overridden) with reasons and comments (if available).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Title">
    <w:name w:val="GLTitle"/>
    <w:pPr>
      <w:spacing w:after="240"/>
    </w:pPr>
    <w:rPr>
      <w:rFonts w:ascii="Calibri" w:hAnsi="Calibri"/>
      <w:b/>
      <w:sz w:val="52"/>
    </w:rPr>
  </w:style>
  <w:style w:type="paragraph" w:customStyle="1" w:styleId="GLSubtitle">
    <w:name w:val="GLSubtitle"/>
    <w:pPr>
      <w:spacing w:after="200"/>
    </w:pPr>
    <w:rPr>
      <w:rFonts w:ascii="Calibri" w:hAnsi="Calibri"/>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