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GL-006 HEATRECLAIM</w:t>
        <w:br/>
        <w:t>HeatRecoveryMaximizer</w:t>
      </w:r>
    </w:p>
    <w:p>
      <w:pPr>
        <w:jc w:val="center"/>
      </w:pPr>
      <w:r>
        <w:rPr>
          <w:sz w:val="28"/>
        </w:rPr>
        <w:t>Heat Recovery Optimization Agent</w:t>
        <w:br/>
        <w:t>System Design, Data, Engineering, and Delivery Playbook</w:t>
      </w:r>
    </w:p>
    <w:p/>
    <w:p>
      <w:pPr>
        <w:jc w:val="center"/>
      </w:pPr>
      <w:r>
        <w:rPr>
          <w:sz w:val="22"/>
        </w:rPr>
        <w:t>Status: Implemented   |   Priority: P0   |   Program size: $12B</w:t>
        <w:br/>
        <w:t>Target: Q4 2025   |   Readiness score: 96/100</w:t>
        <w:br/>
        <w:t>Document date: December 18, 2025</w:t>
      </w:r>
    </w:p>
    <w:p>
      <w:r>
        <w:br w:type="page"/>
      </w:r>
    </w:p>
    <w:p>
      <w:pPr>
        <w:pStyle w:val="Heading1"/>
      </w:pPr>
      <w:r>
        <w:t>1. Purpose and Audience</w:t>
      </w:r>
    </w:p>
    <w:p>
      <w:pPr>
        <w:spacing w:after="120"/>
      </w:pPr>
      <w:r>
        <w:t>This document provides a single, shared implementation guide for GL-006 (HEATRECLAIM / HeatRecoveryMaximizer). It is written for cross-functional delivery teams including AI/ML, software/platform development, data engineering, process/thermal engineering, optimization specialists, operations and maintenance, climate intelligence, and governance/security.</w:t>
      </w:r>
    </w:p>
    <w:p>
      <w:r>
        <w:t>The intent is to align all teams on: (i) what the agent must do, (ii) what data is required and how it is validated, (iii) the thermodynamics and mathematics used for deterministic calculations, (iv) the system architecture and integration points (OPC-UA, Kafka, GraphQL), and (v) deliverables, ownership, and acceptance criteria.</w:t>
      </w:r>
    </w:p>
    <w:p>
      <w:pPr>
        <w:pStyle w:val="Heading1"/>
      </w:pPr>
      <w:r>
        <w:t>2. Agent Card</w:t>
      </w:r>
    </w:p>
    <w:tbl>
      <w:tblPr>
        <w:tblStyle w:val="TableGrid"/>
        <w:tblW w:type="auto" w:w="0"/>
        <w:jc w:val="center"/>
        <w:tblLayout w:type="fixed"/>
        <w:tblLook w:firstColumn="1" w:firstRow="1" w:lastColumn="0" w:lastRow="0" w:noHBand="0" w:noVBand="1" w:val="04A0"/>
      </w:tblPr>
      <w:tblGrid>
        <w:gridCol w:w="4680"/>
        <w:gridCol w:w="4680"/>
      </w:tblGrid>
      <w:tr>
        <w:tc>
          <w:tcPr>
            <w:tcW w:type="dxa" w:w="2304"/>
            <w:shd w:fill="1F4E79"/>
            <w:vAlign w:val="center"/>
          </w:tcPr>
          <w:p>
            <w:pPr>
              <w:jc w:val="center"/>
            </w:pPr>
            <w:r/>
            <w:r>
              <w:rPr>
                <w:rStyle w:val="TableHeader"/>
                <w:b w:val="0"/>
              </w:rPr>
              <w:t>Field</w:t>
            </w:r>
          </w:p>
        </w:tc>
        <w:tc>
          <w:tcPr>
            <w:tcW w:type="dxa" w:w="7056"/>
            <w:shd w:fill="1F4E79"/>
            <w:vAlign w:val="center"/>
          </w:tcPr>
          <w:p>
            <w:pPr>
              <w:jc w:val="center"/>
            </w:pPr>
            <w:r/>
            <w:r>
              <w:rPr>
                <w:rStyle w:val="TableHeader"/>
                <w:b w:val="0"/>
              </w:rPr>
              <w:t>Value</w:t>
            </w:r>
          </w:p>
        </w:tc>
      </w:tr>
      <w:tr>
        <w:tc>
          <w:tcPr>
            <w:tcW w:type="dxa" w:w="2304"/>
            <w:vAlign w:val="top"/>
          </w:tcPr>
          <w:p>
            <w:r>
              <w:t>Agent ID</w:t>
            </w:r>
          </w:p>
        </w:tc>
        <w:tc>
          <w:tcPr>
            <w:tcW w:type="dxa" w:w="7056"/>
            <w:vAlign w:val="top"/>
          </w:tcPr>
          <w:p>
            <w:r>
              <w:t>GL-006</w:t>
            </w:r>
          </w:p>
        </w:tc>
      </w:tr>
      <w:tr>
        <w:tc>
          <w:tcPr>
            <w:tcW w:type="dxa" w:w="2304"/>
            <w:vAlign w:val="top"/>
          </w:tcPr>
          <w:p>
            <w:r>
              <w:t>Codename</w:t>
            </w:r>
          </w:p>
        </w:tc>
        <w:tc>
          <w:tcPr>
            <w:tcW w:type="dxa" w:w="7056"/>
            <w:vAlign w:val="top"/>
          </w:tcPr>
          <w:p>
            <w:r>
              <w:t>HEATRECLAIM</w:t>
            </w:r>
          </w:p>
        </w:tc>
      </w:tr>
      <w:tr>
        <w:tc>
          <w:tcPr>
            <w:tcW w:type="dxa" w:w="2304"/>
            <w:vAlign w:val="top"/>
          </w:tcPr>
          <w:p>
            <w:r>
              <w:t>Agent name</w:t>
            </w:r>
          </w:p>
        </w:tc>
        <w:tc>
          <w:tcPr>
            <w:tcW w:type="dxa" w:w="7056"/>
            <w:vAlign w:val="top"/>
          </w:tcPr>
          <w:p>
            <w:r>
              <w:t>HeatRecoveryMaximizer</w:t>
            </w:r>
          </w:p>
        </w:tc>
      </w:tr>
      <w:tr>
        <w:tc>
          <w:tcPr>
            <w:tcW w:type="dxa" w:w="2304"/>
            <w:vAlign w:val="top"/>
          </w:tcPr>
          <w:p>
            <w:r>
              <w:t>Domain</w:t>
            </w:r>
          </w:p>
        </w:tc>
        <w:tc>
          <w:tcPr>
            <w:tcW w:type="dxa" w:w="7056"/>
            <w:vAlign w:val="top"/>
          </w:tcPr>
          <w:p>
            <w:r>
              <w:t>Heat Recovery</w:t>
            </w:r>
          </w:p>
        </w:tc>
      </w:tr>
      <w:tr>
        <w:tc>
          <w:tcPr>
            <w:tcW w:type="dxa" w:w="2304"/>
            <w:vAlign w:val="top"/>
          </w:tcPr>
          <w:p>
            <w:r>
              <w:t>Class</w:t>
            </w:r>
          </w:p>
        </w:tc>
        <w:tc>
          <w:tcPr>
            <w:tcW w:type="dxa" w:w="7056"/>
            <w:vAlign w:val="top"/>
          </w:tcPr>
          <w:p>
            <w:r>
              <w:t>Optimizer</w:t>
            </w:r>
          </w:p>
        </w:tc>
      </w:tr>
      <w:tr>
        <w:tc>
          <w:tcPr>
            <w:tcW w:type="dxa" w:w="2304"/>
            <w:vAlign w:val="top"/>
          </w:tcPr>
          <w:p>
            <w:r>
              <w:t>Business criticality</w:t>
            </w:r>
          </w:p>
        </w:tc>
        <w:tc>
          <w:tcPr>
            <w:tcW w:type="dxa" w:w="7056"/>
            <w:vAlign w:val="top"/>
          </w:tcPr>
          <w:p>
            <w:r>
              <w:t>High</w:t>
            </w:r>
          </w:p>
        </w:tc>
      </w:tr>
      <w:tr>
        <w:tc>
          <w:tcPr>
            <w:tcW w:type="dxa" w:w="2304"/>
            <w:vAlign w:val="top"/>
          </w:tcPr>
          <w:p>
            <w:r>
              <w:t>Delivery priority</w:t>
            </w:r>
          </w:p>
        </w:tc>
        <w:tc>
          <w:tcPr>
            <w:tcW w:type="dxa" w:w="7056"/>
            <w:vAlign w:val="top"/>
          </w:tcPr>
          <w:p>
            <w:r>
              <w:t>P0</w:t>
            </w:r>
          </w:p>
        </w:tc>
      </w:tr>
      <w:tr>
        <w:tc>
          <w:tcPr>
            <w:tcW w:type="dxa" w:w="2304"/>
            <w:vAlign w:val="top"/>
          </w:tcPr>
          <w:p>
            <w:r>
              <w:t>Program value</w:t>
            </w:r>
          </w:p>
        </w:tc>
        <w:tc>
          <w:tcPr>
            <w:tcW w:type="dxa" w:w="7056"/>
            <w:vAlign w:val="top"/>
          </w:tcPr>
          <w:p>
            <w:r>
              <w:t>$12B</w:t>
            </w:r>
          </w:p>
        </w:tc>
      </w:tr>
      <w:tr>
        <w:tc>
          <w:tcPr>
            <w:tcW w:type="dxa" w:w="2304"/>
            <w:vAlign w:val="top"/>
          </w:tcPr>
          <w:p>
            <w:r>
              <w:t>Target quarter</w:t>
            </w:r>
          </w:p>
        </w:tc>
        <w:tc>
          <w:tcPr>
            <w:tcW w:type="dxa" w:w="7056"/>
            <w:vAlign w:val="top"/>
          </w:tcPr>
          <w:p>
            <w:r>
              <w:t>Q4 2025</w:t>
            </w:r>
          </w:p>
        </w:tc>
      </w:tr>
      <w:tr>
        <w:tc>
          <w:tcPr>
            <w:tcW w:type="dxa" w:w="2304"/>
            <w:vAlign w:val="top"/>
          </w:tcPr>
          <w:p>
            <w:r>
              <w:t>Readiness score</w:t>
            </w:r>
          </w:p>
        </w:tc>
        <w:tc>
          <w:tcPr>
            <w:tcW w:type="dxa" w:w="7056"/>
            <w:vAlign w:val="top"/>
          </w:tcPr>
          <w:p>
            <w:r>
              <w:t>96/100</w:t>
            </w:r>
          </w:p>
        </w:tc>
      </w:tr>
      <w:tr>
        <w:tc>
          <w:tcPr>
            <w:tcW w:type="dxa" w:w="2304"/>
            <w:vAlign w:val="top"/>
          </w:tcPr>
          <w:p>
            <w:r>
              <w:t>Implementation status</w:t>
            </w:r>
          </w:p>
        </w:tc>
        <w:tc>
          <w:tcPr>
            <w:tcW w:type="dxa" w:w="7056"/>
            <w:vAlign w:val="top"/>
          </w:tcPr>
          <w:p>
            <w:r>
              <w:t>Implemented</w:t>
            </w:r>
          </w:p>
        </w:tc>
      </w:tr>
      <w:tr>
        <w:tc>
          <w:tcPr>
            <w:tcW w:type="dxa" w:w="2304"/>
            <w:vAlign w:val="top"/>
          </w:tcPr>
          <w:p>
            <w:r>
              <w:t>Core methods</w:t>
            </w:r>
          </w:p>
        </w:tc>
        <w:tc>
          <w:tcPr>
            <w:tcW w:type="dxa" w:w="7056"/>
            <w:vAlign w:val="top"/>
          </w:tcPr>
          <w:p>
            <w:r>
              <w:t>Pinch analysis; heat exchanger network (HEN) synthesis; exergy destruction analysis; economic optimization; multi-objective Pareto frontiers; SHAP/LIME explainability; causal inference for optimization; uncertainty quantification; deterministic, zero-hallucination calculations</w:t>
            </w:r>
          </w:p>
        </w:tc>
      </w:tr>
      <w:tr>
        <w:tc>
          <w:tcPr>
            <w:tcW w:type="dxa" w:w="2304"/>
            <w:vAlign w:val="top"/>
          </w:tcPr>
          <w:p>
            <w:r>
              <w:t>Primary inputs</w:t>
            </w:r>
          </w:p>
        </w:tc>
        <w:tc>
          <w:tcPr>
            <w:tcW w:type="dxa" w:w="7056"/>
            <w:vAlign w:val="top"/>
          </w:tcPr>
          <w:p>
            <w:r>
              <w:t>Waste heat stream definitions; temperature gradients; flow rates; utility costs; equipment constraints; fouling factors; maintenance history</w:t>
            </w:r>
          </w:p>
        </w:tc>
      </w:tr>
      <w:tr>
        <w:tc>
          <w:tcPr>
            <w:tcW w:type="dxa" w:w="2304"/>
            <w:vAlign w:val="top"/>
          </w:tcPr>
          <w:p>
            <w:r>
              <w:t>Primary outputs</w:t>
            </w:r>
          </w:p>
        </w:tc>
        <w:tc>
          <w:tcPr>
            <w:tcW w:type="dxa" w:w="7056"/>
            <w:vAlign w:val="top"/>
          </w:tcPr>
          <w:p>
            <w:r>
              <w:t>Heat recovery network design; pinch targets; exergy analysis; ROI optimization; Pareto solutions; explainability reports; causal graphs; uncertainty quantification</w:t>
            </w:r>
          </w:p>
        </w:tc>
      </w:tr>
      <w:tr>
        <w:tc>
          <w:tcPr>
            <w:tcW w:type="dxa" w:w="2304"/>
            <w:vAlign w:val="top"/>
          </w:tcPr>
          <w:p>
            <w:r>
              <w:t>Key integrations</w:t>
            </w:r>
          </w:p>
        </w:tc>
        <w:tc>
          <w:tcPr>
            <w:tcW w:type="dxa" w:w="7056"/>
            <w:vAlign w:val="top"/>
          </w:tcPr>
          <w:p>
            <w:r>
              <w:t>Heat exchangers; economizers; preheaters; HEN; OPC-UA; Kafka; GraphQL</w:t>
            </w:r>
          </w:p>
        </w:tc>
      </w:tr>
    </w:tbl>
    <w:p/>
    <w:p>
      <w:pPr>
        <w:pStyle w:val="Heading1"/>
      </w:pPr>
      <w:r>
        <w:t>3. Problem Statement and Outcomes</w:t>
      </w:r>
    </w:p>
    <w:p>
      <w:r>
        <w:t>Industrial facilities typically reject substantial thermal energy to the environment through exhaust gases, hot liquids, condensate, and intermittent batch operations. GL-006 maximizes recoverable waste heat by designing and continuously re-optimizing a heat exchanger network (HEN) under real operational constraints (process variability, fouling, maintenance windows, equipment limitations, and utility pricing).</w:t>
      </w:r>
    </w:p>
    <w:p>
      <w:pPr>
        <w:pStyle w:val="Heading2"/>
      </w:pPr>
      <w:r>
        <w:t>3.1 Target outcomes</w:t>
      </w:r>
    </w:p>
    <w:p>
      <w:pPr>
        <w:pStyle w:val="ListBullet"/>
      </w:pPr>
      <w:r>
        <w:t>Maximize recovered heat (kW, GJ/day) subject to safe temperature approaches and operability.</w:t>
      </w:r>
    </w:p>
    <w:p>
      <w:pPr>
        <w:pStyle w:val="ListBullet"/>
      </w:pPr>
      <w:r>
        <w:t>Minimize utility consumption and cost (steam, fuel gas, electricity) while meeting process heating/cooling duties.</w:t>
      </w:r>
    </w:p>
    <w:p>
      <w:pPr>
        <w:pStyle w:val="ListBullet"/>
      </w:pPr>
      <w:r>
        <w:t>Minimize exergy destruction (second-law losses) to improve thermodynamic efficiency.</w:t>
      </w:r>
    </w:p>
    <w:p>
      <w:pPr>
        <w:pStyle w:val="ListBullet"/>
      </w:pPr>
      <w:r>
        <w:t>Produce capital-efficient designs with quantified ROI, NPV, and payback under uncertainty.</w:t>
      </w:r>
    </w:p>
    <w:p>
      <w:pPr>
        <w:pStyle w:val="ListBullet"/>
      </w:pPr>
      <w:r>
        <w:t>Provide explainable recommendations (why a match/exchanger is selected, sensitivity to inputs, counterfactuals).</w:t>
      </w:r>
    </w:p>
    <w:p>
      <w:pPr>
        <w:pStyle w:val="ListBullet"/>
      </w:pPr>
      <w:r>
        <w:t>Operate with deterministic, auditable calculations (no uncontrolled generative outputs used for engineering decisions).</w:t>
      </w:r>
    </w:p>
    <w:p>
      <w:pPr>
        <w:pStyle w:val="Heading2"/>
      </w:pPr>
      <w:r>
        <w:t>3.2 Key KPIs</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fill="1F4E79"/>
            <w:vAlign w:val="center"/>
          </w:tcPr>
          <w:p>
            <w:pPr>
              <w:jc w:val="center"/>
            </w:pPr>
            <w:r/>
            <w:r>
              <w:rPr>
                <w:rStyle w:val="TableHeader"/>
                <w:b w:val="0"/>
              </w:rPr>
              <w:t>KPI</w:t>
            </w:r>
          </w:p>
        </w:tc>
        <w:tc>
          <w:tcPr>
            <w:tcW w:type="dxa" w:w="6480"/>
            <w:shd w:fill="1F4E79"/>
            <w:vAlign w:val="center"/>
          </w:tcPr>
          <w:p>
            <w:pPr>
              <w:jc w:val="center"/>
            </w:pPr>
            <w:r/>
            <w:r>
              <w:rPr>
                <w:rStyle w:val="TableHeader"/>
                <w:b w:val="0"/>
              </w:rPr>
              <w:t>Definition / units</w:t>
            </w:r>
          </w:p>
        </w:tc>
      </w:tr>
      <w:tr>
        <w:tc>
          <w:tcPr>
            <w:tcW w:type="dxa" w:w="2880"/>
            <w:vAlign w:val="top"/>
          </w:tcPr>
          <w:p>
            <w:r>
              <w:t>Recovered heat</w:t>
            </w:r>
          </w:p>
        </w:tc>
        <w:tc>
          <w:tcPr>
            <w:tcW w:type="dxa" w:w="6480"/>
            <w:vAlign w:val="top"/>
          </w:tcPr>
          <w:p>
            <w:r>
              <w:t>kW, GJ/day, % of available waste heat</w:t>
            </w:r>
          </w:p>
        </w:tc>
      </w:tr>
      <w:tr>
        <w:tc>
          <w:tcPr>
            <w:tcW w:type="dxa" w:w="2880"/>
            <w:vAlign w:val="top"/>
          </w:tcPr>
          <w:p>
            <w:r>
              <w:t>Utility cost reduction</w:t>
            </w:r>
          </w:p>
        </w:tc>
        <w:tc>
          <w:tcPr>
            <w:tcW w:type="dxa" w:w="6480"/>
            <w:vAlign w:val="top"/>
          </w:tcPr>
          <w:p>
            <w:r>
              <w:t>$/day and $/year vs baseline</w:t>
            </w:r>
          </w:p>
        </w:tc>
      </w:tr>
      <w:tr>
        <w:tc>
          <w:tcPr>
            <w:tcW w:type="dxa" w:w="2880"/>
            <w:vAlign w:val="top"/>
          </w:tcPr>
          <w:p>
            <w:r>
              <w:t>CO2e reduction</w:t>
            </w:r>
          </w:p>
        </w:tc>
        <w:tc>
          <w:tcPr>
            <w:tcW w:type="dxa" w:w="6480"/>
            <w:vAlign w:val="top"/>
          </w:tcPr>
          <w:p>
            <w:r>
              <w:t>tCO2e/year using agreed emissions factors and boundaries</w:t>
            </w:r>
          </w:p>
        </w:tc>
      </w:tr>
      <w:tr>
        <w:tc>
          <w:tcPr>
            <w:tcW w:type="dxa" w:w="2880"/>
            <w:vAlign w:val="top"/>
          </w:tcPr>
          <w:p>
            <w:r>
              <w:t>Exergy efficiency</w:t>
            </w:r>
          </w:p>
        </w:tc>
        <w:tc>
          <w:tcPr>
            <w:tcW w:type="dxa" w:w="6480"/>
            <w:vAlign w:val="top"/>
          </w:tcPr>
          <w:p>
            <w:r>
              <w:t>η_ex and/or total exergy destruction (kW_ex)</w:t>
            </w:r>
          </w:p>
        </w:tc>
      </w:tr>
      <w:tr>
        <w:tc>
          <w:tcPr>
            <w:tcW w:type="dxa" w:w="2880"/>
            <w:vAlign w:val="top"/>
          </w:tcPr>
          <w:p>
            <w:r>
              <w:t>Economic metrics</w:t>
            </w:r>
          </w:p>
        </w:tc>
        <w:tc>
          <w:tcPr>
            <w:tcW w:type="dxa" w:w="6480"/>
            <w:vAlign w:val="top"/>
          </w:tcPr>
          <w:p>
            <w:r>
              <w:t>NPV, IRR, payback (months), ROI (%)</w:t>
            </w:r>
          </w:p>
        </w:tc>
      </w:tr>
      <w:tr>
        <w:tc>
          <w:tcPr>
            <w:tcW w:type="dxa" w:w="2880"/>
            <w:vAlign w:val="top"/>
          </w:tcPr>
          <w:p>
            <w:r>
              <w:t>Recommendation stability</w:t>
            </w:r>
          </w:p>
        </w:tc>
        <w:tc>
          <w:tcPr>
            <w:tcW w:type="dxa" w:w="6480"/>
            <w:vAlign w:val="top"/>
          </w:tcPr>
          <w:p>
            <w:r>
              <w:t>Pareto set stability under input noise; constraint violation rate</w:t>
            </w:r>
          </w:p>
        </w:tc>
      </w:tr>
      <w:tr>
        <w:tc>
          <w:tcPr>
            <w:tcW w:type="dxa" w:w="2880"/>
            <w:vAlign w:val="top"/>
          </w:tcPr>
          <w:p>
            <w:r>
              <w:t>Operational reliability</w:t>
            </w:r>
          </w:p>
        </w:tc>
        <w:tc>
          <w:tcPr>
            <w:tcW w:type="dxa" w:w="6480"/>
            <w:vAlign w:val="top"/>
          </w:tcPr>
          <w:p>
            <w:r>
              <w:t>time-to-solution; availability; mean time between failures</w:t>
            </w:r>
          </w:p>
        </w:tc>
      </w:tr>
      <w:tr>
        <w:tc>
          <w:tcPr>
            <w:tcW w:type="dxa" w:w="2880"/>
            <w:vAlign w:val="top"/>
          </w:tcPr>
          <w:p>
            <w:r>
              <w:t>Explainability coverage</w:t>
            </w:r>
          </w:p>
        </w:tc>
        <w:tc>
          <w:tcPr>
            <w:tcW w:type="dxa" w:w="6480"/>
            <w:vAlign w:val="top"/>
          </w:tcPr>
          <w:p>
            <w:r>
              <w:t>% recommendations with SHAP/LIME + causal attribution</w:t>
            </w:r>
          </w:p>
        </w:tc>
      </w:tr>
    </w:tbl>
    <w:p/>
    <w:p>
      <w:pPr>
        <w:pStyle w:val="Heading1"/>
      </w:pPr>
      <w:r>
        <w:t>4. Scope, Assumptions, and Constraints</w:t>
      </w:r>
    </w:p>
    <w:p>
      <w:pPr>
        <w:pStyle w:val="Heading2"/>
      </w:pPr>
      <w:r>
        <w:t>4.1 In scope</w:t>
      </w:r>
    </w:p>
    <w:p>
      <w:pPr>
        <w:pStyle w:val="ListBullet"/>
      </w:pPr>
      <w:r>
        <w:t>Pinch targeting (minimum utility requirements, heat recovery potential, pinch temperature).</w:t>
      </w:r>
    </w:p>
    <w:p>
      <w:pPr>
        <w:pStyle w:val="ListBullet"/>
      </w:pPr>
      <w:r>
        <w:t>Heat exchanger network synthesis for retrofit and grassroots designs, including equipment re-use constraints.</w:t>
      </w:r>
    </w:p>
    <w:p>
      <w:pPr>
        <w:pStyle w:val="ListBullet"/>
      </w:pPr>
      <w:r>
        <w:t>Exergy analysis of streams and exchangers (exergy destruction and efficiency indicators).</w:t>
      </w:r>
    </w:p>
    <w:p>
      <w:pPr>
        <w:pStyle w:val="ListBullet"/>
      </w:pPr>
      <w:r>
        <w:t>Economic optimization including capital cost models, utility price scenarios, maintenance and downtime impacts.</w:t>
      </w:r>
    </w:p>
    <w:p>
      <w:pPr>
        <w:pStyle w:val="ListBullet"/>
      </w:pPr>
      <w:r>
        <w:t>Multi-objective optimization and Pareto frontier generation (e.g., cost vs heat recovered vs exergy destruction).</w:t>
      </w:r>
    </w:p>
    <w:p>
      <w:pPr>
        <w:pStyle w:val="ListBullet"/>
      </w:pPr>
      <w:r>
        <w:t>Explainability artifacts: SHAP/LIME sensitivity, constraint-based rationale, causal graphs, and counterfactual analyses.</w:t>
      </w:r>
    </w:p>
    <w:p>
      <w:pPr>
        <w:pStyle w:val="ListBullet"/>
      </w:pPr>
      <w:r>
        <w:t>Uncertainty quantification on key inputs (flows, temperatures, prices, fouling) and propagation to KPIs.</w:t>
      </w:r>
    </w:p>
    <w:p>
      <w:pPr>
        <w:pStyle w:val="Heading2"/>
      </w:pPr>
      <w:r>
        <w:t>4.2 Out of scope (unless explicitly added by project change control)</w:t>
      </w:r>
    </w:p>
    <w:p>
      <w:pPr>
        <w:pStyle w:val="ListBullet"/>
      </w:pPr>
      <w:r>
        <w:t>Detailed mechanical design drawings (tube layout, baffle design, stress analysis) beyond sizing and duty checks.</w:t>
      </w:r>
    </w:p>
    <w:p>
      <w:pPr>
        <w:pStyle w:val="ListBullet"/>
      </w:pPr>
      <w:r>
        <w:t>Full plant-wide dynamic simulation (startup/shutdown transients) except where required for safety constraints.</w:t>
      </w:r>
    </w:p>
    <w:p>
      <w:pPr>
        <w:pStyle w:val="ListBullet"/>
      </w:pPr>
      <w:r>
        <w:t>Control system reprogramming beyond providing setpoint targets and recommended operating envelopes.</w:t>
      </w:r>
    </w:p>
    <w:p>
      <w:pPr>
        <w:pStyle w:val="ListBullet"/>
      </w:pPr>
      <w:r>
        <w:t>Regulatory permitting execution (agent supplies inputs and reports; compliance teams execute filings).</w:t>
      </w:r>
    </w:p>
    <w:p>
      <w:pPr>
        <w:pStyle w:val="Heading2"/>
      </w:pPr>
      <w:r>
        <w:t>4.3 Engineering constraints (typical)</w:t>
      </w:r>
    </w:p>
    <w:p>
      <w:pPr>
        <w:pStyle w:val="ListBullet"/>
      </w:pPr>
      <w:r>
        <w:t>Minimum approach temperatures (ΔTmin) by stream class; pinch rule enforcement unless relaxation is justified.</w:t>
      </w:r>
    </w:p>
    <w:p>
      <w:pPr>
        <w:pStyle w:val="ListBullet"/>
      </w:pPr>
      <w:r>
        <w:t>Maximum allowable pressure drop by side and exchanger type.</w:t>
      </w:r>
    </w:p>
    <w:p>
      <w:pPr>
        <w:pStyle w:val="ListBullet"/>
      </w:pPr>
      <w:r>
        <w:t>Material compatibility and corrosion allowances.</w:t>
      </w:r>
    </w:p>
    <w:p>
      <w:pPr>
        <w:pStyle w:val="ListBullet"/>
      </w:pPr>
      <w:r>
        <w:t>Fouling factors by stream and time-since-cleaning; heat transfer degradation models.</w:t>
      </w:r>
    </w:p>
    <w:p>
      <w:pPr>
        <w:pStyle w:val="ListBullet"/>
      </w:pPr>
      <w:r>
        <w:t>Maintenance windows, isolation requirements, and equipment availability.</w:t>
      </w:r>
    </w:p>
    <w:p>
      <w:pPr>
        <w:pStyle w:val="ListBullet"/>
      </w:pPr>
      <w:r>
        <w:t>Safety constraints: maximum film temperature, risk of condensation/acid dew point, flashing, and thermal stress limits.</w:t>
      </w:r>
    </w:p>
    <w:p/>
    <w:p>
      <w:pPr>
        <w:pStyle w:val="Heading1"/>
      </w:pPr>
      <w:r>
        <w:t>5. Teams and Responsibilities</w:t>
      </w:r>
    </w:p>
    <w:p>
      <w:r>
        <w:t>GL-006 is a cross-disciplinary system. The table below defines primary responsibilities by team. Teams should treat this as the default RACI unless superseded by local program governance.</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fill="1F4E79"/>
            <w:vAlign w:val="center"/>
          </w:tcPr>
          <w:p>
            <w:pPr>
              <w:jc w:val="center"/>
            </w:pPr>
            <w:r/>
            <w:r>
              <w:rPr>
                <w:rStyle w:val="TableHeader"/>
                <w:b w:val="0"/>
              </w:rPr>
              <w:t>Team</w:t>
            </w:r>
          </w:p>
        </w:tc>
        <w:tc>
          <w:tcPr>
            <w:tcW w:type="dxa" w:w="6480"/>
            <w:shd w:fill="1F4E79"/>
            <w:vAlign w:val="center"/>
          </w:tcPr>
          <w:p>
            <w:pPr>
              <w:jc w:val="center"/>
            </w:pPr>
            <w:r/>
            <w:r>
              <w:rPr>
                <w:rStyle w:val="TableHeader"/>
                <w:b w:val="0"/>
              </w:rPr>
              <w:t>Primary responsibilities</w:t>
            </w:r>
          </w:p>
        </w:tc>
      </w:tr>
      <w:tr>
        <w:tc>
          <w:tcPr>
            <w:tcW w:type="dxa" w:w="2880"/>
            <w:vAlign w:val="top"/>
          </w:tcPr>
          <w:p>
            <w:r>
              <w:t>Product / Program</w:t>
            </w:r>
          </w:p>
        </w:tc>
        <w:tc>
          <w:tcPr>
            <w:tcW w:type="dxa" w:w="6480"/>
            <w:vAlign w:val="top"/>
          </w:tcPr>
          <w:p>
            <w:r>
              <w:t>Own business objectives, scope, ROI assumptions, stakeholder alignment, and go-live criteria.</w:t>
            </w:r>
          </w:p>
        </w:tc>
      </w:tr>
      <w:tr>
        <w:tc>
          <w:tcPr>
            <w:tcW w:type="dxa" w:w="2880"/>
            <w:vAlign w:val="top"/>
          </w:tcPr>
          <w:p>
            <w:r>
              <w:t>Process &amp; Thermal Engineering</w:t>
            </w:r>
          </w:p>
        </w:tc>
        <w:tc>
          <w:tcPr>
            <w:tcW w:type="dxa" w:w="6480"/>
            <w:vAlign w:val="top"/>
          </w:tcPr>
          <w:p>
            <w:r>
              <w:t>Own stream definitions, operating envelopes, ΔTmin rules, equipment constraints, and engineering sign-off.</w:t>
            </w:r>
          </w:p>
        </w:tc>
      </w:tr>
      <w:tr>
        <w:tc>
          <w:tcPr>
            <w:tcW w:type="dxa" w:w="2880"/>
            <w:vAlign w:val="top"/>
          </w:tcPr>
          <w:p>
            <w:r>
              <w:t>Optimization / Applied Mathematics</w:t>
            </w:r>
          </w:p>
        </w:tc>
        <w:tc>
          <w:tcPr>
            <w:tcW w:type="dxa" w:w="6480"/>
            <w:vAlign w:val="top"/>
          </w:tcPr>
          <w:p>
            <w:r>
              <w:t>Own pinch calculations, HEN synthesis algorithms, solver strategy, Pareto generation, and determinism.</w:t>
            </w:r>
          </w:p>
        </w:tc>
      </w:tr>
      <w:tr>
        <w:tc>
          <w:tcPr>
            <w:tcW w:type="dxa" w:w="2880"/>
            <w:vAlign w:val="top"/>
          </w:tcPr>
          <w:p>
            <w:r>
              <w:t>Data Engineering</w:t>
            </w:r>
          </w:p>
        </w:tc>
        <w:tc>
          <w:tcPr>
            <w:tcW w:type="dxa" w:w="6480"/>
            <w:vAlign w:val="top"/>
          </w:tcPr>
          <w:p>
            <w:r>
              <w:t>Own data ingestion (OPC-UA/historians/CMMS), unit normalization, data quality, lineage, and feature stores.</w:t>
            </w:r>
          </w:p>
        </w:tc>
      </w:tr>
      <w:tr>
        <w:tc>
          <w:tcPr>
            <w:tcW w:type="dxa" w:w="2880"/>
            <w:vAlign w:val="top"/>
          </w:tcPr>
          <w:p>
            <w:r>
              <w:t>Software / Platform Engineering</w:t>
            </w:r>
          </w:p>
        </w:tc>
        <w:tc>
          <w:tcPr>
            <w:tcW w:type="dxa" w:w="6480"/>
            <w:vAlign w:val="top"/>
          </w:tcPr>
          <w:p>
            <w:r>
              <w:t>Own service architecture, APIs (GraphQL), Kafka streaming, deployments, observability, and reliability.</w:t>
            </w:r>
          </w:p>
        </w:tc>
      </w:tr>
      <w:tr>
        <w:tc>
          <w:tcPr>
            <w:tcW w:type="dxa" w:w="2880"/>
            <w:vAlign w:val="top"/>
          </w:tcPr>
          <w:p>
            <w:r>
              <w:t>AI/ML Engineering</w:t>
            </w:r>
          </w:p>
        </w:tc>
        <w:tc>
          <w:tcPr>
            <w:tcW w:type="dxa" w:w="6480"/>
            <w:vAlign w:val="top"/>
          </w:tcPr>
          <w:p>
            <w:r>
              <w:t>Own explainability artifacts (SHAP/LIME), causal inference modules, anomaly detection, and human-readable reports (bounded).</w:t>
            </w:r>
          </w:p>
        </w:tc>
      </w:tr>
      <w:tr>
        <w:tc>
          <w:tcPr>
            <w:tcW w:type="dxa" w:w="2880"/>
            <w:vAlign w:val="top"/>
          </w:tcPr>
          <w:p>
            <w:r>
              <w:t>Operations &amp; Maintenance (Reliability)</w:t>
            </w:r>
          </w:p>
        </w:tc>
        <w:tc>
          <w:tcPr>
            <w:tcW w:type="dxa" w:w="6480"/>
            <w:vAlign w:val="top"/>
          </w:tcPr>
          <w:p>
            <w:r>
              <w:t>Own fouling/cleaning history, maintenance constraints, feedback loop on recommendations, and field validation.</w:t>
            </w:r>
          </w:p>
        </w:tc>
      </w:tr>
      <w:tr>
        <w:tc>
          <w:tcPr>
            <w:tcW w:type="dxa" w:w="2880"/>
            <w:vAlign w:val="top"/>
          </w:tcPr>
          <w:p>
            <w:r>
              <w:t>Climate Intelligence</w:t>
            </w:r>
          </w:p>
        </w:tc>
        <w:tc>
          <w:tcPr>
            <w:tcW w:type="dxa" w:w="6480"/>
            <w:vAlign w:val="top"/>
          </w:tcPr>
          <w:p>
            <w:r>
              <w:t>Own CO2e accounting boundaries, emissions factors, reporting formats, and scenario analysis.</w:t>
            </w:r>
          </w:p>
        </w:tc>
      </w:tr>
      <w:tr>
        <w:tc>
          <w:tcPr>
            <w:tcW w:type="dxa" w:w="2880"/>
            <w:vAlign w:val="top"/>
          </w:tcPr>
          <w:p>
            <w:r>
              <w:t>Cybersecurity / Governance</w:t>
            </w:r>
          </w:p>
        </w:tc>
        <w:tc>
          <w:tcPr>
            <w:tcW w:type="dxa" w:w="6480"/>
            <w:vAlign w:val="top"/>
          </w:tcPr>
          <w:p>
            <w:r>
              <w:t>Own access control, secure integration with OT/IT, audit trails, and change management.</w:t>
            </w:r>
          </w:p>
        </w:tc>
      </w:tr>
      <w:tr>
        <w:tc>
          <w:tcPr>
            <w:tcW w:type="dxa" w:w="2880"/>
            <w:vAlign w:val="top"/>
          </w:tcPr>
          <w:p>
            <w:r>
              <w:t>QA / Verification &amp; Validation</w:t>
            </w:r>
          </w:p>
        </w:tc>
        <w:tc>
          <w:tcPr>
            <w:tcW w:type="dxa" w:w="6480"/>
            <w:vAlign w:val="top"/>
          </w:tcPr>
          <w:p>
            <w:r>
              <w:t>Own test plans, golden cases, regression suites, performance testing, and release gates.</w:t>
            </w:r>
          </w:p>
        </w:tc>
      </w:tr>
    </w:tbl>
    <w:p/>
    <w:p>
      <w:pPr>
        <w:pStyle w:val="Heading1"/>
      </w:pPr>
      <w:r>
        <w:t>6. Data Requirements</w:t>
      </w:r>
    </w:p>
    <w:p>
      <w:r>
        <w:t>GL-006 relies on a blend of real-time operational data, engineering design data, and business data. The optimization engine must run on consistent, validated, unit-normalized inputs. All inputs used in calculations must be stored with lineage and versioning so results are auditable.</w:t>
      </w:r>
    </w:p>
    <w:p>
      <w:pPr>
        <w:pStyle w:val="Heading2"/>
      </w:pPr>
      <w:r>
        <w:t>6.1 Source systems</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fill="1F4E79"/>
            <w:vAlign w:val="center"/>
          </w:tcPr>
          <w:p>
            <w:pPr>
              <w:jc w:val="center"/>
            </w:pPr>
            <w:r/>
            <w:r>
              <w:rPr>
                <w:rStyle w:val="TableHeader"/>
                <w:b w:val="0"/>
              </w:rPr>
              <w:t>Source category</w:t>
            </w:r>
          </w:p>
        </w:tc>
        <w:tc>
          <w:tcPr>
            <w:tcW w:type="dxa" w:w="6480"/>
            <w:shd w:fill="1F4E79"/>
            <w:vAlign w:val="center"/>
          </w:tcPr>
          <w:p>
            <w:pPr>
              <w:jc w:val="center"/>
            </w:pPr>
            <w:r/>
            <w:r>
              <w:rPr>
                <w:rStyle w:val="TableHeader"/>
                <w:b w:val="0"/>
              </w:rPr>
              <w:t>Examples / interfaces</w:t>
            </w:r>
          </w:p>
        </w:tc>
      </w:tr>
      <w:tr>
        <w:tc>
          <w:tcPr>
            <w:tcW w:type="dxa" w:w="2880"/>
            <w:vAlign w:val="top"/>
          </w:tcPr>
          <w:p>
            <w:r>
              <w:t>OT / process data</w:t>
            </w:r>
          </w:p>
        </w:tc>
        <w:tc>
          <w:tcPr>
            <w:tcW w:type="dxa" w:w="6480"/>
            <w:vAlign w:val="top"/>
          </w:tcPr>
          <w:p>
            <w:r>
              <w:t>DCS/SCADA via OPC-UA; plant historian (e.g., PI); instrument metadata; alarms/events.</w:t>
            </w:r>
          </w:p>
        </w:tc>
      </w:tr>
      <w:tr>
        <w:tc>
          <w:tcPr>
            <w:tcW w:type="dxa" w:w="2880"/>
            <w:vAlign w:val="top"/>
          </w:tcPr>
          <w:p>
            <w:r>
              <w:t>Engineering data</w:t>
            </w:r>
          </w:p>
        </w:tc>
        <w:tc>
          <w:tcPr>
            <w:tcW w:type="dxa" w:w="6480"/>
            <w:vAlign w:val="top"/>
          </w:tcPr>
          <w:p>
            <w:r>
              <w:t>PFDs/P&amp;IDs; stream tables; equipment datasheets; exchanger design and rating data; materials of construction.</w:t>
            </w:r>
          </w:p>
        </w:tc>
      </w:tr>
      <w:tr>
        <w:tc>
          <w:tcPr>
            <w:tcW w:type="dxa" w:w="2880"/>
            <w:vAlign w:val="top"/>
          </w:tcPr>
          <w:p>
            <w:r>
              <w:t>Maintenance &amp; reliability</w:t>
            </w:r>
          </w:p>
        </w:tc>
        <w:tc>
          <w:tcPr>
            <w:tcW w:type="dxa" w:w="6480"/>
            <w:vAlign w:val="top"/>
          </w:tcPr>
          <w:p>
            <w:r>
              <w:t>CMMS/EAM (work orders, cleanings, inspections); condition monitoring; fouling observations.</w:t>
            </w:r>
          </w:p>
        </w:tc>
      </w:tr>
      <w:tr>
        <w:tc>
          <w:tcPr>
            <w:tcW w:type="dxa" w:w="2880"/>
            <w:vAlign w:val="top"/>
          </w:tcPr>
          <w:p>
            <w:r>
              <w:t>Economics</w:t>
            </w:r>
          </w:p>
        </w:tc>
        <w:tc>
          <w:tcPr>
            <w:tcW w:type="dxa" w:w="6480"/>
            <w:vAlign w:val="top"/>
          </w:tcPr>
          <w:p>
            <w:r>
              <w:t>Utility tariffs; fuel contracts; electricity prices; steam cost models; capex factors; discount rates.</w:t>
            </w:r>
          </w:p>
        </w:tc>
      </w:tr>
      <w:tr>
        <w:tc>
          <w:tcPr>
            <w:tcW w:type="dxa" w:w="2880"/>
            <w:vAlign w:val="top"/>
          </w:tcPr>
          <w:p>
            <w:r>
              <w:t>Climate intelligence</w:t>
            </w:r>
          </w:p>
        </w:tc>
        <w:tc>
          <w:tcPr>
            <w:tcW w:type="dxa" w:w="6480"/>
            <w:vAlign w:val="top"/>
          </w:tcPr>
          <w:p>
            <w:r>
              <w:t>Emissions factors (site-specific or region-specific), carbon price assumptions, reporting boundaries.</w:t>
            </w:r>
          </w:p>
        </w:tc>
      </w:tr>
    </w:tbl>
    <w:p>
      <w:pPr>
        <w:pStyle w:val="Heading2"/>
      </w:pPr>
      <w:r>
        <w:t>6.2 Mandatory process stream fields (canonical)</w:t>
      </w:r>
    </w:p>
    <w:p>
      <w:r>
        <w:t>Each stream is represented as a record in the canonical model. Where a value is time-varying, the canonical model supports both (i) a design/nominal value and (ii) a live/observed time series with timestamp and quality flags.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016"/>
            <w:shd w:fill="1F4E79"/>
            <w:vAlign w:val="center"/>
          </w:tcPr>
          <w:p>
            <w:pPr>
              <w:jc w:val="center"/>
            </w:pPr>
            <w:r/>
            <w:r>
              <w:rPr>
                <w:rStyle w:val="TableHeader"/>
                <w:b w:val="0"/>
              </w:rPr>
              <w:t>Field</w:t>
            </w:r>
          </w:p>
        </w:tc>
        <w:tc>
          <w:tcPr>
            <w:tcW w:type="dxa" w:w="2304"/>
            <w:shd w:fill="1F4E79"/>
            <w:vAlign w:val="center"/>
          </w:tcPr>
          <w:p>
            <w:pPr>
              <w:jc w:val="center"/>
            </w:pPr>
            <w:r/>
            <w:r>
              <w:rPr>
                <w:rStyle w:val="TableHeader"/>
                <w:b w:val="0"/>
              </w:rPr>
              <w:t>Type / unit</w:t>
            </w:r>
          </w:p>
        </w:tc>
        <w:tc>
          <w:tcPr>
            <w:tcW w:type="dxa" w:w="5040"/>
            <w:shd w:fill="1F4E79"/>
            <w:vAlign w:val="center"/>
          </w:tcPr>
          <w:p>
            <w:pPr>
              <w:jc w:val="center"/>
            </w:pPr>
            <w:r/>
            <w:r>
              <w:rPr>
                <w:rStyle w:val="TableHeader"/>
                <w:b w:val="0"/>
              </w:rPr>
              <w:t>Notes</w:t>
            </w:r>
          </w:p>
        </w:tc>
      </w:tr>
      <w:tr>
        <w:tc>
          <w:tcPr>
            <w:tcW w:type="dxa" w:w="2016"/>
            <w:vAlign w:val="top"/>
          </w:tcPr>
          <w:p>
            <w:r>
              <w:t>stream_id</w:t>
            </w:r>
          </w:p>
        </w:tc>
        <w:tc>
          <w:tcPr>
            <w:tcW w:type="dxa" w:w="2304"/>
            <w:vAlign w:val="top"/>
          </w:tcPr>
          <w:p>
            <w:r>
              <w:t>String</w:t>
            </w:r>
          </w:p>
        </w:tc>
        <w:tc>
          <w:tcPr>
            <w:tcW w:type="dxa" w:w="5040"/>
            <w:vAlign w:val="top"/>
          </w:tcPr>
          <w:p>
            <w:r>
              <w:t>Unique identifier used across OT/engineering/optimization.</w:t>
            </w:r>
          </w:p>
        </w:tc>
      </w:tr>
      <w:tr>
        <w:tc>
          <w:tcPr>
            <w:tcW w:type="dxa" w:w="2016"/>
            <w:vAlign w:val="top"/>
          </w:tcPr>
          <w:p>
            <w:r>
              <w:t>stream_type</w:t>
            </w:r>
          </w:p>
        </w:tc>
        <w:tc>
          <w:tcPr>
            <w:tcW w:type="dxa" w:w="2304"/>
            <w:vAlign w:val="top"/>
          </w:tcPr>
          <w:p>
            <w:r>
              <w:t>Enum</w:t>
            </w:r>
          </w:p>
        </w:tc>
        <w:tc>
          <w:tcPr>
            <w:tcW w:type="dxa" w:w="5040"/>
            <w:vAlign w:val="top"/>
          </w:tcPr>
          <w:p>
            <w:r>
              <w:t>Hot / Cold / Utility-Hot / Utility-Cold.</w:t>
            </w:r>
          </w:p>
        </w:tc>
      </w:tr>
      <w:tr>
        <w:tc>
          <w:tcPr>
            <w:tcW w:type="dxa" w:w="2016"/>
            <w:vAlign w:val="top"/>
          </w:tcPr>
          <w:p>
            <w:r>
              <w:t>fluid_name</w:t>
            </w:r>
          </w:p>
        </w:tc>
        <w:tc>
          <w:tcPr>
            <w:tcW w:type="dxa" w:w="2304"/>
            <w:vAlign w:val="top"/>
          </w:tcPr>
          <w:p>
            <w:r>
              <w:t>String</w:t>
            </w:r>
          </w:p>
        </w:tc>
        <w:tc>
          <w:tcPr>
            <w:tcW w:type="dxa" w:w="5040"/>
            <w:vAlign w:val="top"/>
          </w:tcPr>
          <w:p>
            <w:r>
              <w:t>Used for property correlations and material compatibility checks.</w:t>
            </w:r>
          </w:p>
        </w:tc>
      </w:tr>
      <w:tr>
        <w:tc>
          <w:tcPr>
            <w:tcW w:type="dxa" w:w="2016"/>
            <w:vAlign w:val="top"/>
          </w:tcPr>
          <w:p>
            <w:r>
              <w:t>phase</w:t>
            </w:r>
          </w:p>
        </w:tc>
        <w:tc>
          <w:tcPr>
            <w:tcW w:type="dxa" w:w="2304"/>
            <w:vAlign w:val="top"/>
          </w:tcPr>
          <w:p>
            <w:r>
              <w:t>Enum</w:t>
            </w:r>
          </w:p>
        </w:tc>
        <w:tc>
          <w:tcPr>
            <w:tcW w:type="dxa" w:w="5040"/>
            <w:vAlign w:val="top"/>
          </w:tcPr>
          <w:p>
            <w:r>
              <w:t>Gas / Liquid / Two-phase; affects Cp and heat transfer coefficients.</w:t>
            </w:r>
          </w:p>
        </w:tc>
      </w:tr>
      <w:tr>
        <w:tc>
          <w:tcPr>
            <w:tcW w:type="dxa" w:w="2016"/>
            <w:vAlign w:val="top"/>
          </w:tcPr>
          <w:p>
            <w:r>
              <w:t>T_supply</w:t>
            </w:r>
          </w:p>
        </w:tc>
        <w:tc>
          <w:tcPr>
            <w:tcW w:type="dxa" w:w="2304"/>
            <w:vAlign w:val="top"/>
          </w:tcPr>
          <w:p>
            <w:r>
              <w:t>degC</w:t>
            </w:r>
          </w:p>
        </w:tc>
        <w:tc>
          <w:tcPr>
            <w:tcW w:type="dxa" w:w="5040"/>
            <w:vAlign w:val="top"/>
          </w:tcPr>
          <w:p>
            <w:r>
              <w:t>Current or scenario supply temperature.</w:t>
            </w:r>
          </w:p>
        </w:tc>
      </w:tr>
      <w:tr>
        <w:tc>
          <w:tcPr>
            <w:tcW w:type="dxa" w:w="2016"/>
            <w:vAlign w:val="top"/>
          </w:tcPr>
          <w:p>
            <w:r>
              <w:t>T_target</w:t>
            </w:r>
          </w:p>
        </w:tc>
        <w:tc>
          <w:tcPr>
            <w:tcW w:type="dxa" w:w="2304"/>
            <w:vAlign w:val="top"/>
          </w:tcPr>
          <w:p>
            <w:r>
              <w:t>degC</w:t>
            </w:r>
          </w:p>
        </w:tc>
        <w:tc>
          <w:tcPr>
            <w:tcW w:type="dxa" w:w="5040"/>
            <w:vAlign w:val="top"/>
          </w:tcPr>
          <w:p>
            <w:r>
              <w:t>Required target temperature (process constraint).</w:t>
            </w:r>
          </w:p>
        </w:tc>
      </w:tr>
      <w:tr>
        <w:tc>
          <w:tcPr>
            <w:tcW w:type="dxa" w:w="2016"/>
            <w:vAlign w:val="top"/>
          </w:tcPr>
          <w:p>
            <w:r>
              <w:t>m_dot</w:t>
            </w:r>
          </w:p>
        </w:tc>
        <w:tc>
          <w:tcPr>
            <w:tcW w:type="dxa" w:w="2304"/>
            <w:vAlign w:val="top"/>
          </w:tcPr>
          <w:p>
            <w:r>
              <w:t>kg/s</w:t>
            </w:r>
          </w:p>
        </w:tc>
        <w:tc>
          <w:tcPr>
            <w:tcW w:type="dxa" w:w="5040"/>
            <w:vAlign w:val="top"/>
          </w:tcPr>
          <w:p>
            <w:r>
              <w:t>Mass flow rate (or volumetric + density); time-varying.</w:t>
            </w:r>
          </w:p>
        </w:tc>
      </w:tr>
      <w:tr>
        <w:tc>
          <w:tcPr>
            <w:tcW w:type="dxa" w:w="2016"/>
            <w:vAlign w:val="top"/>
          </w:tcPr>
          <w:p>
            <w:r>
              <w:t>Cp</w:t>
            </w:r>
          </w:p>
        </w:tc>
        <w:tc>
          <w:tcPr>
            <w:tcW w:type="dxa" w:w="2304"/>
            <w:vAlign w:val="top"/>
          </w:tcPr>
          <w:p>
            <w:r>
              <w:t>kJ/kg-K</w:t>
            </w:r>
          </w:p>
        </w:tc>
        <w:tc>
          <w:tcPr>
            <w:tcW w:type="dxa" w:w="5040"/>
            <w:vAlign w:val="top"/>
          </w:tcPr>
          <w:p>
            <w:r>
              <w:t>Heat capacity (or property model reference).</w:t>
            </w:r>
          </w:p>
        </w:tc>
      </w:tr>
      <w:tr>
        <w:tc>
          <w:tcPr>
            <w:tcW w:type="dxa" w:w="2016"/>
            <w:vAlign w:val="top"/>
          </w:tcPr>
          <w:p>
            <w:r>
              <w:t>pressure</w:t>
            </w:r>
          </w:p>
        </w:tc>
        <w:tc>
          <w:tcPr>
            <w:tcW w:type="dxa" w:w="2304"/>
            <w:vAlign w:val="top"/>
          </w:tcPr>
          <w:p>
            <w:r>
              <w:t>kPa</w:t>
            </w:r>
          </w:p>
        </w:tc>
        <w:tc>
          <w:tcPr>
            <w:tcW w:type="dxa" w:w="5040"/>
            <w:vAlign w:val="top"/>
          </w:tcPr>
          <w:p>
            <w:r>
              <w:t>For property calculations and boiling/condensation constraints.</w:t>
            </w:r>
          </w:p>
        </w:tc>
      </w:tr>
      <w:tr>
        <w:tc>
          <w:tcPr>
            <w:tcW w:type="dxa" w:w="2016"/>
            <w:vAlign w:val="top"/>
          </w:tcPr>
          <w:p>
            <w:r>
              <w:t>h_coeff_est</w:t>
            </w:r>
          </w:p>
        </w:tc>
        <w:tc>
          <w:tcPr>
            <w:tcW w:type="dxa" w:w="2304"/>
            <w:vAlign w:val="top"/>
          </w:tcPr>
          <w:p>
            <w:r>
              <w:t>W/m2-K</w:t>
            </w:r>
          </w:p>
        </w:tc>
        <w:tc>
          <w:tcPr>
            <w:tcW w:type="dxa" w:w="5040"/>
            <w:vAlign w:val="top"/>
          </w:tcPr>
          <w:p>
            <w:r>
              <w:t>Estimated film coefficient (optional; can be derived).</w:t>
            </w:r>
          </w:p>
        </w:tc>
      </w:tr>
      <w:tr>
        <w:tc>
          <w:tcPr>
            <w:tcW w:type="dxa" w:w="2016"/>
            <w:vAlign w:val="top"/>
          </w:tcPr>
          <w:p>
            <w:r>
              <w:t>fouling_factor</w:t>
            </w:r>
          </w:p>
        </w:tc>
        <w:tc>
          <w:tcPr>
            <w:tcW w:type="dxa" w:w="2304"/>
            <w:vAlign w:val="top"/>
          </w:tcPr>
          <w:p>
            <w:r>
              <w:t>m2-K/W</w:t>
            </w:r>
          </w:p>
        </w:tc>
        <w:tc>
          <w:tcPr>
            <w:tcW w:type="dxa" w:w="5040"/>
            <w:vAlign w:val="top"/>
          </w:tcPr>
          <w:p>
            <w:r>
              <w:t>Current or expected fouling; time-varying with cleaning events.</w:t>
            </w:r>
          </w:p>
        </w:tc>
      </w:tr>
      <w:tr>
        <w:tc>
          <w:tcPr>
            <w:tcW w:type="dxa" w:w="2016"/>
            <w:vAlign w:val="top"/>
          </w:tcPr>
          <w:p>
            <w:r>
              <w:t>availability</w:t>
            </w:r>
          </w:p>
        </w:tc>
        <w:tc>
          <w:tcPr>
            <w:tcW w:type="dxa" w:w="2304"/>
            <w:vAlign w:val="top"/>
          </w:tcPr>
          <w:p>
            <w:r>
              <w:t>0-1</w:t>
            </w:r>
          </w:p>
        </w:tc>
        <w:tc>
          <w:tcPr>
            <w:tcW w:type="dxa" w:w="5040"/>
            <w:vAlign w:val="top"/>
          </w:tcPr>
          <w:p>
            <w:r>
              <w:t>Fraction of time stream is available (batch/seasonality).</w:t>
            </w:r>
          </w:p>
        </w:tc>
      </w:tr>
      <w:tr>
        <w:tc>
          <w:tcPr>
            <w:tcW w:type="dxa" w:w="2016"/>
            <w:vAlign w:val="top"/>
          </w:tcPr>
          <w:p>
            <w:r>
              <w:t>min_approach</w:t>
            </w:r>
          </w:p>
        </w:tc>
        <w:tc>
          <w:tcPr>
            <w:tcW w:type="dxa" w:w="2304"/>
            <w:vAlign w:val="top"/>
          </w:tcPr>
          <w:p>
            <w:r>
              <w:t>degC</w:t>
            </w:r>
          </w:p>
        </w:tc>
        <w:tc>
          <w:tcPr>
            <w:tcW w:type="dxa" w:w="5040"/>
            <w:vAlign w:val="top"/>
          </w:tcPr>
          <w:p>
            <w:r>
              <w:t>ΔTmin requirement for this stream class.</w:t>
            </w:r>
          </w:p>
        </w:tc>
      </w:tr>
      <w:tr>
        <w:tc>
          <w:tcPr>
            <w:tcW w:type="dxa" w:w="2016"/>
            <w:vAlign w:val="top"/>
          </w:tcPr>
          <w:p>
            <w:r>
              <w:t>constraints</w:t>
            </w:r>
          </w:p>
        </w:tc>
        <w:tc>
          <w:tcPr>
            <w:tcW w:type="dxa" w:w="2304"/>
            <w:vAlign w:val="top"/>
          </w:tcPr>
          <w:p>
            <w:r>
              <w:t>JSON</w:t>
            </w:r>
          </w:p>
        </w:tc>
        <w:tc>
          <w:tcPr>
            <w:tcW w:type="dxa" w:w="5040"/>
            <w:vAlign w:val="top"/>
          </w:tcPr>
          <w:p>
            <w:r>
              <w:t>Additional constraints: max ΔP, max outlet T, etc.</w:t>
            </w:r>
          </w:p>
        </w:tc>
      </w:tr>
    </w:tbl>
    <w:p>
      <w:pPr>
        <w:pStyle w:val="Heading2"/>
      </w:pPr>
      <w:r>
        <w:t>6.3 Utilities and cost inputs</w:t>
      </w:r>
    </w:p>
    <w:p>
      <w:r>
        <w:t>Utility costs must be time-indexed and scenario-capable (e.g., peak/off-peak electricity prices). All costs must specify currency, timestamp, and pricing basis.</w:t>
      </w:r>
    </w:p>
    <w:p>
      <w:pPr>
        <w:pStyle w:val="ListBullet"/>
      </w:pPr>
      <w:r>
        <w:t>utility_id: Identifier (e.g., steam_3barg, fuel_gas, electricity, cooling_water, chilled_water).</w:t>
      </w:r>
    </w:p>
    <w:p>
      <w:pPr>
        <w:pStyle w:val="ListBullet"/>
      </w:pPr>
      <w:r>
        <w:t>cost: Unit cost ($/GJ or $/kWh) with tariff structure and timestamp; include currency.</w:t>
      </w:r>
    </w:p>
    <w:p>
      <w:pPr>
        <w:pStyle w:val="ListBullet"/>
      </w:pPr>
      <w:r>
        <w:t>emissions_factor: kgCO2e/GJ or kgCO2e/kWh with scope/boundary and source reference.</w:t>
      </w:r>
    </w:p>
    <w:p>
      <w:pPr>
        <w:pStyle w:val="ListBullet"/>
      </w:pPr>
      <w:r>
        <w:t>constraints: Max/min supply, temperature levels, contract limits, ramp constraints, availability.</w:t>
      </w:r>
    </w:p>
    <w:p>
      <w:pPr>
        <w:pStyle w:val="Heading2"/>
      </w:pPr>
      <w:r>
        <w:t>6.4 Equipment and network constraints</w:t>
      </w:r>
    </w:p>
    <w:p>
      <w:r>
        <w:t>Equipment constraints bound feasible designs and enable retrofit planning. At minimum, GL-006 needs a structured inventory of existing exchangers and allowable new installations.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016"/>
            <w:shd w:fill="1F4E79"/>
            <w:vAlign w:val="center"/>
          </w:tcPr>
          <w:p>
            <w:pPr>
              <w:jc w:val="center"/>
            </w:pPr>
            <w:r/>
            <w:r>
              <w:rPr>
                <w:rStyle w:val="TableHeader"/>
                <w:b w:val="0"/>
              </w:rPr>
              <w:t>Field</w:t>
            </w:r>
          </w:p>
        </w:tc>
        <w:tc>
          <w:tcPr>
            <w:tcW w:type="dxa" w:w="2304"/>
            <w:shd w:fill="1F4E79"/>
            <w:vAlign w:val="center"/>
          </w:tcPr>
          <w:p>
            <w:pPr>
              <w:jc w:val="center"/>
            </w:pPr>
            <w:r/>
            <w:r>
              <w:rPr>
                <w:rStyle w:val="TableHeader"/>
                <w:b w:val="0"/>
              </w:rPr>
              <w:t>Type / unit</w:t>
            </w:r>
          </w:p>
        </w:tc>
        <w:tc>
          <w:tcPr>
            <w:tcW w:type="dxa" w:w="5040"/>
            <w:shd w:fill="1F4E79"/>
            <w:vAlign w:val="center"/>
          </w:tcPr>
          <w:p>
            <w:pPr>
              <w:jc w:val="center"/>
            </w:pPr>
            <w:r/>
            <w:r>
              <w:rPr>
                <w:rStyle w:val="TableHeader"/>
                <w:b w:val="0"/>
              </w:rPr>
              <w:t>Notes</w:t>
            </w:r>
          </w:p>
        </w:tc>
      </w:tr>
      <w:tr>
        <w:tc>
          <w:tcPr>
            <w:tcW w:type="dxa" w:w="2016"/>
            <w:vAlign w:val="top"/>
          </w:tcPr>
          <w:p>
            <w:r>
              <w:t>equipment_id</w:t>
            </w:r>
          </w:p>
        </w:tc>
        <w:tc>
          <w:tcPr>
            <w:tcW w:type="dxa" w:w="2304"/>
            <w:vAlign w:val="top"/>
          </w:tcPr>
          <w:p>
            <w:r>
              <w:t>String</w:t>
            </w:r>
          </w:p>
        </w:tc>
        <w:tc>
          <w:tcPr>
            <w:tcW w:type="dxa" w:w="5040"/>
            <w:vAlign w:val="top"/>
          </w:tcPr>
          <w:p>
            <w:r>
              <w:t>Unique tag (matches CMMS and drawings).</w:t>
            </w:r>
          </w:p>
        </w:tc>
      </w:tr>
      <w:tr>
        <w:tc>
          <w:tcPr>
            <w:tcW w:type="dxa" w:w="2016"/>
            <w:vAlign w:val="top"/>
          </w:tcPr>
          <w:p>
            <w:r>
              <w:t>equipment_type</w:t>
            </w:r>
          </w:p>
        </w:tc>
        <w:tc>
          <w:tcPr>
            <w:tcW w:type="dxa" w:w="2304"/>
            <w:vAlign w:val="top"/>
          </w:tcPr>
          <w:p>
            <w:r>
              <w:t>Enum</w:t>
            </w:r>
          </w:p>
        </w:tc>
        <w:tc>
          <w:tcPr>
            <w:tcW w:type="dxa" w:w="5040"/>
            <w:vAlign w:val="top"/>
          </w:tcPr>
          <w:p>
            <w:r>
              <w:t>Shell-and-tube, plate-and-frame, economizer, air preheater, etc.</w:t>
            </w:r>
          </w:p>
        </w:tc>
      </w:tr>
      <w:tr>
        <w:tc>
          <w:tcPr>
            <w:tcW w:type="dxa" w:w="2016"/>
            <w:vAlign w:val="top"/>
          </w:tcPr>
          <w:p>
            <w:r>
              <w:t>duty_max</w:t>
            </w:r>
          </w:p>
        </w:tc>
        <w:tc>
          <w:tcPr>
            <w:tcW w:type="dxa" w:w="2304"/>
            <w:vAlign w:val="top"/>
          </w:tcPr>
          <w:p>
            <w:r>
              <w:t>kW</w:t>
            </w:r>
          </w:p>
        </w:tc>
        <w:tc>
          <w:tcPr>
            <w:tcW w:type="dxa" w:w="5040"/>
            <w:vAlign w:val="top"/>
          </w:tcPr>
          <w:p>
            <w:r>
              <w:t>Maximum safe duty based on rating / metallurgy.</w:t>
            </w:r>
          </w:p>
        </w:tc>
      </w:tr>
      <w:tr>
        <w:tc>
          <w:tcPr>
            <w:tcW w:type="dxa" w:w="2016"/>
            <w:vAlign w:val="top"/>
          </w:tcPr>
          <w:p>
            <w:r>
              <w:t>UA_clean</w:t>
            </w:r>
          </w:p>
        </w:tc>
        <w:tc>
          <w:tcPr>
            <w:tcW w:type="dxa" w:w="2304"/>
            <w:vAlign w:val="top"/>
          </w:tcPr>
          <w:p>
            <w:r>
              <w:t>kW/K</w:t>
            </w:r>
          </w:p>
        </w:tc>
        <w:tc>
          <w:tcPr>
            <w:tcW w:type="dxa" w:w="5040"/>
            <w:vAlign w:val="top"/>
          </w:tcPr>
          <w:p>
            <w:r>
              <w:t>Clean overall conductance; used with fouling factor to compute UA_effective.</w:t>
            </w:r>
          </w:p>
        </w:tc>
      </w:tr>
      <w:tr>
        <w:tc>
          <w:tcPr>
            <w:tcW w:type="dxa" w:w="2016"/>
            <w:vAlign w:val="top"/>
          </w:tcPr>
          <w:p>
            <w:r>
              <w:t>ΔP_limits</w:t>
            </w:r>
          </w:p>
        </w:tc>
        <w:tc>
          <w:tcPr>
            <w:tcW w:type="dxa" w:w="2304"/>
            <w:vAlign w:val="top"/>
          </w:tcPr>
          <w:p>
            <w:r>
              <w:t>kPa</w:t>
            </w:r>
          </w:p>
        </w:tc>
        <w:tc>
          <w:tcPr>
            <w:tcW w:type="dxa" w:w="5040"/>
            <w:vAlign w:val="top"/>
          </w:tcPr>
          <w:p>
            <w:r>
              <w:t>Max pressure drop per side.</w:t>
            </w:r>
          </w:p>
        </w:tc>
      </w:tr>
      <w:tr>
        <w:tc>
          <w:tcPr>
            <w:tcW w:type="dxa" w:w="2016"/>
            <w:vAlign w:val="top"/>
          </w:tcPr>
          <w:p>
            <w:r>
              <w:t>T_limits</w:t>
            </w:r>
          </w:p>
        </w:tc>
        <w:tc>
          <w:tcPr>
            <w:tcW w:type="dxa" w:w="2304"/>
            <w:vAlign w:val="top"/>
          </w:tcPr>
          <w:p>
            <w:r>
              <w:t>degC</w:t>
            </w:r>
          </w:p>
        </w:tc>
        <w:tc>
          <w:tcPr>
            <w:tcW w:type="dxa" w:w="5040"/>
            <w:vAlign w:val="top"/>
          </w:tcPr>
          <w:p>
            <w:r>
              <w:t>Max/min operating temperatures per side.</w:t>
            </w:r>
          </w:p>
        </w:tc>
      </w:tr>
      <w:tr>
        <w:tc>
          <w:tcPr>
            <w:tcW w:type="dxa" w:w="2016"/>
            <w:vAlign w:val="top"/>
          </w:tcPr>
          <w:p>
            <w:r>
              <w:t>area</w:t>
            </w:r>
          </w:p>
        </w:tc>
        <w:tc>
          <w:tcPr>
            <w:tcW w:type="dxa" w:w="2304"/>
            <w:vAlign w:val="top"/>
          </w:tcPr>
          <w:p>
            <w:r>
              <w:t>m2</w:t>
            </w:r>
          </w:p>
        </w:tc>
        <w:tc>
          <w:tcPr>
            <w:tcW w:type="dxa" w:w="5040"/>
            <w:vAlign w:val="top"/>
          </w:tcPr>
          <w:p>
            <w:r>
              <w:t>Heat transfer area (for rating and fouling impact).</w:t>
            </w:r>
          </w:p>
        </w:tc>
      </w:tr>
      <w:tr>
        <w:tc>
          <w:tcPr>
            <w:tcW w:type="dxa" w:w="2016"/>
            <w:vAlign w:val="top"/>
          </w:tcPr>
          <w:p>
            <w:r>
              <w:t>connections</w:t>
            </w:r>
          </w:p>
        </w:tc>
        <w:tc>
          <w:tcPr>
            <w:tcW w:type="dxa" w:w="2304"/>
            <w:vAlign w:val="top"/>
          </w:tcPr>
          <w:p>
            <w:r>
              <w:t>Stream IDs</w:t>
            </w:r>
          </w:p>
        </w:tc>
        <w:tc>
          <w:tcPr>
            <w:tcW w:type="dxa" w:w="5040"/>
            <w:vAlign w:val="top"/>
          </w:tcPr>
          <w:p>
            <w:r>
              <w:t>Which process lines can be connected (retrofit constraints).</w:t>
            </w:r>
          </w:p>
        </w:tc>
      </w:tr>
    </w:tbl>
    <w:p>
      <w:pPr>
        <w:pStyle w:val="Heading2"/>
      </w:pPr>
      <w:r>
        <w:t>6.5 Fouling and maintenance history</w:t>
      </w:r>
    </w:p>
    <w:p>
      <w:r>
        <w:t>Fouling and maintenance history directly affect heat recovery and economics. GL-006 uses fouling factors to derate UA and uses maintenance windows to constrain feasible solutions.</w:t>
      </w:r>
    </w:p>
    <w:p>
      <w:pPr>
        <w:pStyle w:val="ListBullet"/>
      </w:pPr>
      <w:r>
        <w:t>Minimum fields:</w:t>
      </w:r>
    </w:p>
    <w:p>
      <w:pPr>
        <w:pStyle w:val="ListBullet2"/>
      </w:pPr>
      <w:r>
        <w:t>equipment_id; cleaning_event_timestamp; cleaning_type; as-found fouling observation (if available); post-clean performance; operating hours since last cleaning; key process conditions (e.g., contaminants).</w:t>
      </w:r>
    </w:p>
    <w:p>
      <w:pPr>
        <w:pStyle w:val="ListBullet2"/>
      </w:pPr>
      <w:r>
        <w:t>Derived metrics: fouling rate model parameters; predicted UA decline curve; probability distribution for uncertainty propagation.</w:t>
      </w:r>
    </w:p>
    <w:p>
      <w:pPr>
        <w:pStyle w:val="Heading2"/>
      </w:pPr>
      <w:r>
        <w:t>6.6 Data quality requirements (non-negotiable)</w:t>
      </w:r>
    </w:p>
    <w:p>
      <w:pPr>
        <w:pStyle w:val="ListBullet"/>
      </w:pPr>
      <w:r>
        <w:t>Unit normalization: all temperatures in degC (or K internally), flows in kg/s, duties in kW, costs in $/GJ or $/kWh.</w:t>
      </w:r>
    </w:p>
    <w:p>
      <w:pPr>
        <w:pStyle w:val="ListBullet"/>
      </w:pPr>
      <w:r>
        <w:t>Timestamp integrity: all time series have timezone-aware timestamps; latency is measured and monitored.</w:t>
      </w:r>
    </w:p>
    <w:p>
      <w:pPr>
        <w:pStyle w:val="ListBullet"/>
      </w:pPr>
      <w:r>
        <w:t>Quality flags: sensor bad/uncertain values must be excluded or down-weighted; no silent use of questionable data.</w:t>
      </w:r>
    </w:p>
    <w:p>
      <w:pPr>
        <w:pStyle w:val="ListBullet"/>
      </w:pPr>
      <w:r>
        <w:t>Mass/energy balance checks: optional but recommended; flag implausible enthalpy changes.</w:t>
      </w:r>
    </w:p>
    <w:p>
      <w:pPr>
        <w:pStyle w:val="ListBullet"/>
      </w:pPr>
      <w:r>
        <w:t>Outlier handling: use engineering bounds and robust statistics; keep an audit record of filtered points.</w:t>
      </w:r>
    </w:p>
    <w:p>
      <w:pPr>
        <w:pStyle w:val="ListBullet"/>
      </w:pPr>
      <w:r>
        <w:t>Provenance: every optimization run stores the input dataset hash, configuration version, and solver version.</w:t>
      </w:r>
    </w:p>
    <w:p/>
    <w:p>
      <w:pPr>
        <w:pStyle w:val="Heading1"/>
      </w:pPr>
      <w:r>
        <w:t>7. Thermal Engineering Requirements</w:t>
      </w:r>
    </w:p>
    <w:p>
      <w:r>
        <w:t>This section defines the thermodynamic and heat transfer models used by GL-006. All engineering calculations must be deterministic and reproducible: given the same inputs and configuration, the engine must return bitwise-identical outputs (subject to controlled solver tolerances).</w:t>
      </w:r>
    </w:p>
    <w:p>
      <w:pPr>
        <w:pStyle w:val="Heading2"/>
      </w:pPr>
      <w:r>
        <w:t>7.1 Heat duty and stream enthalpy models</w:t>
      </w:r>
    </w:p>
    <w:p>
      <w:r>
        <w:t>For single-phase sensible heating/cooling, heat duty is computed using:</w:t>
      </w:r>
    </w:p>
    <w:p>
      <w:pPr>
        <w:pStyle w:val="CodeBlock"/>
      </w:pPr>
      <w:r>
        <w:t>Q = m_dot * Cp * (T_target - T_supply)</w:t>
      </w:r>
    </w:p>
    <w:p>
      <w:r>
        <w:t>For two-phase or phase-change streams, GL-006 must use an enthalpy-based formulation:</w:t>
      </w:r>
    </w:p>
    <w:p>
      <w:pPr>
        <w:pStyle w:val="CodeBlock"/>
      </w:pPr>
      <w:r>
        <w:t>Q = m_dot * (h_out - h_in)</w:t>
      </w:r>
    </w:p>
    <w:p>
      <w:r>
        <w:t>where h is specific enthalpy obtained from an approved property package (see Section 7.4).</w:t>
      </w:r>
    </w:p>
    <w:p>
      <w:pPr>
        <w:pStyle w:val="Heading2"/>
      </w:pPr>
      <w:r>
        <w:t>7.2 Heat exchanger performance models</w:t>
      </w:r>
    </w:p>
    <w:p>
      <w:r>
        <w:t>Two equivalent rating formulations are supported. Selection is by exchanger type and available parameters:</w:t>
      </w:r>
    </w:p>
    <w:p>
      <w:pPr>
        <w:pStyle w:val="CodeBlock"/>
      </w:pPr>
      <w:r>
        <w:t>LMTD method:   Q = UA_effective * F * ΔT_lm</w:t>
      </w:r>
    </w:p>
    <w:p>
      <w:pPr>
        <w:pStyle w:val="CodeBlock"/>
      </w:pPr>
      <w:r>
        <w:t>ε-NTU method:  Q = ε(NTU, C_r, flow_arrangement) * C_min * (T_h,in - T_c,in)</w:t>
      </w:r>
    </w:p>
    <w:p>
      <w:r>
        <w:t>UA_effective incorporates fouling: UA_effective = 1 / (1/UA_clean + Rf_total). Rf_total may be derived from side-specific fouling factors and area if available.</w:t>
      </w:r>
    </w:p>
    <w:p>
      <w:pPr>
        <w:pStyle w:val="Heading2"/>
      </w:pPr>
      <w:r>
        <w:t>7.3 Pinch analysis requirements</w:t>
      </w:r>
    </w:p>
    <w:p>
      <w:r>
        <w:t>Pinch analysis is used to compute minimum hot and cold utility targets and identify the pinch temperature(s). At minimum, GL-006 must:</w:t>
      </w:r>
    </w:p>
    <w:p>
      <w:pPr>
        <w:pStyle w:val="ListBullet"/>
      </w:pPr>
      <w:r>
        <w:t>Apply stream temperature shifting by ΔTmin/2 (hot streams shifted down, cold streams shifted up).</w:t>
      </w:r>
    </w:p>
    <w:p>
      <w:pPr>
        <w:pStyle w:val="ListBullet"/>
      </w:pPr>
      <w:r>
        <w:t>Construct composite curves and determine minimum utilities (QH_min, QC_min).</w:t>
      </w:r>
    </w:p>
    <w:p>
      <w:pPr>
        <w:pStyle w:val="ListBullet"/>
      </w:pPr>
      <w:r>
        <w:t>Identify pinch temperature and enforce the 'no heat transfer across pinch' rule by default.</w:t>
      </w:r>
    </w:p>
    <w:p>
      <w:pPr>
        <w:pStyle w:val="ListBullet"/>
      </w:pPr>
      <w:r>
        <w:t>Allow controlled relaxations (retrofit constraints) only with explicit justification and penalty terms.</w:t>
      </w:r>
    </w:p>
    <w:p>
      <w:pPr>
        <w:pStyle w:val="Heading2"/>
      </w:pPr>
      <w:r>
        <w:t>7.4 Physical property package and reference conditions</w:t>
      </w:r>
    </w:p>
    <w:p>
      <w:r>
        <w:t>Thermophysical properties (Cp, enthalpy, density, viscosity, phase behavior) must be sourced from a consistent property package. Acceptable approaches include: (i) direct integration to an enterprise property server, (ii) an approved in-house correlation library with validated ranges, or (iii) lookup tables curated by engineering.</w:t>
      </w:r>
    </w:p>
    <w:p>
      <w:r>
        <w:t>Exergy calculations require reference (dead-state) conditions. Default reference state (configurable):</w:t>
      </w:r>
    </w:p>
    <w:p>
      <w:pPr>
        <w:pStyle w:val="CodeBlock"/>
      </w:pPr>
      <w:r>
        <w:t>T0 = 298.15 K (25 degC),  p0 = 101.325 kPa</w:t>
      </w:r>
    </w:p>
    <w:p>
      <w:r>
        <w:t>Teams must confirm the site standard reference state and the chemical exergy handling policy (typically physical exergy only for heat recovery studies unless fuel chemistry is explicitly modeled).</w:t>
      </w:r>
    </w:p>
    <w:p>
      <w:pPr>
        <w:pStyle w:val="Heading2"/>
      </w:pPr>
      <w:r>
        <w:t>7.5 Exergy analysis (second-law accounting)</w:t>
      </w:r>
    </w:p>
    <w:p>
      <w:r>
        <w:t>GL-006 computes exergy destruction to quantify irreversibility and to support multi-objective optimization.</w:t>
      </w:r>
    </w:p>
    <w:p>
      <w:r>
        <w:t>For physical exergy of a flowing stream (simplified), exergy rate can be computed as:</w:t>
      </w:r>
    </w:p>
    <w:p>
      <w:pPr>
        <w:pStyle w:val="CodeBlock"/>
      </w:pPr>
      <w:r>
        <w:t>E_dot = m_dot * [(h - h0) - T0*(s - s0)]</w:t>
      </w:r>
    </w:p>
    <w:p>
      <w:r>
        <w:t>Exergy destroyed in an exchanger can be computed from entropy generation:</w:t>
      </w:r>
    </w:p>
    <w:p>
      <w:pPr>
        <w:pStyle w:val="CodeBlock"/>
      </w:pPr>
      <w:r>
        <w:t>E_dest = T0 * S_gen</w:t>
      </w:r>
    </w:p>
    <w:p>
      <w:r>
        <w:t>Where full property data is unavailable, a pragmatic approximation may be used for heat transfer between a finite-temperature source and sink; however, the approximation method must be documented and validated for the applicable temperature range.</w:t>
      </w:r>
    </w:p>
    <w:p>
      <w:pPr>
        <w:pStyle w:val="Heading2"/>
      </w:pPr>
      <w:r>
        <w:t>7.6 Thermal safety and operability checks</w:t>
      </w:r>
    </w:p>
    <w:p>
      <w:pPr>
        <w:pStyle w:val="ListBullet"/>
      </w:pPr>
      <w:r>
        <w:t>Hot-side outlet temperature limits to avoid coking, thermal degradation, or metallurgy exceedance.</w:t>
      </w:r>
    </w:p>
    <w:p>
      <w:pPr>
        <w:pStyle w:val="ListBullet"/>
      </w:pPr>
      <w:r>
        <w:t>Cold-side approach limits to avoid freezing, wax precipitation, or hydrate formation as applicable.</w:t>
      </w:r>
    </w:p>
    <w:p>
      <w:pPr>
        <w:pStyle w:val="ListBullet"/>
      </w:pPr>
      <w:r>
        <w:t>Acid dew point constraints for flue gas heat recovery (avoid corrosion).</w:t>
      </w:r>
    </w:p>
    <w:p>
      <w:pPr>
        <w:pStyle w:val="ListBullet"/>
      </w:pPr>
      <w:r>
        <w:t>Thermal stress constraints for large temperature swings in economizers/preheaters.</w:t>
      </w:r>
    </w:p>
    <w:p>
      <w:pPr>
        <w:pStyle w:val="ListBullet"/>
      </w:pPr>
      <w:r>
        <w:t>Pressure drop checks against pump/compressor limits and control valve authority.</w:t>
      </w:r>
    </w:p>
    <w:p/>
    <w:p>
      <w:pPr>
        <w:pStyle w:val="Heading1"/>
      </w:pPr>
      <w:r>
        <w:t>8. Mathematics and Optimization</w:t>
      </w:r>
    </w:p>
    <w:p>
      <w:r>
        <w:t>GL-006 is fundamentally an optimization problem constrained by thermodynamics and equipment operability. The implementation must separate (i) deterministic physics calculations and constraints from (ii) optional statistical/learning components used for uncertainty and explainability.</w:t>
      </w:r>
    </w:p>
    <w:p>
      <w:pPr>
        <w:pStyle w:val="Heading2"/>
      </w:pPr>
      <w:r>
        <w:t>8.1 Decision variables (typical)</w:t>
      </w:r>
    </w:p>
    <w:p>
      <w:pPr>
        <w:pStyle w:val="ListBullet"/>
      </w:pPr>
      <w:r>
        <w:t>Binary match selection variables (y_ij) indicating whether hot stream i exchanges heat with cold stream j.</w:t>
      </w:r>
    </w:p>
    <w:p>
      <w:pPr>
        <w:pStyle w:val="ListBullet"/>
      </w:pPr>
      <w:r>
        <w:t>Continuous heat load variables (q_ij) for each selected match.</w:t>
      </w:r>
    </w:p>
    <w:p>
      <w:pPr>
        <w:pStyle w:val="ListBullet"/>
      </w:pPr>
      <w:r>
        <w:t>Optional continuous variables for exchanger area (A_ij) and/or UA, depending on sizing approach.</w:t>
      </w:r>
    </w:p>
    <w:p>
      <w:pPr>
        <w:pStyle w:val="ListBullet"/>
      </w:pPr>
      <w:r>
        <w:t>Split fractions for stream splitting and mixing (retrofit-dependent).</w:t>
      </w:r>
    </w:p>
    <w:p>
      <w:pPr>
        <w:pStyle w:val="ListBullet"/>
      </w:pPr>
      <w:r>
        <w:t>Utility usage variables (Q_hot_utility, Q_cold_utility) by utility level.</w:t>
      </w:r>
    </w:p>
    <w:p>
      <w:pPr>
        <w:pStyle w:val="Heading2"/>
      </w:pPr>
      <w:r>
        <w:t>8.2 Constraints (typical)</w:t>
      </w:r>
    </w:p>
    <w:p>
      <w:pPr>
        <w:pStyle w:val="ListBullet"/>
      </w:pPr>
      <w:r>
        <w:t>Energy balances for each stream segment and node (conservation of enthalpy).</w:t>
      </w:r>
    </w:p>
    <w:p>
      <w:pPr>
        <w:pStyle w:val="ListBullet"/>
      </w:pPr>
      <w:r>
        <w:t>Temperature feasibility (monotonic temperature profiles; no temperature cross).</w:t>
      </w:r>
    </w:p>
    <w:p>
      <w:pPr>
        <w:pStyle w:val="ListBullet"/>
      </w:pPr>
      <w:r>
        <w:t>Minimum approach temperature constraints (ΔT &gt;= ΔTmin at both ends; or LMTD feasibility).</w:t>
      </w:r>
    </w:p>
    <w:p>
      <w:pPr>
        <w:pStyle w:val="ListBullet"/>
      </w:pPr>
      <w:r>
        <w:t>Equipment bounds: duty_max, UA_effective, area limits, ΔP limits, T limits.</w:t>
      </w:r>
    </w:p>
    <w:p>
      <w:pPr>
        <w:pStyle w:val="ListBullet"/>
      </w:pPr>
      <w:r>
        <w:t>Retrofit connectivity constraints: only allowed matches based on piping and plot plan.</w:t>
      </w:r>
    </w:p>
    <w:p>
      <w:pPr>
        <w:pStyle w:val="ListBullet"/>
      </w:pPr>
      <w:r>
        <w:t>Maintenance availability constraints: exchangers offline during planned windows (scenario constraints).</w:t>
      </w:r>
    </w:p>
    <w:p>
      <w:pPr>
        <w:pStyle w:val="Heading2"/>
      </w:pPr>
      <w:r>
        <w:t>8.3 Objective functions</w:t>
      </w:r>
    </w:p>
    <w:p>
      <w:r>
        <w:t>GL-006 supports single- and multi-objective optimization. Canonical objectives include:</w:t>
      </w:r>
    </w:p>
    <w:tbl>
      <w:tblPr>
        <w:tblStyle w:val="TableGrid"/>
        <w:tblW w:type="auto" w:w="0"/>
        <w:jc w:val="center"/>
        <w:tblLayout w:type="fixed"/>
        <w:tblLook w:firstColumn="1" w:firstRow="1" w:lastColumn="0" w:lastRow="0" w:noHBand="0" w:noVBand="1" w:val="04A0"/>
      </w:tblPr>
      <w:tblGrid>
        <w:gridCol w:w="4680"/>
        <w:gridCol w:w="4680"/>
      </w:tblGrid>
      <w:tr>
        <w:tc>
          <w:tcPr>
            <w:tcW w:type="dxa" w:w="3168"/>
            <w:shd w:fill="1F4E79"/>
            <w:vAlign w:val="center"/>
          </w:tcPr>
          <w:p>
            <w:pPr>
              <w:jc w:val="center"/>
            </w:pPr>
            <w:r/>
            <w:r>
              <w:rPr>
                <w:rStyle w:val="TableHeader"/>
                <w:b w:val="0"/>
              </w:rPr>
              <w:t>Objective</w:t>
            </w:r>
          </w:p>
        </w:tc>
        <w:tc>
          <w:tcPr>
            <w:tcW w:type="dxa" w:w="6192"/>
            <w:shd w:fill="1F4E79"/>
            <w:vAlign w:val="center"/>
          </w:tcPr>
          <w:p>
            <w:pPr>
              <w:jc w:val="center"/>
            </w:pPr>
            <w:r/>
            <w:r>
              <w:rPr>
                <w:rStyle w:val="TableHeader"/>
                <w:b w:val="0"/>
              </w:rPr>
              <w:t>Notes</w:t>
            </w:r>
          </w:p>
        </w:tc>
      </w:tr>
      <w:tr>
        <w:tc>
          <w:tcPr>
            <w:tcW w:type="dxa" w:w="3168"/>
            <w:vAlign w:val="top"/>
          </w:tcPr>
          <w:p>
            <w:r>
              <w:t>Total annual cost (TAC)</w:t>
            </w:r>
          </w:p>
        </w:tc>
        <w:tc>
          <w:tcPr>
            <w:tcW w:type="dxa" w:w="6192"/>
            <w:vAlign w:val="top"/>
          </w:tcPr>
          <w:p>
            <w:r>
              <w:t>Minimize TAC = annualized_capex + annual_utility_cost + maintenance_cost + downtime_cost (if modeled).</w:t>
            </w:r>
          </w:p>
        </w:tc>
      </w:tr>
      <w:tr>
        <w:tc>
          <w:tcPr>
            <w:tcW w:type="dxa" w:w="3168"/>
            <w:vAlign w:val="top"/>
          </w:tcPr>
          <w:p>
            <w:r>
              <w:t>Recovered heat</w:t>
            </w:r>
          </w:p>
        </w:tc>
        <w:tc>
          <w:tcPr>
            <w:tcW w:type="dxa" w:w="6192"/>
            <w:vAlign w:val="top"/>
          </w:tcPr>
          <w:p>
            <w:r>
              <w:t>Maximize total recovered heat subject to constraints (often equivalent to minimizing utilities).</w:t>
            </w:r>
          </w:p>
        </w:tc>
      </w:tr>
      <w:tr>
        <w:tc>
          <w:tcPr>
            <w:tcW w:type="dxa" w:w="3168"/>
            <w:vAlign w:val="top"/>
          </w:tcPr>
          <w:p>
            <w:r>
              <w:t>Exergy destruction</w:t>
            </w:r>
          </w:p>
        </w:tc>
        <w:tc>
          <w:tcPr>
            <w:tcW w:type="dxa" w:w="6192"/>
            <w:vAlign w:val="top"/>
          </w:tcPr>
          <w:p>
            <w:r>
              <w:t>Minimize total exergy destroyed across all exchangers and utilities.</w:t>
            </w:r>
          </w:p>
        </w:tc>
      </w:tr>
      <w:tr>
        <w:tc>
          <w:tcPr>
            <w:tcW w:type="dxa" w:w="3168"/>
            <w:vAlign w:val="top"/>
          </w:tcPr>
          <w:p>
            <w:r>
              <w:t>CO2e</w:t>
            </w:r>
          </w:p>
        </w:tc>
        <w:tc>
          <w:tcPr>
            <w:tcW w:type="dxa" w:w="6192"/>
            <w:vAlign w:val="top"/>
          </w:tcPr>
          <w:p>
            <w:r>
              <w:t>Minimize emissions associated with utility usage (and optionally embodied carbon of equipment).</w:t>
            </w:r>
          </w:p>
        </w:tc>
      </w:tr>
    </w:tbl>
    <w:p>
      <w:pPr>
        <w:pStyle w:val="Heading2"/>
      </w:pPr>
      <w:r>
        <w:t>8.4 Multi-objective Pareto frontiers</w:t>
      </w:r>
    </w:p>
    <w:p>
      <w:r>
        <w:t>When multiple objectives conflict (e.g., capex vs utility savings, or heat recovery vs exergy destruction), GL-006 generates Pareto-optimal solutions. Recommended methods:</w:t>
      </w:r>
    </w:p>
    <w:p>
      <w:pPr>
        <w:pStyle w:val="ListBullet"/>
      </w:pPr>
      <w:r>
        <w:t>Epsilon-constraint: optimize TAC while constraining recovered heat (or exergy) at varying targets.</w:t>
      </w:r>
    </w:p>
    <w:p>
      <w:pPr>
        <w:pStyle w:val="ListBullet"/>
      </w:pPr>
      <w:r>
        <w:t>Weighted-sum with normalization: efficient for exploration but may miss non-convex regions.</w:t>
      </w:r>
    </w:p>
    <w:p>
      <w:pPr>
        <w:pStyle w:val="ListBullet"/>
      </w:pPr>
      <w:r>
        <w:t>Evolutionary algorithms (optional): useful for discrete topology problems; must be validated for determinism and repeatability.</w:t>
      </w:r>
    </w:p>
    <w:p>
      <w:r>
        <w:t>All Pareto results must include: objective values, constraint slacks, key design variables, and a reproducibility record (random seeds fixed; solver versions pinned).</w:t>
      </w:r>
    </w:p>
    <w:p>
      <w:pPr>
        <w:pStyle w:val="Heading2"/>
      </w:pPr>
      <w:r>
        <w:t>8.5 Uncertainty quantification (UQ)</w:t>
      </w:r>
    </w:p>
    <w:p>
      <w:r>
        <w:t>Key uncertainties include flow rates, inlet temperatures, Cp/enthalpy estimates, fouling rates, and utility prices. GL-006 must support scenario-based UQ (discrete scenarios) and/or probabilistic sampling. Outputs should include confidence intervals for KPIs and robustness metrics (e.g., probability of constraint violation).</w:t>
      </w:r>
    </w:p>
    <w:p>
      <w:pPr>
        <w:pStyle w:val="ListBullet"/>
      </w:pPr>
      <w:r>
        <w:t>Define uncertainty distributions or scenario sets with engineering approval.</w:t>
      </w:r>
    </w:p>
    <w:p>
      <w:pPr>
        <w:pStyle w:val="ListBullet"/>
      </w:pPr>
      <w:r>
        <w:t>Propagate uncertainty through deterministic calculations (Monte Carlo or Latin hypercube sampling).</w:t>
      </w:r>
    </w:p>
    <w:p>
      <w:pPr>
        <w:pStyle w:val="ListBullet"/>
      </w:pPr>
      <w:r>
        <w:t>Compute robustness metrics for each candidate HEN design.</w:t>
      </w:r>
    </w:p>
    <w:p>
      <w:pPr>
        <w:pStyle w:val="ListBullet"/>
      </w:pPr>
      <w:r>
        <w:t>Expose UQ results in reports and APIs (not only point estimates).</w:t>
      </w:r>
    </w:p>
    <w:p/>
    <w:p>
      <w:pPr>
        <w:pStyle w:val="Heading1"/>
      </w:pPr>
      <w:r>
        <w:t>9. AI/ML, Explainability, and Causal Inference</w:t>
      </w:r>
    </w:p>
    <w:p>
      <w:r>
        <w:t>GL-006 is not a purely data-driven model; the core recommendations are produced by physics-based and optimization-based calculations. AI/ML components are used to (i) support explainability and decision support, (ii) learn empirical relationships such as fouling rate behavior, and (iii) perform causal analyses to improve optimization policy.</w:t>
      </w:r>
    </w:p>
    <w:p>
      <w:pPr>
        <w:pStyle w:val="Heading2"/>
      </w:pPr>
      <w:r>
        <w:t>9.1 Explainability requirements (SHAP/LIME + engineering rationale)</w:t>
      </w:r>
    </w:p>
    <w:p>
      <w:r>
        <w:t>Explainability must be delivered in two layers: (1) deterministic engineering rationale (constraint satisfaction, pinch rules, temperature feasibility), and (2) statistical feature attribution (SHAP/LIME) on a surrogate model mapping inputs to key outputs (e.g., TAC, heat recovered).</w:t>
      </w:r>
    </w:p>
    <w:p>
      <w:pPr>
        <w:pStyle w:val="ListBullet"/>
      </w:pPr>
      <w:r>
        <w:t>Global explainability: top drivers of savings and constraint binding across scenarios and operating regimes.</w:t>
      </w:r>
    </w:p>
    <w:p>
      <w:pPr>
        <w:pStyle w:val="ListBullet"/>
      </w:pPr>
      <w:r>
        <w:t>Local explainability: for a specific recommendation, show which inputs most influenced the choice and quantify sensitivity.</w:t>
      </w:r>
    </w:p>
    <w:p>
      <w:pPr>
        <w:pStyle w:val="ListBullet"/>
      </w:pPr>
      <w:r>
        <w:t>Constraints-first narrative: always list binding constraints and safety checks before ML attributions.</w:t>
      </w:r>
    </w:p>
    <w:p>
      <w:pPr>
        <w:pStyle w:val="ListBullet"/>
      </w:pPr>
      <w:r>
        <w:t>Consistency checks: SHAP/LIME explanations must be stable under small perturbations; flag unstable explanations.</w:t>
      </w:r>
    </w:p>
    <w:p>
      <w:pPr>
        <w:pStyle w:val="Heading2"/>
      </w:pPr>
      <w:r>
        <w:t>9.2 Causal inference for optimization policy</w:t>
      </w:r>
    </w:p>
    <w:p>
      <w:r>
        <w:t>Causal inference is used to distinguish correlation from actionable levers. Examples:</w:t>
      </w:r>
    </w:p>
    <w:p>
      <w:pPr>
        <w:pStyle w:val="ListBullet"/>
      </w:pPr>
      <w:r>
        <w:t>Estimate causal impact of exchanger cleaning on UA and recovered heat (account for confounders such as throughput).</w:t>
      </w:r>
    </w:p>
    <w:p>
      <w:pPr>
        <w:pStyle w:val="ListBullet"/>
      </w:pPr>
      <w:r>
        <w:t>Quantify effect of operating temperature setpoints on fouling rates and long-run utility cost.</w:t>
      </w:r>
    </w:p>
    <w:p>
      <w:pPr>
        <w:pStyle w:val="ListBullet"/>
      </w:pPr>
      <w:r>
        <w:t>Identify which maintenance actions most reduce exergy destruction or constraint violations.</w:t>
      </w:r>
    </w:p>
    <w:p>
      <w:r>
        <w:t>Implementation expectations:</w:t>
      </w:r>
    </w:p>
    <w:p>
      <w:pPr>
        <w:pStyle w:val="ListBullet"/>
      </w:pPr>
      <w:r>
        <w:t>Define a structural causal model (SCM) with domain experts; encode assumed causal edges.</w:t>
      </w:r>
    </w:p>
    <w:p>
      <w:pPr>
        <w:pStyle w:val="ListBullet"/>
      </w:pPr>
      <w:r>
        <w:t>Use identification strategies suitable for available data (e.g., difference-in-differences, instrumental variables, propensity scores, causal forests), with explicit assumptions documented.</w:t>
      </w:r>
    </w:p>
    <w:p>
      <w:pPr>
        <w:pStyle w:val="ListBullet"/>
      </w:pPr>
      <w:r>
        <w:t>Expose causal graphs and estimated treatment effects in the explainability report.</w:t>
      </w:r>
    </w:p>
    <w:p>
      <w:pPr>
        <w:pStyle w:val="Heading2"/>
      </w:pPr>
      <w:r>
        <w:t>9.3 Deterministic, zero-hallucination operating mode</w:t>
      </w:r>
    </w:p>
    <w:p>
      <w:r>
        <w:t>Engineering decisions (network topology, duties, economics) must never depend on free-form generative outputs. The system must enforce 'zero-hallucination' rules:</w:t>
      </w:r>
    </w:p>
    <w:p>
      <w:pPr>
        <w:pStyle w:val="ListBullet"/>
      </w:pPr>
      <w:r>
        <w:t>All numeric values shown to users must be sourced from the deterministic calculation engine outputs or stored inputs.</w:t>
      </w:r>
    </w:p>
    <w:p>
      <w:pPr>
        <w:pStyle w:val="ListBullet"/>
      </w:pPr>
      <w:r>
        <w:t>Report generation uses templates with variable substitution; large language models (LLMs) may only paraphrase and summarize within strict guardrails and must not fabricate numbers, constraints, or equipment.</w:t>
      </w:r>
    </w:p>
    <w:p>
      <w:pPr>
        <w:pStyle w:val="ListBullet"/>
      </w:pPr>
      <w:r>
        <w:t>Every report includes an input and configuration fingerprint (dataset hash, version IDs) to support auditability.</w:t>
      </w:r>
    </w:p>
    <w:p>
      <w:pPr>
        <w:pStyle w:val="ListBullet"/>
      </w:pPr>
      <w:r>
        <w:t>The system must fail closed: if required inputs are missing or inconsistent, it produces a validation error instead of a guess.</w:t>
      </w:r>
    </w:p>
    <w:p/>
    <w:p>
      <w:pPr>
        <w:pStyle w:val="Heading1"/>
      </w:pPr>
      <w:r>
        <w:t>10. System Architecture and Integration</w:t>
      </w:r>
    </w:p>
    <w:p>
      <w:r>
        <w:t>GL-006 is deployed as a set of services that separate data ingestion, deterministic calculations, optimization, and presentation. The architecture must support both batch design studies and near-real-time re-optimization as operating conditions and fouling evolve.</w:t>
      </w:r>
    </w:p>
    <w:p>
      <w:pPr>
        <w:pStyle w:val="Heading2"/>
      </w:pPr>
      <w:r>
        <w:t>10.1 Reference architecture</w:t>
      </w:r>
    </w:p>
    <w:p>
      <w:r>
        <w:t>Figure 1 summarizes the typical data and control flow for GL-006.</w:t>
      </w:r>
    </w:p>
    <w:p>
      <w:pPr>
        <w:jc w:val="center"/>
      </w:pPr>
      <w:r>
        <w:drawing>
          <wp:inline xmlns:a="http://schemas.openxmlformats.org/drawingml/2006/main" xmlns:pic="http://schemas.openxmlformats.org/drawingml/2006/picture">
            <wp:extent cx="5943600" cy="2377440"/>
            <wp:docPr id="1" name="Picture 1"/>
            <wp:cNvGraphicFramePr>
              <a:graphicFrameLocks noChangeAspect="1"/>
            </wp:cNvGraphicFramePr>
            <a:graphic>
              <a:graphicData uri="http://schemas.openxmlformats.org/drawingml/2006/picture">
                <pic:pic>
                  <pic:nvPicPr>
                    <pic:cNvPr id="0" name="gl006_architecture.png"/>
                    <pic:cNvPicPr/>
                  </pic:nvPicPr>
                  <pic:blipFill>
                    <a:blip r:embed="rId10"/>
                    <a:stretch>
                      <a:fillRect/>
                    </a:stretch>
                  </pic:blipFill>
                  <pic:spPr>
                    <a:xfrm>
                      <a:off x="0" y="0"/>
                      <a:ext cx="5943600" cy="2377440"/>
                    </a:xfrm>
                    <a:prstGeom prst="rect"/>
                  </pic:spPr>
                </pic:pic>
              </a:graphicData>
            </a:graphic>
          </wp:inline>
        </w:drawing>
      </w:r>
    </w:p>
    <w:p>
      <w:pPr>
        <w:pStyle w:val="Small"/>
        <w:jc w:val="center"/>
      </w:pPr>
      <w:r>
        <w:t>Figure 1. GL-006 reference architecture (data ingestion, optimization, and delivery).</w:t>
      </w:r>
    </w:p>
    <w:p>
      <w:pPr>
        <w:pStyle w:val="Heading2"/>
      </w:pPr>
      <w:r>
        <w:t>10.2 Integration contracts</w:t>
      </w:r>
    </w:p>
    <w:p>
      <w:r>
        <w:t>Integration is standardized through three primary contracts: OPC-UA for OT data, Kafka for streaming/event transport, and GraphQL for serving results and reports.</w:t>
      </w:r>
    </w:p>
    <w:p>
      <w:pPr>
        <w:pStyle w:val="Heading3"/>
      </w:pPr>
      <w:r>
        <w:t>10.2.1 OPC-UA (OT ingestion)</w:t>
      </w:r>
    </w:p>
    <w:p>
      <w:r>
        <w:t>Data Engineering and OT teams must define an OPC-UA namespace mapping for all required tags. Requirements:</w:t>
      </w:r>
    </w:p>
    <w:p>
      <w:pPr>
        <w:pStyle w:val="ListBullet"/>
      </w:pPr>
      <w:r>
        <w:t>Tags must include engineering units and quality/status bits.</w:t>
      </w:r>
    </w:p>
    <w:p>
      <w:pPr>
        <w:pStyle w:val="ListBullet"/>
      </w:pPr>
      <w:r>
        <w:t>Sampling interval and deadband settings must be documented.</w:t>
      </w:r>
    </w:p>
    <w:p>
      <w:pPr>
        <w:pStyle w:val="ListBullet"/>
      </w:pPr>
      <w:r>
        <w:t>A tag dictionary must map OPC-UA node IDs to canonical stream/equipment fields (Section 6).</w:t>
      </w:r>
    </w:p>
    <w:p>
      <w:pPr>
        <w:pStyle w:val="ListBullet"/>
      </w:pPr>
      <w:r>
        <w:t>Security: OPC-UA must be configured with site-approved certificates and network segmentation.</w:t>
      </w:r>
    </w:p>
    <w:p>
      <w:pPr>
        <w:pStyle w:val="Heading3"/>
      </w:pPr>
      <w:r>
        <w:t>10.2.2 Kafka (streaming bus)</w:t>
      </w:r>
    </w:p>
    <w:p>
      <w:r>
        <w:t>Kafka topics carry normalized events and time-series updates. Standard topic families:</w:t>
      </w:r>
    </w:p>
    <w:p>
      <w:pPr>
        <w:pStyle w:val="ListBullet"/>
      </w:pPr>
      <w:r>
        <w:t>gl006.streams.raw (optional) and gl006.streams.canonical</w:t>
      </w:r>
    </w:p>
    <w:p>
      <w:pPr>
        <w:pStyle w:val="ListBullet"/>
      </w:pPr>
      <w:r>
        <w:t>gl006.equipment.canonical</w:t>
      </w:r>
    </w:p>
    <w:p>
      <w:pPr>
        <w:pStyle w:val="ListBullet"/>
      </w:pPr>
      <w:r>
        <w:t>gl006.maintenance.events</w:t>
      </w:r>
    </w:p>
    <w:p>
      <w:pPr>
        <w:pStyle w:val="ListBullet"/>
      </w:pPr>
      <w:r>
        <w:t>gl006.prices.utilities</w:t>
      </w:r>
    </w:p>
    <w:p>
      <w:pPr>
        <w:pStyle w:val="ListBullet"/>
      </w:pPr>
      <w:r>
        <w:t>gl006.optimization.requests and gl006.optimization.results</w:t>
      </w:r>
    </w:p>
    <w:p>
      <w:pPr>
        <w:pStyle w:val="ListBullet"/>
      </w:pPr>
      <w:r>
        <w:t>gl006.reports.generated (PDF/DOCX metadata, storage pointers)</w:t>
      </w:r>
    </w:p>
    <w:p>
      <w:r>
        <w:t>All Kafka messages must be schema-governed (e.g., Avro/Protobuf/JSON Schema) with versioning and backward compatibility.</w:t>
      </w:r>
    </w:p>
    <w:p>
      <w:pPr>
        <w:pStyle w:val="Heading3"/>
      </w:pPr>
      <w:r>
        <w:t>10.2.3 GraphQL (results API)</w:t>
      </w:r>
    </w:p>
    <w:p>
      <w:r>
        <w:t>GraphQL exposes optimization runs, Pareto sets, exchanger/network designs, and explainability artifacts to UIs and other services. Minimum entities: Stream, Equipment, HENDesign, OptimizationRun, ParetoPoint, ExplainabilityReport.</w:t>
      </w:r>
    </w:p>
    <w:p>
      <w:r>
        <w:t>API must enforce authorization by facility and asset, and must provide immutable read access to historical runs for audit.</w:t>
      </w:r>
    </w:p>
    <w:p>
      <w:pPr>
        <w:pStyle w:val="Heading2"/>
      </w:pPr>
      <w:r>
        <w:t>10.3 Compute and deployment considerations</w:t>
      </w:r>
    </w:p>
    <w:p>
      <w:pPr>
        <w:pStyle w:val="ListBullet"/>
      </w:pPr>
      <w:r>
        <w:t>Deterministic optimization requires pinned solver versions and container images.</w:t>
      </w:r>
    </w:p>
    <w:p>
      <w:pPr>
        <w:pStyle w:val="ListBullet"/>
      </w:pPr>
      <w:r>
        <w:t>Separate 'design study' workloads (long-running) from 'operational refresh' workloads (time-bounded).</w:t>
      </w:r>
    </w:p>
    <w:p>
      <w:pPr>
        <w:pStyle w:val="ListBullet"/>
      </w:pPr>
      <w:r>
        <w:t>Implement timeouts and graceful degradation (e.g., return last feasible solution if new solve fails).</w:t>
      </w:r>
    </w:p>
    <w:p>
      <w:pPr>
        <w:pStyle w:val="ListBullet"/>
      </w:pPr>
      <w:r>
        <w:t>Use distributed tracing from ingestion through optimization to API response.</w:t>
      </w:r>
    </w:p>
    <w:p/>
    <w:p>
      <w:pPr>
        <w:pStyle w:val="Heading1"/>
      </w:pPr>
      <w:r>
        <w:t>11. End-to-End Workflow</w:t>
      </w:r>
    </w:p>
    <w:p>
      <w:r>
        <w:t>This section defines the standard workflow GL-006 must execute for each study or operational cycle.</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fill="1F4E79"/>
            <w:vAlign w:val="center"/>
          </w:tcPr>
          <w:p>
            <w:pPr>
              <w:jc w:val="center"/>
            </w:pPr>
            <w:r/>
            <w:r>
              <w:rPr>
                <w:rStyle w:val="TableHeader"/>
                <w:b w:val="0"/>
              </w:rPr>
              <w:t>Step</w:t>
            </w:r>
          </w:p>
        </w:tc>
        <w:tc>
          <w:tcPr>
            <w:tcW w:type="dxa" w:w="6480"/>
            <w:shd w:fill="1F4E79"/>
            <w:vAlign w:val="center"/>
          </w:tcPr>
          <w:p>
            <w:pPr>
              <w:jc w:val="center"/>
            </w:pPr>
            <w:r/>
            <w:r>
              <w:rPr>
                <w:rStyle w:val="TableHeader"/>
                <w:b w:val="0"/>
              </w:rPr>
              <w:t>Description</w:t>
            </w:r>
          </w:p>
        </w:tc>
      </w:tr>
      <w:tr>
        <w:tc>
          <w:tcPr>
            <w:tcW w:type="dxa" w:w="2880"/>
            <w:vAlign w:val="top"/>
          </w:tcPr>
          <w:p>
            <w:r>
              <w:t>1) Ingest and validate inputs</w:t>
            </w:r>
          </w:p>
        </w:tc>
        <w:tc>
          <w:tcPr>
            <w:tcW w:type="dxa" w:w="6480"/>
            <w:vAlign w:val="top"/>
          </w:tcPr>
          <w:p>
            <w:r>
              <w:t>Pull latest stream, equipment, prices, and maintenance data. Run unit normalization and quality checks. Fail closed on critical errors.</w:t>
            </w:r>
          </w:p>
        </w:tc>
      </w:tr>
      <w:tr>
        <w:tc>
          <w:tcPr>
            <w:tcW w:type="dxa" w:w="2880"/>
            <w:vAlign w:val="top"/>
          </w:tcPr>
          <w:p>
            <w:r>
              <w:t>2) Build stream set and scenarios</w:t>
            </w:r>
          </w:p>
        </w:tc>
        <w:tc>
          <w:tcPr>
            <w:tcW w:type="dxa" w:w="6480"/>
            <w:vAlign w:val="top"/>
          </w:tcPr>
          <w:p>
            <w:r>
              <w:t>Construct hot/cold stream lists, availability factors, and scenario definitions (e.g., seasonal operation, high/low throughput).</w:t>
            </w:r>
          </w:p>
        </w:tc>
      </w:tr>
      <w:tr>
        <w:tc>
          <w:tcPr>
            <w:tcW w:type="dxa" w:w="2880"/>
            <w:vAlign w:val="top"/>
          </w:tcPr>
          <w:p>
            <w:r>
              <w:t>3) Pinch targeting</w:t>
            </w:r>
          </w:p>
        </w:tc>
        <w:tc>
          <w:tcPr>
            <w:tcW w:type="dxa" w:w="6480"/>
            <w:vAlign w:val="top"/>
          </w:tcPr>
          <w:p>
            <w:r>
              <w:t>Compute composite curves, pinch temperatures, and minimum utilities for each scenario; produce target reports.</w:t>
            </w:r>
          </w:p>
        </w:tc>
      </w:tr>
      <w:tr>
        <w:tc>
          <w:tcPr>
            <w:tcW w:type="dxa" w:w="2880"/>
            <w:vAlign w:val="top"/>
          </w:tcPr>
          <w:p>
            <w:r>
              <w:t>4) Generate candidate HEN topologies</w:t>
            </w:r>
          </w:p>
        </w:tc>
        <w:tc>
          <w:tcPr>
            <w:tcW w:type="dxa" w:w="6480"/>
            <w:vAlign w:val="top"/>
          </w:tcPr>
          <w:p>
            <w:r>
              <w:t>Use synthesis method (e.g., pinch-based rules + MILP/MINLP) to propose feasible match sets.</w:t>
            </w:r>
          </w:p>
        </w:tc>
      </w:tr>
      <w:tr>
        <w:tc>
          <w:tcPr>
            <w:tcW w:type="dxa" w:w="2880"/>
            <w:vAlign w:val="top"/>
          </w:tcPr>
          <w:p>
            <w:r>
              <w:t>5) Rate/simulate candidate networks</w:t>
            </w:r>
          </w:p>
        </w:tc>
        <w:tc>
          <w:tcPr>
            <w:tcW w:type="dxa" w:w="6480"/>
            <w:vAlign w:val="top"/>
          </w:tcPr>
          <w:p>
            <w:r>
              <w:t>Compute exchanger duties, LMTD/NTU feasibility, UA/area requirements, ΔP checks, and safety constraints.</w:t>
            </w:r>
          </w:p>
        </w:tc>
      </w:tr>
      <w:tr>
        <w:tc>
          <w:tcPr>
            <w:tcW w:type="dxa" w:w="2880"/>
            <w:vAlign w:val="top"/>
          </w:tcPr>
          <w:p>
            <w:r>
              <w:t>6) Economic evaluation</w:t>
            </w:r>
          </w:p>
        </w:tc>
        <w:tc>
          <w:tcPr>
            <w:tcW w:type="dxa" w:w="6480"/>
            <w:vAlign w:val="top"/>
          </w:tcPr>
          <w:p>
            <w:r>
              <w:t>Compute capex (new exchangers, piping, installation), annualized cost, utility savings, maintenance impacts, and downtime assumptions.</w:t>
            </w:r>
          </w:p>
        </w:tc>
      </w:tr>
      <w:tr>
        <w:tc>
          <w:tcPr>
            <w:tcW w:type="dxa" w:w="2880"/>
            <w:vAlign w:val="top"/>
          </w:tcPr>
          <w:p>
            <w:r>
              <w:t>7) Multi-objective optimization</w:t>
            </w:r>
          </w:p>
        </w:tc>
        <w:tc>
          <w:tcPr>
            <w:tcW w:type="dxa" w:w="6480"/>
            <w:vAlign w:val="top"/>
          </w:tcPr>
          <w:p>
            <w:r>
              <w:t>Generate Pareto frontier; store all candidate solutions with objective values and constraint slacks.</w:t>
            </w:r>
          </w:p>
        </w:tc>
      </w:tr>
      <w:tr>
        <w:tc>
          <w:tcPr>
            <w:tcW w:type="dxa" w:w="2880"/>
            <w:vAlign w:val="top"/>
          </w:tcPr>
          <w:p>
            <w:r>
              <w:t>8) Explainability and causal attribution</w:t>
            </w:r>
          </w:p>
        </w:tc>
        <w:tc>
          <w:tcPr>
            <w:tcW w:type="dxa" w:w="6480"/>
            <w:vAlign w:val="top"/>
          </w:tcPr>
          <w:p>
            <w:r>
              <w:t>Generate rationale (binding constraints, pinch rules) plus SHAP/LIME summaries and causal graphs where configured.</w:t>
            </w:r>
          </w:p>
        </w:tc>
      </w:tr>
      <w:tr>
        <w:tc>
          <w:tcPr>
            <w:tcW w:type="dxa" w:w="2880"/>
            <w:vAlign w:val="top"/>
          </w:tcPr>
          <w:p>
            <w:r>
              <w:t>9) Engineering review and approval</w:t>
            </w:r>
          </w:p>
        </w:tc>
        <w:tc>
          <w:tcPr>
            <w:tcW w:type="dxa" w:w="6480"/>
            <w:vAlign w:val="top"/>
          </w:tcPr>
          <w:p>
            <w:r>
              <w:t>Thermal/process engineers review and sign off; deviations from pinch rules require explicit approval.</w:t>
            </w:r>
          </w:p>
        </w:tc>
      </w:tr>
      <w:tr>
        <w:tc>
          <w:tcPr>
            <w:tcW w:type="dxa" w:w="2880"/>
            <w:vAlign w:val="top"/>
          </w:tcPr>
          <w:p>
            <w:r>
              <w:t>10) Deployment/operationalization</w:t>
            </w:r>
          </w:p>
        </w:tc>
        <w:tc>
          <w:tcPr>
            <w:tcW w:type="dxa" w:w="6480"/>
            <w:vAlign w:val="top"/>
          </w:tcPr>
          <w:p>
            <w:r>
              <w:t>Publish selected design and setpoints to downstream systems; track realized savings and update fouling models.</w:t>
            </w:r>
          </w:p>
        </w:tc>
      </w:tr>
    </w:tbl>
    <w:p/>
    <w:p>
      <w:pPr>
        <w:pStyle w:val="Heading1"/>
      </w:pPr>
      <w:r>
        <w:t>12. Team-Level Delivery Checklist</w:t>
      </w:r>
    </w:p>
    <w:p>
      <w:r>
        <w:t>This section translates the system requirements into concrete deliverables per team. Each team should treat these as the minimum done-definition for GL-006 in a production facility.</w:t>
      </w:r>
    </w:p>
    <w:p>
      <w:pPr>
        <w:pStyle w:val="Heading2"/>
      </w:pPr>
      <w:r>
        <w:t>12.1 Data Engineering</w:t>
      </w:r>
    </w:p>
    <w:p>
      <w:pPr>
        <w:pStyle w:val="ListBullet"/>
      </w:pPr>
      <w:r>
        <w:t>Build and maintain OPC-UA ingestion with tag dictionary and unit metadata.</w:t>
      </w:r>
    </w:p>
    <w:p>
      <w:pPr>
        <w:pStyle w:val="ListBullet"/>
      </w:pPr>
      <w:r>
        <w:t>Implement canonical stream and equipment schemas (Section 6) with schema registry and versioning.</w:t>
      </w:r>
    </w:p>
    <w:p>
      <w:pPr>
        <w:pStyle w:val="ListBullet"/>
      </w:pPr>
      <w:r>
        <w:t>Create data quality gates (range checks, missingness, timestamp latency, quality flags).</w:t>
      </w:r>
    </w:p>
    <w:p>
      <w:pPr>
        <w:pStyle w:val="ListBullet"/>
      </w:pPr>
      <w:r>
        <w:t>Provide curated datasets for design studies (historical periods) and for operational refresh (latest window).</w:t>
      </w:r>
    </w:p>
    <w:p>
      <w:pPr>
        <w:pStyle w:val="ListBullet"/>
      </w:pPr>
      <w:r>
        <w:t>Implement lineage: dataset hash, source timestamps, transformations, and storage locations.</w:t>
      </w:r>
    </w:p>
    <w:p>
      <w:pPr>
        <w:pStyle w:val="ListBullet"/>
      </w:pPr>
      <w:r>
        <w:t>Primary artifacts:</w:t>
      </w:r>
    </w:p>
    <w:p>
      <w:pPr>
        <w:pStyle w:val="ListBullet2"/>
      </w:pPr>
      <w:r>
        <w:t>Tag dictionary (OPC-UA -&gt; canonical)</w:t>
      </w:r>
    </w:p>
    <w:p>
      <w:pPr>
        <w:pStyle w:val="ListBullet2"/>
      </w:pPr>
      <w:r>
        <w:t>Kafka topic schemas</w:t>
      </w:r>
    </w:p>
    <w:p>
      <w:pPr>
        <w:pStyle w:val="ListBullet2"/>
      </w:pPr>
      <w:r>
        <w:t>Data quality dashboard and alert rules</w:t>
      </w:r>
    </w:p>
    <w:p>
      <w:pPr>
        <w:pStyle w:val="ListBullet2"/>
      </w:pPr>
      <w:r>
        <w:t>Backfill and reconciliation procedures</w:t>
      </w:r>
    </w:p>
    <w:p>
      <w:pPr>
        <w:pStyle w:val="Heading2"/>
      </w:pPr>
      <w:r>
        <w:t>12.2 Process and Thermal Engineering</w:t>
      </w:r>
    </w:p>
    <w:p>
      <w:pPr>
        <w:pStyle w:val="ListBullet"/>
      </w:pPr>
      <w:r>
        <w:t>Define stream list (hot/cold/utilities), operating envelopes, and ΔTmin rules by stream class.</w:t>
      </w:r>
    </w:p>
    <w:p>
      <w:pPr>
        <w:pStyle w:val="ListBullet"/>
      </w:pPr>
      <w:r>
        <w:t>Provide/validate physical property approach and reference state for exergy (Section 7.4).</w:t>
      </w:r>
    </w:p>
    <w:p>
      <w:pPr>
        <w:pStyle w:val="ListBullet"/>
      </w:pPr>
      <w:r>
        <w:t>Define equipment constraints and connectivity rules for retrofits (what can be connected, where).</w:t>
      </w:r>
    </w:p>
    <w:p>
      <w:pPr>
        <w:pStyle w:val="ListBullet"/>
      </w:pPr>
      <w:r>
        <w:t>Validate safety constraints (dew point, coking limits, thermal stress) and operability checks.</w:t>
      </w:r>
    </w:p>
    <w:p>
      <w:pPr>
        <w:pStyle w:val="ListBullet"/>
      </w:pPr>
      <w:r>
        <w:t>Review and sign off on pinch targets, proposed HENs, and any pinch rule relaxations.</w:t>
      </w:r>
    </w:p>
    <w:p>
      <w:pPr>
        <w:pStyle w:val="ListBullet"/>
      </w:pPr>
      <w:r>
        <w:t>Primary artifacts:</w:t>
      </w:r>
    </w:p>
    <w:p>
      <w:pPr>
        <w:pStyle w:val="ListBullet2"/>
      </w:pPr>
      <w:r>
        <w:t>Stream table (engineering master)</w:t>
      </w:r>
    </w:p>
    <w:p>
      <w:pPr>
        <w:pStyle w:val="ListBullet2"/>
      </w:pPr>
      <w:r>
        <w:t>ΔTmin and safety constraint standard</w:t>
      </w:r>
    </w:p>
    <w:p>
      <w:pPr>
        <w:pStyle w:val="ListBullet2"/>
      </w:pPr>
      <w:r>
        <w:t>Equipment constraint library</w:t>
      </w:r>
    </w:p>
    <w:p>
      <w:pPr>
        <w:pStyle w:val="ListBullet2"/>
      </w:pPr>
      <w:r>
        <w:t>Engineering sign-off records</w:t>
      </w:r>
    </w:p>
    <w:p>
      <w:pPr>
        <w:pStyle w:val="Heading2"/>
      </w:pPr>
      <w:r>
        <w:t>12.3 Optimization and Applied Mathematics</w:t>
      </w:r>
    </w:p>
    <w:p>
      <w:pPr>
        <w:pStyle w:val="ListBullet"/>
      </w:pPr>
      <w:r>
        <w:t>Implement pinch targeting and composite curve generation with unit-tested outputs.</w:t>
      </w:r>
    </w:p>
    <w:p>
      <w:pPr>
        <w:pStyle w:val="ListBullet"/>
      </w:pPr>
      <w:r>
        <w:t>Implement HEN synthesis method appropriate for site complexity (rule-based, MILP/MINLP, or hybrid).</w:t>
      </w:r>
    </w:p>
    <w:p>
      <w:pPr>
        <w:pStyle w:val="ListBullet"/>
      </w:pPr>
      <w:r>
        <w:t>Implement exchanger rating and feasibility checks (LMTD/ε-NTU) with fouling-adjusted UA.</w:t>
      </w:r>
    </w:p>
    <w:p>
      <w:pPr>
        <w:pStyle w:val="ListBullet"/>
      </w:pPr>
      <w:r>
        <w:t>Implement multi-objective Pareto generation and robustness scoring under uncertainty.</w:t>
      </w:r>
    </w:p>
    <w:p>
      <w:pPr>
        <w:pStyle w:val="ListBullet"/>
      </w:pPr>
      <w:r>
        <w:t>Ensure determinism: fixed seeds, pinned solvers, controlled tolerances; produce reproducibility records.</w:t>
      </w:r>
    </w:p>
    <w:p>
      <w:pPr>
        <w:pStyle w:val="ListBullet"/>
      </w:pPr>
      <w:r>
        <w:t>Primary artifacts:</w:t>
      </w:r>
    </w:p>
    <w:p>
      <w:pPr>
        <w:pStyle w:val="ListBullet2"/>
      </w:pPr>
      <w:r>
        <w:t>Mathematical formulation documentation</w:t>
      </w:r>
    </w:p>
    <w:p>
      <w:pPr>
        <w:pStyle w:val="ListBullet2"/>
      </w:pPr>
      <w:r>
        <w:t>Solver configuration and tolerances</w:t>
      </w:r>
    </w:p>
    <w:p>
      <w:pPr>
        <w:pStyle w:val="ListBullet2"/>
      </w:pPr>
      <w:r>
        <w:t>Golden-case regression suite</w:t>
      </w:r>
    </w:p>
    <w:p>
      <w:pPr>
        <w:pStyle w:val="ListBullet2"/>
      </w:pPr>
      <w:r>
        <w:t>Pareto generation reports</w:t>
      </w:r>
    </w:p>
    <w:p>
      <w:pPr>
        <w:pStyle w:val="Heading2"/>
      </w:pPr>
      <w:r>
        <w:t>12.4 Software and Platform Engineering</w:t>
      </w:r>
    </w:p>
    <w:p>
      <w:pPr>
        <w:pStyle w:val="ListBullet"/>
      </w:pPr>
      <w:r>
        <w:t>Deploy optimization engine as a versioned service (containerized) with explicit input/output contracts.</w:t>
      </w:r>
    </w:p>
    <w:p>
      <w:pPr>
        <w:pStyle w:val="ListBullet"/>
      </w:pPr>
      <w:r>
        <w:t>Implement Kafka consumers/producers for request/result workflows; ensure idempotency and retry semantics.</w:t>
      </w:r>
    </w:p>
    <w:p>
      <w:pPr>
        <w:pStyle w:val="ListBullet"/>
      </w:pPr>
      <w:r>
        <w:t>Implement GraphQL API with authorization, pagination, and immutable access to historical runs.</w:t>
      </w:r>
    </w:p>
    <w:p>
      <w:pPr>
        <w:pStyle w:val="ListBullet"/>
      </w:pPr>
      <w:r>
        <w:t>Implement observability: logs, metrics, traces; SLOs for latency and availability.</w:t>
      </w:r>
    </w:p>
    <w:p>
      <w:pPr>
        <w:pStyle w:val="ListBullet"/>
      </w:pPr>
      <w:r>
        <w:t>Implement storage for inputs, results, Pareto sets, and reports with audit trails.</w:t>
      </w:r>
    </w:p>
    <w:p>
      <w:pPr>
        <w:pStyle w:val="ListBullet"/>
      </w:pPr>
      <w:r>
        <w:t>Primary artifacts:</w:t>
      </w:r>
    </w:p>
    <w:p>
      <w:pPr>
        <w:pStyle w:val="ListBullet2"/>
      </w:pPr>
      <w:r>
        <w:t>Service architecture diagram and runbook</w:t>
      </w:r>
    </w:p>
    <w:p>
      <w:pPr>
        <w:pStyle w:val="ListBullet2"/>
      </w:pPr>
      <w:r>
        <w:t>GraphQL schema + API docs</w:t>
      </w:r>
    </w:p>
    <w:p>
      <w:pPr>
        <w:pStyle w:val="ListBullet2"/>
      </w:pPr>
      <w:r>
        <w:t>Kafka topic config and ACLs</w:t>
      </w:r>
    </w:p>
    <w:p>
      <w:pPr>
        <w:pStyle w:val="ListBullet2"/>
      </w:pPr>
      <w:r>
        <w:t>Deployment pipelines and rollback procedures</w:t>
      </w:r>
    </w:p>
    <w:p>
      <w:pPr>
        <w:pStyle w:val="Heading2"/>
      </w:pPr>
      <w:r>
        <w:t>12.5 AI/ML Engineering</w:t>
      </w:r>
    </w:p>
    <w:p>
      <w:pPr>
        <w:pStyle w:val="ListBullet"/>
      </w:pPr>
      <w:r>
        <w:t>Develop surrogate models for SHAP/LIME attribution if required; validate against deterministic engine outputs.</w:t>
      </w:r>
    </w:p>
    <w:p>
      <w:pPr>
        <w:pStyle w:val="ListBullet"/>
      </w:pPr>
      <w:r>
        <w:t>Generate explainability reports with both engineering rationale and feature attributions.</w:t>
      </w:r>
    </w:p>
    <w:p>
      <w:pPr>
        <w:pStyle w:val="ListBullet"/>
      </w:pPr>
      <w:r>
        <w:t>Implement causal inference modules and causal graph generation where data supports it.</w:t>
      </w:r>
    </w:p>
    <w:p>
      <w:pPr>
        <w:pStyle w:val="ListBullet"/>
      </w:pPr>
      <w:r>
        <w:t>Implement anomaly detection for sensor drift and implausible stream behavior (optional but recommended).</w:t>
      </w:r>
    </w:p>
    <w:p>
      <w:pPr>
        <w:pStyle w:val="ListBullet"/>
      </w:pPr>
      <w:r>
        <w:t>Enforce zero-hallucination report generation guardrails (templates, numeric binding, fail-closed behavior).</w:t>
      </w:r>
    </w:p>
    <w:p>
      <w:pPr>
        <w:pStyle w:val="ListBullet"/>
      </w:pPr>
      <w:r>
        <w:t>Primary artifacts:</w:t>
      </w:r>
    </w:p>
    <w:p>
      <w:pPr>
        <w:pStyle w:val="ListBullet2"/>
      </w:pPr>
      <w:r>
        <w:t>Explainability report template</w:t>
      </w:r>
    </w:p>
    <w:p>
      <w:pPr>
        <w:pStyle w:val="ListBullet2"/>
      </w:pPr>
      <w:r>
        <w:t>Causal graph specification</w:t>
      </w:r>
    </w:p>
    <w:p>
      <w:pPr>
        <w:pStyle w:val="ListBullet2"/>
      </w:pPr>
      <w:r>
        <w:t>Model validation report</w:t>
      </w:r>
    </w:p>
    <w:p>
      <w:pPr>
        <w:pStyle w:val="ListBullet2"/>
      </w:pPr>
      <w:r>
        <w:t>Guardrail tests for no-fabrication of numbers</w:t>
      </w:r>
    </w:p>
    <w:p>
      <w:pPr>
        <w:pStyle w:val="Heading2"/>
      </w:pPr>
      <w:r>
        <w:t>12.6 Operations and Maintenance (Reliability)</w:t>
      </w:r>
    </w:p>
    <w:p>
      <w:pPr>
        <w:pStyle w:val="ListBullet"/>
      </w:pPr>
      <w:r>
        <w:t>Provide CMMS/EAM access and mapping of equipment IDs; ensure cleaning events are consistently logged.</w:t>
      </w:r>
    </w:p>
    <w:p>
      <w:pPr>
        <w:pStyle w:val="ListBullet"/>
      </w:pPr>
      <w:r>
        <w:t>Define maintenance windows and operational constraints (what can be taken offline, when).</w:t>
      </w:r>
    </w:p>
    <w:p>
      <w:pPr>
        <w:pStyle w:val="ListBullet"/>
      </w:pPr>
      <w:r>
        <w:t>Validate fouling factors and cleaning effectiveness assumptions; provide feedback loop from field performance.</w:t>
      </w:r>
    </w:p>
    <w:p>
      <w:pPr>
        <w:pStyle w:val="ListBullet"/>
      </w:pPr>
      <w:r>
        <w:t>Coordinate implementation of retrofit recommendations (work packs, isolation plans, safety reviews).</w:t>
      </w:r>
    </w:p>
    <w:p>
      <w:pPr>
        <w:pStyle w:val="ListBullet"/>
      </w:pPr>
      <w:r>
        <w:t>Primary artifacts:</w:t>
      </w:r>
    </w:p>
    <w:p>
      <w:pPr>
        <w:pStyle w:val="ListBullet2"/>
      </w:pPr>
      <w:r>
        <w:t>Maintenance history extracts</w:t>
      </w:r>
    </w:p>
    <w:p>
      <w:pPr>
        <w:pStyle w:val="ListBullet2"/>
      </w:pPr>
      <w:r>
        <w:t>Fouling model calibration notes</w:t>
      </w:r>
    </w:p>
    <w:p>
      <w:pPr>
        <w:pStyle w:val="ListBullet2"/>
      </w:pPr>
      <w:r>
        <w:t>Implementation feedback logs</w:t>
      </w:r>
    </w:p>
    <w:p>
      <w:pPr>
        <w:pStyle w:val="ListBullet2"/>
      </w:pPr>
      <w:r>
        <w:t>Operator training materials (as needed)</w:t>
      </w:r>
    </w:p>
    <w:p>
      <w:pPr>
        <w:pStyle w:val="Heading2"/>
      </w:pPr>
      <w:r>
        <w:t>12.7 Climate Intelligence</w:t>
      </w:r>
    </w:p>
    <w:p>
      <w:pPr>
        <w:pStyle w:val="ListBullet"/>
      </w:pPr>
      <w:r>
        <w:t>Define carbon accounting boundary (Scope 1/2/3 as applicable) for heat recovery savings.</w:t>
      </w:r>
    </w:p>
    <w:p>
      <w:pPr>
        <w:pStyle w:val="ListBullet"/>
      </w:pPr>
      <w:r>
        <w:t>Provide approved emissions factors for fuels and electricity (time-varying if needed).</w:t>
      </w:r>
    </w:p>
    <w:p>
      <w:pPr>
        <w:pStyle w:val="ListBullet"/>
      </w:pPr>
      <w:r>
        <w:t>Translate energy savings to CO2e and other metrics (e.g., NOx if relevant) with uncertainty bounds.</w:t>
      </w:r>
    </w:p>
    <w:p>
      <w:pPr>
        <w:pStyle w:val="ListBullet"/>
      </w:pPr>
      <w:r>
        <w:t>Provide reporting formats aligned to internal ESG reporting and external frameworks where applicable.</w:t>
      </w:r>
    </w:p>
    <w:p>
      <w:pPr>
        <w:pStyle w:val="ListBullet"/>
      </w:pPr>
      <w:r>
        <w:t>Primary artifacts:</w:t>
      </w:r>
    </w:p>
    <w:p>
      <w:pPr>
        <w:pStyle w:val="ListBullet2"/>
      </w:pPr>
      <w:r>
        <w:t>Emissions factor registry</w:t>
      </w:r>
    </w:p>
    <w:p>
      <w:pPr>
        <w:pStyle w:val="ListBullet2"/>
      </w:pPr>
      <w:r>
        <w:t>CO2e calculation methodology note</w:t>
      </w:r>
    </w:p>
    <w:p>
      <w:pPr>
        <w:pStyle w:val="ListBullet2"/>
      </w:pPr>
      <w:r>
        <w:t>Audit-ready climate impact report template</w:t>
      </w:r>
    </w:p>
    <w:p>
      <w:pPr>
        <w:pStyle w:val="Heading2"/>
      </w:pPr>
      <w:r>
        <w:t>12.8 Security, Governance, and QA</w:t>
      </w:r>
    </w:p>
    <w:p>
      <w:pPr>
        <w:pStyle w:val="ListBullet"/>
      </w:pPr>
      <w:r>
        <w:t>Implement role-based access control and OT/IT segmentation controls for OPC-UA and data pipelines.</w:t>
      </w:r>
    </w:p>
    <w:p>
      <w:pPr>
        <w:pStyle w:val="ListBullet"/>
      </w:pPr>
      <w:r>
        <w:t>Ensure all optimization runs are auditable (inputs, versions, approvals).</w:t>
      </w:r>
    </w:p>
    <w:p>
      <w:pPr>
        <w:pStyle w:val="ListBullet"/>
      </w:pPr>
      <w:r>
        <w:t>Maintain change control for solver versions, property packages, and constraint standards.</w:t>
      </w:r>
    </w:p>
    <w:p>
      <w:pPr>
        <w:pStyle w:val="ListBullet"/>
      </w:pPr>
      <w:r>
        <w:t>Execute validation: compare against known pinch/HEN benchmark cases and site historical performance.</w:t>
      </w:r>
    </w:p>
    <w:p>
      <w:pPr>
        <w:pStyle w:val="ListBullet"/>
      </w:pPr>
      <w:r>
        <w:t>Define and enforce release gates (no production deployment without passing deterministic regression suite).</w:t>
      </w:r>
    </w:p>
    <w:p/>
    <w:p>
      <w:pPr>
        <w:pStyle w:val="Heading1"/>
      </w:pPr>
      <w:r>
        <w:t>13. Outputs, Reports, and User-Facing Artifacts</w:t>
      </w:r>
    </w:p>
    <w:p>
      <w:r>
        <w:t>GL-006 produces both machine-readable outputs (for integration) and human-readable reports (for engineering review). All outputs must reference the originating optimization run ID and input fingerprint.</w:t>
      </w:r>
    </w:p>
    <w:p>
      <w:pPr>
        <w:pStyle w:val="Heading2"/>
      </w:pPr>
      <w:r>
        <w:t>13.1 Machine-readable outputs</w:t>
      </w:r>
    </w:p>
    <w:p>
      <w:pPr>
        <w:pStyle w:val="ListBullet"/>
      </w:pPr>
      <w:r>
        <w:t>Pinch targets: QH_min, QC_min, pinch temperature, composite curve coordinates.</w:t>
      </w:r>
    </w:p>
    <w:p>
      <w:pPr>
        <w:pStyle w:val="ListBullet"/>
      </w:pPr>
      <w:r>
        <w:t>HEN design: list of exchangers with hot/cold stream IDs, duties, inlet/outlet temperatures, UA/area, ΔP estimates.</w:t>
      </w:r>
    </w:p>
    <w:p>
      <w:pPr>
        <w:pStyle w:val="ListBullet"/>
      </w:pPr>
      <w:r>
        <w:t>Pareto set: objective values and constraint slacks for each Pareto point.</w:t>
      </w:r>
    </w:p>
    <w:p>
      <w:pPr>
        <w:pStyle w:val="ListBullet"/>
      </w:pPr>
      <w:r>
        <w:t>Economics: capex breakdown, annual savings, payback, NPV/IRR assumptions.</w:t>
      </w:r>
    </w:p>
    <w:p>
      <w:pPr>
        <w:pStyle w:val="ListBullet"/>
      </w:pPr>
      <w:r>
        <w:t>Explainability artifacts: SHAP/LIME values, feature definitions, model metadata, causal effect estimates.</w:t>
      </w:r>
    </w:p>
    <w:p>
      <w:pPr>
        <w:pStyle w:val="ListBullet"/>
      </w:pPr>
      <w:r>
        <w:t>UQ: scenario results, confidence intervals, robustness scores.</w:t>
      </w:r>
    </w:p>
    <w:p>
      <w:pPr>
        <w:pStyle w:val="Heading2"/>
      </w:pPr>
      <w:r>
        <w:t>13.2 Human-readable reports (standard pack)</w:t>
      </w:r>
    </w:p>
    <w:p>
      <w:pPr>
        <w:pStyle w:val="ListBullet"/>
      </w:pPr>
      <w:r>
        <w:t>Executive summary: headline savings, capex, ROI, CO2e impact, and key risks/constraints.</w:t>
      </w:r>
    </w:p>
    <w:p>
      <w:pPr>
        <w:pStyle w:val="ListBullet"/>
      </w:pPr>
      <w:r>
        <w:t>Pinch analysis report: stream data, ΔTmin, composite curves, pinch point, utility targets.</w:t>
      </w:r>
    </w:p>
    <w:p>
      <w:pPr>
        <w:pStyle w:val="ListBullet"/>
      </w:pPr>
      <w:r>
        <w:t>HEN design report: exchanger matches, duties, temperature profiles, feasibility checks, retrofit notes.</w:t>
      </w:r>
    </w:p>
    <w:p>
      <w:pPr>
        <w:pStyle w:val="ListBullet"/>
      </w:pPr>
      <w:r>
        <w:t>Exergy report: exergy destruction by exchanger and by utility; improvement opportunities.</w:t>
      </w:r>
    </w:p>
    <w:p>
      <w:pPr>
        <w:pStyle w:val="ListBullet"/>
      </w:pPr>
      <w:r>
        <w:t>Economic report: cost model assumptions, sensitivity, scenario results, and recommended investment decision.</w:t>
      </w:r>
    </w:p>
    <w:p>
      <w:pPr>
        <w:pStyle w:val="ListBullet"/>
      </w:pPr>
      <w:r>
        <w:t>Explainability report: rationale, SHAP/LIME sensitivity plots/tables, causal graph, counterfactuals.</w:t>
      </w:r>
    </w:p>
    <w:p>
      <w:pPr>
        <w:pStyle w:val="ListBullet"/>
      </w:pPr>
      <w:r>
        <w:t>Uncertainty report: ranges, confidence intervals, and robustness of recommended design.</w:t>
      </w:r>
    </w:p>
    <w:p>
      <w:pPr>
        <w:pStyle w:val="Heading2"/>
      </w:pPr>
      <w:r>
        <w:t>13.3 Report generation rules (audit-safe)</w:t>
      </w:r>
    </w:p>
    <w:p>
      <w:pPr>
        <w:pStyle w:val="ListBullet"/>
      </w:pPr>
      <w:r>
        <w:t>Numeric values come only from calculation outputs or stored inputs (Section 9.3).</w:t>
      </w:r>
    </w:p>
    <w:p>
      <w:pPr>
        <w:pStyle w:val="ListBullet"/>
      </w:pPr>
      <w:r>
        <w:t>Every report includes run ID, timestamps, data window, and version IDs.</w:t>
      </w:r>
    </w:p>
    <w:p>
      <w:pPr>
        <w:pStyle w:val="ListBullet"/>
      </w:pPr>
      <w:r>
        <w:t>All charts/tables in reports are generated from the stored result dataset; no manual edits.</w:t>
      </w:r>
    </w:p>
    <w:p>
      <w:pPr>
        <w:pStyle w:val="ListBullet"/>
      </w:pPr>
      <w:r>
        <w:t>Where assumptions are used (e.g., capex factors), they must be explicit and parameterized.</w:t>
      </w:r>
    </w:p>
    <w:p/>
    <w:p>
      <w:pPr>
        <w:pStyle w:val="Heading1"/>
      </w:pPr>
      <w:r>
        <w:t>14. Verification, Validation, and Release Gates</w:t>
      </w:r>
    </w:p>
    <w:p>
      <w:r>
        <w:t>Because GL-006 informs engineering decisions and capital deployment, verification and validation (V&amp;V) is mandatory. The system must provide evidence that calculations are correct, stable, and reproducible.</w:t>
      </w:r>
    </w:p>
    <w:p>
      <w:pPr>
        <w:pStyle w:val="Heading2"/>
      </w:pPr>
      <w:r>
        <w:t>14.1 Required test layers</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fill="1F4E79"/>
            <w:vAlign w:val="center"/>
          </w:tcPr>
          <w:p>
            <w:pPr>
              <w:jc w:val="center"/>
            </w:pPr>
            <w:r/>
            <w:r>
              <w:rPr>
                <w:rStyle w:val="TableHeader"/>
                <w:b w:val="0"/>
              </w:rPr>
              <w:t>Test layer</w:t>
            </w:r>
          </w:p>
        </w:tc>
        <w:tc>
          <w:tcPr>
            <w:tcW w:type="dxa" w:w="6480"/>
            <w:shd w:fill="1F4E79"/>
            <w:vAlign w:val="center"/>
          </w:tcPr>
          <w:p>
            <w:pPr>
              <w:jc w:val="center"/>
            </w:pPr>
            <w:r/>
            <w:r>
              <w:rPr>
                <w:rStyle w:val="TableHeader"/>
                <w:b w:val="0"/>
              </w:rPr>
              <w:t>Minimum coverage</w:t>
            </w:r>
          </w:p>
        </w:tc>
      </w:tr>
      <w:tr>
        <w:tc>
          <w:tcPr>
            <w:tcW w:type="dxa" w:w="2880"/>
            <w:vAlign w:val="top"/>
          </w:tcPr>
          <w:p>
            <w:r>
              <w:t>Unit tests</w:t>
            </w:r>
          </w:p>
        </w:tc>
        <w:tc>
          <w:tcPr>
            <w:tcW w:type="dxa" w:w="6480"/>
            <w:vAlign w:val="top"/>
          </w:tcPr>
          <w:p>
            <w:r>
              <w:t>Energy balance, temperature shifting, composite curve construction, LMTD/NTU calculations, exergy formulas.</w:t>
            </w:r>
          </w:p>
        </w:tc>
      </w:tr>
      <w:tr>
        <w:tc>
          <w:tcPr>
            <w:tcW w:type="dxa" w:w="2880"/>
            <w:vAlign w:val="top"/>
          </w:tcPr>
          <w:p>
            <w:r>
              <w:t>Golden-case regression</w:t>
            </w:r>
          </w:p>
        </w:tc>
        <w:tc>
          <w:tcPr>
            <w:tcW w:type="dxa" w:w="6480"/>
            <w:vAlign w:val="top"/>
          </w:tcPr>
          <w:p>
            <w:r>
              <w:t>Known published pinch/HEN problems and internally curated plant cases; results must match expected within tolerances.</w:t>
            </w:r>
          </w:p>
        </w:tc>
      </w:tr>
      <w:tr>
        <w:tc>
          <w:tcPr>
            <w:tcW w:type="dxa" w:w="2880"/>
            <w:vAlign w:val="top"/>
          </w:tcPr>
          <w:p>
            <w:r>
              <w:t>Integration tests</w:t>
            </w:r>
          </w:p>
        </w:tc>
        <w:tc>
          <w:tcPr>
            <w:tcW w:type="dxa" w:w="6480"/>
            <w:vAlign w:val="top"/>
          </w:tcPr>
          <w:p>
            <w:r>
              <w:t>OPC-UA ingestion -&gt; Kafka -&gt; canonicalization -&gt; optimization -&gt; GraphQL; include schema evolution tests.</w:t>
            </w:r>
          </w:p>
        </w:tc>
      </w:tr>
      <w:tr>
        <w:tc>
          <w:tcPr>
            <w:tcW w:type="dxa" w:w="2880"/>
            <w:vAlign w:val="top"/>
          </w:tcPr>
          <w:p>
            <w:r>
              <w:t>Performance tests</w:t>
            </w:r>
          </w:p>
        </w:tc>
        <w:tc>
          <w:tcPr>
            <w:tcW w:type="dxa" w:w="6480"/>
            <w:vAlign w:val="top"/>
          </w:tcPr>
          <w:p>
            <w:r>
              <w:t>Time-to-solution under representative problem sizes; ensure bounded runtime for operational mode.</w:t>
            </w:r>
          </w:p>
        </w:tc>
      </w:tr>
      <w:tr>
        <w:tc>
          <w:tcPr>
            <w:tcW w:type="dxa" w:w="2880"/>
            <w:vAlign w:val="top"/>
          </w:tcPr>
          <w:p>
            <w:r>
              <w:t>Robustness tests</w:t>
            </w:r>
          </w:p>
        </w:tc>
        <w:tc>
          <w:tcPr>
            <w:tcW w:type="dxa" w:w="6480"/>
            <w:vAlign w:val="top"/>
          </w:tcPr>
          <w:p>
            <w:r>
              <w:t>Input noise and missing data scenarios; confirm fail-closed behavior and no silent misuse of data.</w:t>
            </w:r>
          </w:p>
        </w:tc>
      </w:tr>
      <w:tr>
        <w:tc>
          <w:tcPr>
            <w:tcW w:type="dxa" w:w="2880"/>
            <w:vAlign w:val="top"/>
          </w:tcPr>
          <w:p>
            <w:r>
              <w:t>Security tests</w:t>
            </w:r>
          </w:p>
        </w:tc>
        <w:tc>
          <w:tcPr>
            <w:tcW w:type="dxa" w:w="6480"/>
            <w:vAlign w:val="top"/>
          </w:tcPr>
          <w:p>
            <w:r>
              <w:t>AuthZ/AuthN, network segmentation validation, and audit log completeness.</w:t>
            </w:r>
          </w:p>
        </w:tc>
      </w:tr>
    </w:tbl>
    <w:p>
      <w:pPr>
        <w:pStyle w:val="Heading2"/>
      </w:pPr>
      <w:r>
        <w:t>14.2 Acceptance criteria (example)</w:t>
      </w:r>
    </w:p>
    <w:p>
      <w:pPr>
        <w:pStyle w:val="ListBullet"/>
      </w:pPr>
      <w:r>
        <w:t>Pinch targets reproduce benchmark values within agreed tolerance (e.g., &lt;= 1% error on QH_min/QC_min).</w:t>
      </w:r>
    </w:p>
    <w:p>
      <w:pPr>
        <w:pStyle w:val="ListBullet"/>
      </w:pPr>
      <w:r>
        <w:t>All recommended designs satisfy ΔTmin, temperature feasibility, and equipment constraints with zero violations.</w:t>
      </w:r>
    </w:p>
    <w:p>
      <w:pPr>
        <w:pStyle w:val="ListBullet"/>
      </w:pPr>
      <w:r>
        <w:t>Economic outputs (TAC, payback) match independent spreadsheet checks for at least a representative sample of cases.</w:t>
      </w:r>
    </w:p>
    <w:p>
      <w:pPr>
        <w:pStyle w:val="ListBullet"/>
      </w:pPr>
      <w:r>
        <w:t>Determinism: repeated runs with identical inputs produce identical outputs (hash match) within solver tolerance policy.</w:t>
      </w:r>
    </w:p>
    <w:p>
      <w:pPr>
        <w:pStyle w:val="ListBullet"/>
      </w:pPr>
      <w:r>
        <w:t>Explainability pack produced for each approved recommendation and passes guardrail tests (no fabricated numbers).</w:t>
      </w:r>
    </w:p>
    <w:p>
      <w:pPr>
        <w:pStyle w:val="Heading2"/>
      </w:pPr>
      <w:r>
        <w:t>14.3 Operational monitoring</w:t>
      </w:r>
    </w:p>
    <w:p>
      <w:pPr>
        <w:pStyle w:val="ListBullet"/>
      </w:pPr>
      <w:r>
        <w:t>Monitor realized heat recovery vs predicted, and track deviations.</w:t>
      </w:r>
    </w:p>
    <w:p>
      <w:pPr>
        <w:pStyle w:val="ListBullet"/>
      </w:pPr>
      <w:r>
        <w:t>Track fouling model performance (predicted vs observed UA decline).</w:t>
      </w:r>
    </w:p>
    <w:p>
      <w:pPr>
        <w:pStyle w:val="ListBullet"/>
      </w:pPr>
      <w:r>
        <w:t>Monitor constraint violation alarms (should be zero for deployed recommendations).</w:t>
      </w:r>
    </w:p>
    <w:p>
      <w:pPr>
        <w:pStyle w:val="ListBullet"/>
      </w:pPr>
      <w:r>
        <w:t>Track data quality metrics and missingness over time.</w:t>
      </w:r>
    </w:p>
    <w:p>
      <w:pPr>
        <w:pStyle w:val="ListBullet"/>
      </w:pPr>
      <w:r>
        <w:t>Track optimization runtime, solver failures, and fallback rates.</w:t>
      </w:r>
    </w:p>
    <w:p/>
    <w:p>
      <w:pPr>
        <w:pStyle w:val="Heading1"/>
      </w:pPr>
      <w:r>
        <w:t>15. Security, Compliance, and Governance</w:t>
      </w:r>
    </w:p>
    <w:p>
      <w:r>
        <w:t>GL-006 bridges OT and IT domains. Security and governance must be designed-in, not bolted on.</w:t>
      </w:r>
    </w:p>
    <w:p>
      <w:pPr>
        <w:pStyle w:val="ListBullet"/>
      </w:pPr>
      <w:r>
        <w:t>Network segmentation: OT ingestion services reside in a secured DMZ; no direct inbound traffic from IT to OT.</w:t>
      </w:r>
    </w:p>
    <w:p>
      <w:pPr>
        <w:pStyle w:val="ListBullet"/>
      </w:pPr>
      <w:r>
        <w:t>Least privilege: role-based access control on APIs, topic ACLs on Kafka, and certificate-based auth for OPC-UA.</w:t>
      </w:r>
    </w:p>
    <w:p>
      <w:pPr>
        <w:pStyle w:val="ListBullet"/>
      </w:pPr>
      <w:r>
        <w:t>Auditability: immutable logs of who ran what optimization, with which inputs, and who approved deployment.</w:t>
      </w:r>
    </w:p>
    <w:p>
      <w:pPr>
        <w:pStyle w:val="ListBullet"/>
      </w:pPr>
      <w:r>
        <w:t>Change control: property packages, ΔTmin standards, solver versions, and cost models are versioned and require approval to change.</w:t>
      </w:r>
    </w:p>
    <w:p>
      <w:pPr>
        <w:pStyle w:val="ListBullet"/>
      </w:pPr>
      <w:r>
        <w:t>Data retention: define retention for raw OT data, canonical datasets, and results; align with site policies.</w:t>
      </w:r>
    </w:p>
    <w:p>
      <w:pPr>
        <w:pStyle w:val="ListBullet"/>
      </w:pPr>
      <w:r>
        <w:t>Safety management: recommendations that change operating setpoints require MOC (management of change) workflow integration.</w:t>
      </w:r>
    </w:p>
    <w:p/>
    <w:p>
      <w:pPr>
        <w:pStyle w:val="Heading1"/>
      </w:pPr>
      <w:r>
        <w:t>16. Glossary and Abbreviations</w:t>
      </w:r>
    </w:p>
    <w:tbl>
      <w:tblPr>
        <w:tblStyle w:val="TableGrid"/>
        <w:tblW w:type="auto" w:w="0"/>
        <w:jc w:val="center"/>
        <w:tblLayout w:type="fixed"/>
        <w:tblLook w:firstColumn="1" w:firstRow="1" w:lastColumn="0" w:lastRow="0" w:noHBand="0" w:noVBand="1" w:val="04A0"/>
      </w:tblPr>
      <w:tblGrid>
        <w:gridCol w:w="4680"/>
        <w:gridCol w:w="4680"/>
      </w:tblGrid>
      <w:tr>
        <w:tc>
          <w:tcPr>
            <w:tcW w:type="dxa" w:w="2304"/>
            <w:shd w:fill="1F4E79"/>
            <w:vAlign w:val="center"/>
          </w:tcPr>
          <w:p>
            <w:pPr>
              <w:jc w:val="center"/>
            </w:pPr>
            <w:r/>
            <w:r>
              <w:rPr>
                <w:rStyle w:val="TableHeader"/>
                <w:b w:val="0"/>
              </w:rPr>
              <w:t>Term</w:t>
            </w:r>
          </w:p>
        </w:tc>
        <w:tc>
          <w:tcPr>
            <w:tcW w:type="dxa" w:w="7056"/>
            <w:shd w:fill="1F4E79"/>
            <w:vAlign w:val="center"/>
          </w:tcPr>
          <w:p>
            <w:pPr>
              <w:jc w:val="center"/>
            </w:pPr>
            <w:r/>
            <w:r>
              <w:rPr>
                <w:rStyle w:val="TableHeader"/>
                <w:b w:val="0"/>
              </w:rPr>
              <w:t>Definition</w:t>
            </w:r>
          </w:p>
        </w:tc>
      </w:tr>
      <w:tr>
        <w:tc>
          <w:tcPr>
            <w:tcW w:type="dxa" w:w="2304"/>
            <w:vAlign w:val="top"/>
          </w:tcPr>
          <w:p>
            <w:r>
              <w:t>ΔTmin</w:t>
            </w:r>
          </w:p>
        </w:tc>
        <w:tc>
          <w:tcPr>
            <w:tcW w:type="dxa" w:w="7056"/>
            <w:vAlign w:val="top"/>
          </w:tcPr>
          <w:p>
            <w:r>
              <w:t>Minimum approach temperature used in pinch analysis and exchanger feasibility.</w:t>
            </w:r>
          </w:p>
        </w:tc>
      </w:tr>
      <w:tr>
        <w:tc>
          <w:tcPr>
            <w:tcW w:type="dxa" w:w="2304"/>
            <w:vAlign w:val="top"/>
          </w:tcPr>
          <w:p>
            <w:r>
              <w:t>HEN</w:t>
            </w:r>
          </w:p>
        </w:tc>
        <w:tc>
          <w:tcPr>
            <w:tcW w:type="dxa" w:w="7056"/>
            <w:vAlign w:val="top"/>
          </w:tcPr>
          <w:p>
            <w:r>
              <w:t>Heat Exchanger Network.</w:t>
            </w:r>
          </w:p>
        </w:tc>
      </w:tr>
      <w:tr>
        <w:tc>
          <w:tcPr>
            <w:tcW w:type="dxa" w:w="2304"/>
            <w:vAlign w:val="top"/>
          </w:tcPr>
          <w:p>
            <w:r>
              <w:t>Pinch analysis</w:t>
            </w:r>
          </w:p>
        </w:tc>
        <w:tc>
          <w:tcPr>
            <w:tcW w:type="dxa" w:w="7056"/>
            <w:vAlign w:val="top"/>
          </w:tcPr>
          <w:p>
            <w:r>
              <w:t>Method to determine minimum hot/cold utility requirements and guide HEN design.</w:t>
            </w:r>
          </w:p>
        </w:tc>
      </w:tr>
      <w:tr>
        <w:tc>
          <w:tcPr>
            <w:tcW w:type="dxa" w:w="2304"/>
            <w:vAlign w:val="top"/>
          </w:tcPr>
          <w:p>
            <w:r>
              <w:t>Exergy</w:t>
            </w:r>
          </w:p>
        </w:tc>
        <w:tc>
          <w:tcPr>
            <w:tcW w:type="dxa" w:w="7056"/>
            <w:vAlign w:val="top"/>
          </w:tcPr>
          <w:p>
            <w:r>
              <w:t>Maximum useful work potential; second-law metric of energy quality.</w:t>
            </w:r>
          </w:p>
        </w:tc>
      </w:tr>
      <w:tr>
        <w:tc>
          <w:tcPr>
            <w:tcW w:type="dxa" w:w="2304"/>
            <w:vAlign w:val="top"/>
          </w:tcPr>
          <w:p>
            <w:r>
              <w:t>Exergy destruction</w:t>
            </w:r>
          </w:p>
        </w:tc>
        <w:tc>
          <w:tcPr>
            <w:tcW w:type="dxa" w:w="7056"/>
            <w:vAlign w:val="top"/>
          </w:tcPr>
          <w:p>
            <w:r>
              <w:t>Irreversibility quantified as T0 * entropy generation.</w:t>
            </w:r>
          </w:p>
        </w:tc>
      </w:tr>
      <w:tr>
        <w:tc>
          <w:tcPr>
            <w:tcW w:type="dxa" w:w="2304"/>
            <w:vAlign w:val="top"/>
          </w:tcPr>
          <w:p>
            <w:r>
              <w:t>SHAP</w:t>
            </w:r>
          </w:p>
        </w:tc>
        <w:tc>
          <w:tcPr>
            <w:tcW w:type="dxa" w:w="7056"/>
            <w:vAlign w:val="top"/>
          </w:tcPr>
          <w:p>
            <w:r>
              <w:t>SHapley Additive exPlanations; feature attribution method.</w:t>
            </w:r>
          </w:p>
        </w:tc>
      </w:tr>
      <w:tr>
        <w:tc>
          <w:tcPr>
            <w:tcW w:type="dxa" w:w="2304"/>
            <w:vAlign w:val="top"/>
          </w:tcPr>
          <w:p>
            <w:r>
              <w:t>LIME</w:t>
            </w:r>
          </w:p>
        </w:tc>
        <w:tc>
          <w:tcPr>
            <w:tcW w:type="dxa" w:w="7056"/>
            <w:vAlign w:val="top"/>
          </w:tcPr>
          <w:p>
            <w:r>
              <w:t>Local Interpretable Model-agnostic Explanations; local surrogate explanation method.</w:t>
            </w:r>
          </w:p>
        </w:tc>
      </w:tr>
      <w:tr>
        <w:tc>
          <w:tcPr>
            <w:tcW w:type="dxa" w:w="2304"/>
            <w:vAlign w:val="top"/>
          </w:tcPr>
          <w:p>
            <w:r>
              <w:t>OPC-UA</w:t>
            </w:r>
          </w:p>
        </w:tc>
        <w:tc>
          <w:tcPr>
            <w:tcW w:type="dxa" w:w="7056"/>
            <w:vAlign w:val="top"/>
          </w:tcPr>
          <w:p>
            <w:r>
              <w:t>OPC Unified Architecture; industrial data interoperability standard.</w:t>
            </w:r>
          </w:p>
        </w:tc>
      </w:tr>
      <w:tr>
        <w:tc>
          <w:tcPr>
            <w:tcW w:type="dxa" w:w="2304"/>
            <w:vAlign w:val="top"/>
          </w:tcPr>
          <w:p>
            <w:r>
              <w:t>Kafka</w:t>
            </w:r>
          </w:p>
        </w:tc>
        <w:tc>
          <w:tcPr>
            <w:tcW w:type="dxa" w:w="7056"/>
            <w:vAlign w:val="top"/>
          </w:tcPr>
          <w:p>
            <w:r>
              <w:t>Distributed streaming platform used for event and data transport.</w:t>
            </w:r>
          </w:p>
        </w:tc>
      </w:tr>
      <w:tr>
        <w:tc>
          <w:tcPr>
            <w:tcW w:type="dxa" w:w="2304"/>
            <w:vAlign w:val="top"/>
          </w:tcPr>
          <w:p>
            <w:r>
              <w:t>GraphQL</w:t>
            </w:r>
          </w:p>
        </w:tc>
        <w:tc>
          <w:tcPr>
            <w:tcW w:type="dxa" w:w="7056"/>
            <w:vAlign w:val="top"/>
          </w:tcPr>
          <w:p>
            <w:r>
              <w:t>API query language used to serve results in a flexible schema.</w:t>
            </w:r>
          </w:p>
        </w:tc>
      </w:tr>
      <w:tr>
        <w:tc>
          <w:tcPr>
            <w:tcW w:type="dxa" w:w="2304"/>
            <w:vAlign w:val="top"/>
          </w:tcPr>
          <w:p>
            <w:r>
              <w:t>TAC</w:t>
            </w:r>
          </w:p>
        </w:tc>
        <w:tc>
          <w:tcPr>
            <w:tcW w:type="dxa" w:w="7056"/>
            <w:vAlign w:val="top"/>
          </w:tcPr>
          <w:p>
            <w:r>
              <w:t>Total annual cost.</w:t>
            </w:r>
          </w:p>
        </w:tc>
      </w:tr>
      <w:tr>
        <w:tc>
          <w:tcPr>
            <w:tcW w:type="dxa" w:w="2304"/>
            <w:vAlign w:val="top"/>
          </w:tcPr>
          <w:p>
            <w:r>
              <w:t>UQ</w:t>
            </w:r>
          </w:p>
        </w:tc>
        <w:tc>
          <w:tcPr>
            <w:tcW w:type="dxa" w:w="7056"/>
            <w:vAlign w:val="top"/>
          </w:tcPr>
          <w:p>
            <w:r>
              <w:t>Uncertainty quantification.</w:t>
            </w:r>
          </w:p>
        </w:tc>
      </w:tr>
    </w:tbl>
    <w:p>
      <w:pPr>
        <w:pStyle w:val="Heading1"/>
      </w:pPr>
      <w:r>
        <w:t>17. Appendices</w:t>
      </w:r>
    </w:p>
    <w:p>
      <w:pPr>
        <w:pStyle w:val="Heading2"/>
      </w:pPr>
      <w:r>
        <w:t>17.1 Example canonical JSON (stream record)</w:t>
      </w:r>
    </w:p>
    <w:p>
      <w:pPr>
        <w:pStyle w:val="CodeBlock"/>
      </w:pPr>
      <w:r>
        <w:t>{</w:t>
        <w:br/>
        <w:t xml:space="preserve">  "stream_id": "H-101",</w:t>
        <w:br/>
        <w:t xml:space="preserve">  "stream_type": "Hot",</w:t>
        <w:br/>
        <w:t xml:space="preserve">  "fluid_name": "FlueGas",</w:t>
        <w:br/>
        <w:t xml:space="preserve">  "phase": "Gas",</w:t>
        <w:br/>
        <w:t xml:space="preserve">  "T_supply_C": 320.0,</w:t>
        <w:br/>
        <w:t xml:space="preserve">  "T_target_C": 140.0,</w:t>
        <w:br/>
        <w:t xml:space="preserve">  "m_dot_kg_s": 8.5,</w:t>
        <w:br/>
        <w:t xml:space="preserve">  "Cp_kJ_kgK": 1.08,</w:t>
        <w:br/>
        <w:t xml:space="preserve">  "pressure_kPa": 105.0,</w:t>
        <w:br/>
        <w:t xml:space="preserve">  "fouling_factor_m2K_W": 0.0002,</w:t>
        <w:br/>
        <w:t xml:space="preserve">  "availability": 0.95,</w:t>
        <w:br/>
        <w:t xml:space="preserve">  "min_approach_C": 10.0,</w:t>
        <w:br/>
        <w:t xml:space="preserve">  "constraints": {</w:t>
        <w:br/>
        <w:t xml:space="preserve">    "max_dp_kPa": 5.0,</w:t>
        <w:br/>
        <w:t xml:space="preserve">    "min_outlet_C": 120.0</w:t>
        <w:br/>
        <w:t xml:space="preserve">  }</w:t>
        <w:br/>
        <w:t>}</w:t>
      </w:r>
    </w:p>
    <w:p>
      <w:pPr>
        <w:pStyle w:val="Heading2"/>
      </w:pPr>
      <w:r>
        <w:t>17.2 Example GraphQL query (retrieve a Pareto set)</w:t>
      </w:r>
    </w:p>
    <w:p>
      <w:pPr>
        <w:pStyle w:val="CodeBlock"/>
      </w:pPr>
      <w:r>
        <w:t>query GetPareto($runId: ID!) {</w:t>
        <w:br/>
        <w:t xml:space="preserve">  optimizationRun(id: $runId) {</w:t>
        <w:br/>
        <w:t xml:space="preserve">    id</w:t>
        <w:br/>
        <w:t xml:space="preserve">    createdAt</w:t>
        <w:br/>
        <w:t xml:space="preserve">    scenarioId</w:t>
        <w:br/>
        <w:t xml:space="preserve">    paretoPoints {</w:t>
        <w:br/>
        <w:t xml:space="preserve">      pointId</w:t>
        <w:br/>
        <w:t xml:space="preserve">      objectives { tac recoveredHeat exergyDestroyed co2e }</w:t>
        <w:br/>
        <w:t xml:space="preserve">      designSummary { exchangerCount newEquipmentCount }</w:t>
        <w:br/>
        <w:t xml:space="preserve">      constraints { maxViolation }</w:t>
        <w:br/>
        <w:t xml:space="preserve">    }</w:t>
        <w:br/>
        <w:t xml:space="preserve">  }</w:t>
        <w:br/>
        <w:t>}</w:t>
      </w:r>
    </w:p>
    <w:p>
      <w:pPr>
        <w:pStyle w:val="Heading2"/>
      </w:pPr>
      <w:r>
        <w:t>17.3 Run record (audit fields)</w:t>
      </w:r>
    </w:p>
    <w:p>
      <w:pPr>
        <w:pStyle w:val="ListBullet"/>
      </w:pPr>
      <w:r>
        <w:t>run_id, created_at, created_by</w:t>
      </w:r>
    </w:p>
    <w:p>
      <w:pPr>
        <w:pStyle w:val="ListBullet"/>
      </w:pPr>
      <w:r>
        <w:t>input_dataset_hash, input_time_window, source_system_versions</w:t>
      </w:r>
    </w:p>
    <w:p>
      <w:pPr>
        <w:pStyle w:val="ListBullet"/>
      </w:pPr>
      <w:r>
        <w:t>configuration_version (ΔTmin standard, property package, cost model version)</w:t>
      </w:r>
    </w:p>
    <w:p>
      <w:pPr>
        <w:pStyle w:val="ListBullet"/>
      </w:pPr>
      <w:r>
        <w:t>solver_version and tolerances</w:t>
      </w:r>
    </w:p>
    <w:p>
      <w:pPr>
        <w:pStyle w:val="ListBullet"/>
      </w:pPr>
      <w:r>
        <w:t>random_seed (if any stochastic components are used)</w:t>
      </w:r>
    </w:p>
    <w:p>
      <w:pPr>
        <w:pStyle w:val="ListBullet"/>
      </w:pPr>
      <w:r>
        <w:t>approval_record (engineer approver, timestamp, comments)</w:t>
      </w:r>
    </w:p>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t xml:space="preserve">Page </w:t>
    </w:r>
    <w:fldSimple w:instr="PAGE">
      <w:r>
        <w:t>1</w:t>
      </w:r>
    </w:fldSimple>
    <w:r>
      <w:t xml:space="preserve"> of </w:t>
    </w:r>
    <w:fldSimple w:instr="NUMPAGES">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pPr>
    <w:rPr>
      <w:rFonts w:ascii="Consolas" w:hAnsi="Consolas" w:eastAsia="Consolas"/>
      <w:sz w:val="19"/>
    </w:rPr>
  </w:style>
  <w:style w:type="paragraph" w:customStyle="1" w:styleId="Small">
    <w:name w:val="Small"/>
    <w:rPr>
      <w:rFonts w:ascii="Calibri" w:hAnsi="Calibri" w:eastAsia="Calibri"/>
      <w:sz w:val="18"/>
    </w:rPr>
  </w:style>
  <w:style w:type="character" w:customStyle="1" w:styleId="TableHeader">
    <w:name w:val="TableHeader"/>
    <w:rPr>
      <w:rFonts w:ascii="Calibri" w:hAnsi="Calibri" w:eastAsia="Calibri"/>
      <w:b/>
      <w:color w:val="FFFFF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