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GL-007 — FurnacePulse</w:t>
        <w:br/>
        <w:t>FurnacePerformanceMonitor</w:t>
      </w:r>
    </w:p>
    <w:p>
      <w:pPr>
        <w:jc w:val="center"/>
      </w:pPr>
      <w:r>
        <w:rPr>
          <w:sz w:val="28"/>
        </w:rPr>
        <w:t>Cross‑Functional Delivery Playbook &amp; System Requirements Specification (SRS)</w:t>
        <w:br/>
      </w:r>
    </w:p>
    <w:p>
      <w:pPr>
        <w:jc w:val="center"/>
      </w:pPr>
      <w:r>
        <w:rPr>
          <w:sz w:val="22"/>
        </w:rPr>
        <w:t>Furnace performance monitoring with NFPA 86-oriented compliance evidence, tube metal temperature tracking,</w:t>
        <w:br/>
        <w:t>predictive maintenance, explainability (SHAP/LIME), and integrated safety documentation (LOPA/HAZOP).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Agent ID</w:t>
            </w:r>
          </w:p>
        </w:tc>
        <w:tc>
          <w:tcPr>
            <w:tcW w:type="dxa" w:w="4320"/>
          </w:tcPr>
          <w:p>
            <w:r>
              <w:t>GL-007</w:t>
            </w:r>
          </w:p>
        </w:tc>
      </w:tr>
      <w:tr>
        <w:tc>
          <w:tcPr>
            <w:tcW w:type="dxa" w:w="4320"/>
          </w:tcPr>
          <w:p>
            <w:r>
              <w:t>Codename</w:t>
            </w:r>
          </w:p>
        </w:tc>
        <w:tc>
          <w:tcPr>
            <w:tcW w:type="dxa" w:w="4320"/>
          </w:tcPr>
          <w:p>
            <w:r>
              <w:t>FURNACEPULSE</w:t>
            </w:r>
          </w:p>
        </w:tc>
      </w:tr>
      <w:tr>
        <w:tc>
          <w:tcPr>
            <w:tcW w:type="dxa" w:w="4320"/>
          </w:tcPr>
          <w:p>
            <w:r>
              <w:t>Agent Name</w:t>
            </w:r>
          </w:p>
        </w:tc>
        <w:tc>
          <w:tcPr>
            <w:tcW w:type="dxa" w:w="4320"/>
          </w:tcPr>
          <w:p>
            <w:r>
              <w:t>FurnacePerformanceMonitor</w:t>
            </w:r>
          </w:p>
        </w:tc>
      </w:tr>
      <w:tr>
        <w:tc>
          <w:tcPr>
            <w:tcW w:type="dxa" w:w="4320"/>
          </w:tcPr>
          <w:p>
            <w:r>
              <w:t>Domain</w:t>
            </w:r>
          </w:p>
        </w:tc>
        <w:tc>
          <w:tcPr>
            <w:tcW w:type="dxa" w:w="4320"/>
          </w:tcPr>
          <w:p>
            <w:r>
              <w:t>Furnaces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Monitor</w:t>
            </w:r>
          </w:p>
        </w:tc>
      </w:tr>
      <w:tr>
        <w:tc>
          <w:tcPr>
            <w:tcW w:type="dxa" w:w="4320"/>
          </w:tcPr>
          <w:p>
            <w:r>
              <w:t>Complexity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P1</w:t>
            </w:r>
          </w:p>
        </w:tc>
      </w:tr>
      <w:tr>
        <w:tc>
          <w:tcPr>
            <w:tcW w:type="dxa" w:w="4320"/>
          </w:tcPr>
          <w:p>
            <w:r>
              <w:t>Value / Impact (placeholder)</w:t>
            </w:r>
          </w:p>
        </w:tc>
        <w:tc>
          <w:tcPr>
            <w:tcW w:type="dxa" w:w="4320"/>
          </w:tcPr>
          <w:p>
            <w:r>
              <w:t>$9B (as provided)</w:t>
            </w:r>
          </w:p>
        </w:tc>
      </w:tr>
      <w:tr>
        <w:tc>
          <w:tcPr>
            <w:tcW w:type="dxa" w:w="4320"/>
          </w:tcPr>
          <w:p>
            <w:r>
              <w:t>Target Quarter</w:t>
            </w:r>
          </w:p>
        </w:tc>
        <w:tc>
          <w:tcPr>
            <w:tcW w:type="dxa" w:w="4320"/>
          </w:tcPr>
          <w:p>
            <w:r>
              <w:t>Q1 2026</w:t>
            </w:r>
          </w:p>
        </w:tc>
      </w:tr>
      <w:tr>
        <w:tc>
          <w:tcPr>
            <w:tcW w:type="dxa" w:w="4320"/>
          </w:tcPr>
          <w:p>
            <w:r>
              <w:t>Maturity / Score (placeholder)</w:t>
            </w:r>
          </w:p>
        </w:tc>
        <w:tc>
          <w:tcPr>
            <w:tcW w:type="dxa" w:w="4320"/>
          </w:tcPr>
          <w:p>
            <w:r>
              <w:t>96 (as provided)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Implemented (as provided)</w:t>
            </w:r>
          </w:p>
        </w:tc>
      </w:tr>
      <w:tr>
        <w:tc>
          <w:tcPr>
            <w:tcW w:type="dxa" w:w="4320"/>
          </w:tcPr>
          <w:p>
            <w:r>
              <w:t>Key Inputs</w:t>
            </w:r>
          </w:p>
        </w:tc>
        <w:tc>
          <w:tcPr>
            <w:tcW w:type="dxa" w:w="4320"/>
          </w:tcPr>
          <w:p>
            <w:r>
              <w:t>Furnace temperature, fuel consumption, production output, tube temps, flame detection, draft pressure, refractory condition, operating hours</w:t>
            </w:r>
          </w:p>
        </w:tc>
      </w:tr>
      <w:tr>
        <w:tc>
          <w:tcPr>
            <w:tcW w:type="dxa" w:w="4320"/>
          </w:tcPr>
          <w:p>
            <w:r>
              <w:t>Key Outputs</w:t>
            </w:r>
          </w:p>
        </w:tc>
        <w:tc>
          <w:tcPr>
            <w:tcW w:type="dxa" w:w="4320"/>
          </w:tcPr>
          <w:p>
            <w:r>
              <w:t>Performance KPIs, maintenance alerts, efficiency trends, hotspot detection, compliance status, safety reports, explainability dashboards, RUL predictions</w:t>
            </w:r>
          </w:p>
        </w:tc>
      </w:tr>
      <w:tr>
        <w:tc>
          <w:tcPr>
            <w:tcW w:type="dxa" w:w="4320"/>
          </w:tcPr>
          <w:p>
            <w:r>
              <w:t>Integrations</w:t>
            </w:r>
          </w:p>
        </w:tc>
        <w:tc>
          <w:tcPr>
            <w:tcW w:type="dxa" w:w="4320"/>
          </w:tcPr>
          <w:p>
            <w:r>
              <w:t>Furnace controls, temperature sensors, IR cameras, OPC-UA, Kafka, CMMS</w:t>
            </w:r>
          </w:p>
        </w:tc>
      </w:tr>
      <w:tr>
        <w:tc>
          <w:tcPr>
            <w:tcW w:type="dxa" w:w="4320"/>
          </w:tcPr>
          <w:p>
            <w:r>
              <w:t>Document version</w:t>
            </w:r>
          </w:p>
        </w:tc>
        <w:tc>
          <w:tcPr>
            <w:tcW w:type="dxa" w:w="4320"/>
          </w:tcPr>
          <w:p>
            <w:r>
              <w:t>v1.1</w:t>
            </w:r>
          </w:p>
        </w:tc>
      </w:tr>
      <w:tr>
        <w:tc>
          <w:tcPr>
            <w:tcW w:type="dxa" w:w="4320"/>
          </w:tcPr>
          <w:p>
            <w:r>
              <w:t>Prepared on</w:t>
            </w:r>
          </w:p>
        </w:tc>
        <w:tc>
          <w:tcPr>
            <w:tcW w:type="dxa" w:w="4320"/>
          </w:tcPr>
          <w:p>
            <w:r>
              <w:t>December 18, 2025</w:t>
            </w:r>
          </w:p>
        </w:tc>
      </w:tr>
    </w:tbl>
    <w:p/>
    <w:p>
      <w:r>
        <w:rPr>
          <w:b/>
        </w:rPr>
        <w:t xml:space="preserve">Audience. </w:t>
      </w:r>
      <w:r>
        <w:t>AI/ML, data engineering, software development, OT/controls, process/thermal engineering, safety/PSM, reliability/maintenance, climate intelligence (energy/emissions), cybersecurity/IT, and operations leadership.</w:t>
      </w:r>
    </w:p>
    <w:p>
      <w:r>
        <w:rPr>
          <w:b/>
        </w:rPr>
        <w:t xml:space="preserve">Safety disclaimer. </w:t>
      </w:r>
      <w:r>
        <w:t>GL‑007 provides monitoring, analytics, and advisory recommendations. It must not replace or override certified protection systems (BMS/SIS/SIFs). Any compliance determination or safety decision requires qualified review using the official NFPA 86 edition and site procedures. This document is an engineering implementation guide, not a certification statement.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i/>
          <w:sz w:val="18"/>
        </w:rPr>
        <w:t>Word can generate an automatic table of contents from headings. In Word: References → Table of Contents → Insert/Update.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GL‑007 (FurnacePulse) is a furnace performance monitoring agent designed for industrial furnace environments. It unifies high-frequency OT telemetry and enterprise maintenance records to deliver actionable performance, safety, and reliability insights. The solution is built to be auditable, explainable, and integrable with existing OT/IT stacks.</w:t>
      </w:r>
    </w:p>
    <w:p>
      <w:pPr>
        <w:pStyle w:val="Heading2"/>
      </w:pPr>
      <w:r>
        <w:t>1.1 Primary Outcomes</w:t>
      </w:r>
    </w:p>
    <w:p>
      <w:pPr>
        <w:pStyle w:val="ListBullet"/>
      </w:pPr>
      <w:r>
        <w:t>Reduce energy consumption and improve thermal efficiency through continuous KPI tracking and root-cause analytics.</w:t>
      </w:r>
    </w:p>
    <w:p>
      <w:pPr>
        <w:pStyle w:val="ListBullet"/>
      </w:pPr>
      <w:r>
        <w:t>Prevent tube and refractory damage through early hotspot detection using tube metal temperatures (TMT) and IR thermography.</w:t>
      </w:r>
    </w:p>
    <w:p>
      <w:pPr>
        <w:pStyle w:val="ListBullet"/>
      </w:pPr>
      <w:r>
        <w:t>Improve maintenance effectiveness via predictive maintenance models and Remaining Useful Life (RUL) estimates integrated into CMMS.</w:t>
      </w:r>
    </w:p>
    <w:p>
      <w:pPr>
        <w:pStyle w:val="ListBullet"/>
      </w:pPr>
      <w:r>
        <w:t>Support NFPA 86-oriented compliance programs by generating evidence packages and visibility into safety-relevant states and overrides.</w:t>
      </w:r>
    </w:p>
    <w:p>
      <w:pPr>
        <w:pStyle w:val="ListBullet"/>
      </w:pPr>
      <w:r>
        <w:t>Enable trustworthy AI via SHAP/LIME explainability dashboards and model governance controls.</w:t>
      </w:r>
    </w:p>
    <w:p>
      <w:pPr>
        <w:pStyle w:val="ListBullet"/>
      </w:pPr>
      <w:r>
        <w:t>Provide safety workflow integration by linking alerts and evidence to HAZOP recommendations and LOPA protection layers.</w:t>
      </w:r>
    </w:p>
    <w:p>
      <w:pPr>
        <w:pStyle w:val="Heading2"/>
      </w:pPr>
      <w:r>
        <w:t>1.2 What Success Looks Like (Acceptance Summary)</w:t>
      </w:r>
    </w:p>
    <w:p>
      <w:pPr>
        <w:pStyle w:val="ListBullet"/>
      </w:pPr>
      <w:r>
        <w:t>Operators can see real-time furnace KPIs, hotspot risks, and alert status with &lt;1 minute end-to-end latency (target).</w:t>
      </w:r>
    </w:p>
    <w:p>
      <w:pPr>
        <w:pStyle w:val="ListBullet"/>
      </w:pPr>
      <w:r>
        <w:t>Reliability team receives RUL alerts with defined lead times and can generate CMMS work orders with supporting evidence in &lt;5 minutes.</w:t>
      </w:r>
    </w:p>
    <w:p>
      <w:pPr>
        <w:pStyle w:val="ListBullet"/>
      </w:pPr>
      <w:r>
        <w:t>Safety/PSM team can pull an auditable evidence package for any event, including timelines, signals, IR images, and model explanations.</w:t>
      </w:r>
    </w:p>
    <w:p>
      <w:pPr>
        <w:pStyle w:val="ListBullet"/>
      </w:pPr>
      <w:r>
        <w:t>All models have documented intended use, limitations, and traceable training data ranges (model cards).</w:t>
      </w:r>
    </w:p>
    <w:p>
      <w:pPr>
        <w:pStyle w:val="Heading1"/>
      </w:pPr>
      <w:r>
        <w:t>2. Scope, System Boundaries, and Assumptions</w:t>
      </w:r>
    </w:p>
    <w:p>
      <w:pPr>
        <w:pStyle w:val="Heading2"/>
      </w:pPr>
      <w:r>
        <w:t>2.1 In Scope</w:t>
      </w:r>
    </w:p>
    <w:p>
      <w:pPr>
        <w:pStyle w:val="ListBullet"/>
      </w:pPr>
      <w:r>
        <w:t>Read-only acquisition of furnace operational telemetry via OPC‑UA (and/or secure historians) and IR camera feeds.</w:t>
      </w:r>
    </w:p>
    <w:p>
      <w:pPr>
        <w:pStyle w:val="ListBullet"/>
      </w:pPr>
      <w:r>
        <w:t>Streaming and batch analytics for performance KPIs, hotspot detection, and predictive maintenance.</w:t>
      </w:r>
    </w:p>
    <w:p>
      <w:pPr>
        <w:pStyle w:val="ListBullet"/>
      </w:pPr>
      <w:r>
        <w:t>Dashboards, reports, and evidence packages for performance, maintenance, and compliance review.</w:t>
      </w:r>
    </w:p>
    <w:p>
      <w:pPr>
        <w:pStyle w:val="ListBullet"/>
      </w:pPr>
      <w:r>
        <w:t>Integration with CMMS for maintenance workflows and with Kafka for scalable data transport.</w:t>
      </w:r>
    </w:p>
    <w:p>
      <w:pPr>
        <w:pStyle w:val="Heading2"/>
      </w:pPr>
      <w:r>
        <w:t>2.2 Out of Scope (Must Not Happen)</w:t>
      </w:r>
    </w:p>
    <w:p>
      <w:pPr>
        <w:pStyle w:val="ListBullet"/>
      </w:pPr>
      <w:r>
        <w:t>Direct control of safety-critical actuators (fuel valves, purge valves, igniters, trip circuits).</w:t>
      </w:r>
    </w:p>
    <w:p>
      <w:pPr>
        <w:pStyle w:val="ListBullet"/>
      </w:pPr>
      <w:r>
        <w:t>Automatic bypassing or modification of interlocks/permissives.</w:t>
      </w:r>
    </w:p>
    <w:p>
      <w:pPr>
        <w:pStyle w:val="ListBullet"/>
      </w:pPr>
      <w:r>
        <w:t>Any claim of compliance certification without formal audit and qualified sign-off.</w:t>
      </w:r>
    </w:p>
    <w:p>
      <w:pPr>
        <w:pStyle w:val="Heading2"/>
      </w:pPr>
      <w:r>
        <w:t>2.3 Key Assumptions</w:t>
      </w:r>
    </w:p>
    <w:p>
      <w:pPr>
        <w:pStyle w:val="ListBullet"/>
      </w:pPr>
      <w:r>
        <w:t>Plant provides a tag list and access method (OPC‑UA endpoint or historian feed) with documented units and scaling.</w:t>
      </w:r>
    </w:p>
    <w:p>
      <w:pPr>
        <w:pStyle w:val="ListBullet"/>
      </w:pPr>
      <w:r>
        <w:t>Tube IDs and zone mapping exist (or will be created) to interpret TMT and IR imagery spatially.</w:t>
      </w:r>
    </w:p>
    <w:p>
      <w:pPr>
        <w:pStyle w:val="ListBullet"/>
      </w:pPr>
      <w:r>
        <w:t>CMMS contains at least 12–24 months of maintenance history for initial RUL baselines (if available).</w:t>
      </w:r>
    </w:p>
    <w:p>
      <w:pPr>
        <w:pStyle w:val="ListBullet"/>
      </w:pPr>
      <w:r>
        <w:t>Safety team provides site-specific compliance checklist and evidence requirements.</w:t>
      </w:r>
    </w:p>
    <w:p>
      <w:pPr>
        <w:pStyle w:val="Heading1"/>
      </w:pPr>
      <w:r>
        <w:t>3. Reference Architecture</w:t>
      </w:r>
    </w:p>
    <w:p>
      <w:r>
        <w:t>GL‑007 is implemented as an OT-to-IT analytics pipeline with strong governance, traceability, and segregation of duties. A recommended architecture is shown below.</w:t>
      </w:r>
    </w:p>
    <w:p>
      <w:r>
        <w:drawing>
          <wp:inline xmlns:a="http://schemas.openxmlformats.org/drawingml/2006/main" xmlns:pic="http://schemas.openxmlformats.org/drawingml/2006/picture">
            <wp:extent cx="6217920" cy="30841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007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84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 — GL‑007 high-level architecture (recommended).</w:t>
      </w:r>
    </w:p>
    <w:p>
      <w:r>
        <w:rPr>
          <w:i/>
          <w:sz w:val="18"/>
        </w:rPr>
        <w:t>Design rule: ML outputs are advisory and must not replace certified safety functions.</w:t>
      </w:r>
    </w:p>
    <w:p>
      <w:pPr>
        <w:pStyle w:val="Heading1"/>
      </w:pPr>
      <w:r>
        <w:t>4. Teams, Responsibilities, and Deliverables</w:t>
      </w:r>
    </w:p>
    <w:p>
      <w:r>
        <w:t>This section is written as a delivery contract. Each team should treat its subsection as a checklist of deliverables.</w:t>
      </w:r>
    </w:p>
    <w:p>
      <w:pPr>
        <w:pStyle w:val="Heading2"/>
      </w:pPr>
      <w:r>
        <w:t>4.1 AI/ML Team</w:t>
      </w:r>
    </w:p>
    <w:p>
      <w:pPr>
        <w:pStyle w:val="ListBullet"/>
      </w:pPr>
      <w:r>
        <w:t>Define use cases, labels, and success metrics per model (hotspots, efficiency degradation, RUL).</w:t>
      </w:r>
    </w:p>
    <w:p>
      <w:pPr>
        <w:pStyle w:val="ListBullet"/>
      </w:pPr>
      <w:r>
        <w:t>Build and maintain ML pipelines (feature extraction, training, evaluation, registry, deployment).</w:t>
      </w:r>
    </w:p>
    <w:p>
      <w:pPr>
        <w:pStyle w:val="ListBullet"/>
      </w:pPr>
      <w:r>
        <w:t>Implement explainability (SHAP/LIME) and model documentation (model cards, known limitations).</w:t>
      </w:r>
    </w:p>
    <w:p>
      <w:pPr>
        <w:pStyle w:val="ListBullet"/>
      </w:pPr>
      <w:r>
        <w:t>Deliver inference services with confidence scoring and abstain logic.</w:t>
      </w:r>
    </w:p>
    <w:p>
      <w:pPr>
        <w:pStyle w:val="ListBullet"/>
      </w:pPr>
      <w:r>
        <w:t>Establish monitoring for drift, performance decay, and data quality sensitivity.</w:t>
      </w:r>
    </w:p>
    <w:p>
      <w:pPr>
        <w:pStyle w:val="Heading2"/>
      </w:pPr>
      <w:r>
        <w:t>4.2 Data Engineering Team</w:t>
      </w:r>
    </w:p>
    <w:p>
      <w:pPr>
        <w:pStyle w:val="ListBullet"/>
      </w:pPr>
      <w:r>
        <w:t>Implement OPC‑UA ingestion, time alignment, and store-and-forward buffering at the edge.</w:t>
      </w:r>
    </w:p>
    <w:p>
      <w:pPr>
        <w:pStyle w:val="ListBullet"/>
      </w:pPr>
      <w:r>
        <w:t>Design Kafka topics, schemas, retention, replay, and access controls.</w:t>
      </w:r>
    </w:p>
    <w:p>
      <w:pPr>
        <w:pStyle w:val="ListBullet"/>
      </w:pPr>
      <w:r>
        <w:t>Build TSDB + data lake + feature store; enforce lineage and dataset versioning.</w:t>
      </w:r>
    </w:p>
    <w:p>
      <w:pPr>
        <w:pStyle w:val="ListBullet"/>
      </w:pPr>
      <w:r>
        <w:t>Implement data quality flags, drift detection, and automated alerts on missing/invalid data.</w:t>
      </w:r>
    </w:p>
    <w:p>
      <w:pPr>
        <w:pStyle w:val="ListBullet"/>
      </w:pPr>
      <w:r>
        <w:t>Deliver a master tag registry and asset hierarchy mapping (furnace → zones → burners → tubes).</w:t>
      </w:r>
    </w:p>
    <w:p>
      <w:pPr>
        <w:pStyle w:val="Heading2"/>
      </w:pPr>
      <w:r>
        <w:t>4.3 Software Development Team</w:t>
      </w:r>
    </w:p>
    <w:p>
      <w:pPr>
        <w:pStyle w:val="ListBullet"/>
      </w:pPr>
      <w:r>
        <w:t>Build KPI engine, alert orchestration, evidence packaging, and reporting services.</w:t>
      </w:r>
    </w:p>
    <w:p>
      <w:pPr>
        <w:pStyle w:val="ListBullet"/>
      </w:pPr>
      <w:r>
        <w:t>Build dashboards: KPIs, efficiency, hotspots, compliance status, explainability panels.</w:t>
      </w:r>
    </w:p>
    <w:p>
      <w:pPr>
        <w:pStyle w:val="ListBullet"/>
      </w:pPr>
      <w:r>
        <w:t>Implement CMMS integration (work order suggestion/creation) and notification channels.</w:t>
      </w:r>
    </w:p>
    <w:p>
      <w:pPr>
        <w:pStyle w:val="ListBullet"/>
      </w:pPr>
      <w:r>
        <w:t>Implement RBAC, audit logging, and secure APIs.</w:t>
      </w:r>
    </w:p>
    <w:p>
      <w:pPr>
        <w:pStyle w:val="ListBullet"/>
      </w:pPr>
      <w:r>
        <w:t>Deliver operational tooling: observability, configuration management, CI/CD.</w:t>
      </w:r>
    </w:p>
    <w:p>
      <w:pPr>
        <w:pStyle w:val="Heading2"/>
      </w:pPr>
      <w:r>
        <w:t>4.4 OT / Controls Engineering Team</w:t>
      </w:r>
    </w:p>
    <w:p>
      <w:pPr>
        <w:pStyle w:val="ListBullet"/>
      </w:pPr>
      <w:r>
        <w:t>Validate tag semantics, scaling, and signal quality (including flame detector and BMS states).</w:t>
      </w:r>
    </w:p>
    <w:p>
      <w:pPr>
        <w:pStyle w:val="ListBullet"/>
      </w:pPr>
      <w:r>
        <w:t>Provide sequence-of-operations reference and permissive/interlock lists for evidence mapping.</w:t>
      </w:r>
    </w:p>
    <w:p>
      <w:pPr>
        <w:pStyle w:val="ListBullet"/>
      </w:pPr>
      <w:r>
        <w:t>Ensure read-only boundaries and OT cyber posture for gateways.</w:t>
      </w:r>
    </w:p>
    <w:p>
      <w:pPr>
        <w:pStyle w:val="ListBullet"/>
      </w:pPr>
      <w:r>
        <w:t>Support sensor placement documentation (TMT sensors, IR camera FOV mapping).</w:t>
      </w:r>
    </w:p>
    <w:p>
      <w:pPr>
        <w:pStyle w:val="ListBullet"/>
      </w:pPr>
      <w:r>
        <w:t>Run commissioning tests to verify correctness of real-time values and event timelines.</w:t>
      </w:r>
    </w:p>
    <w:p>
      <w:pPr>
        <w:pStyle w:val="Heading2"/>
      </w:pPr>
      <w:r>
        <w:t>4.5 Process / Thermal Engineering Team</w:t>
      </w:r>
    </w:p>
    <w:p>
      <w:pPr>
        <w:pStyle w:val="ListBullet"/>
      </w:pPr>
      <w:r>
        <w:t>Define KPI formulas and baselines (efficiency vs load, excess air targets, stack temperature limits).</w:t>
      </w:r>
    </w:p>
    <w:p>
      <w:pPr>
        <w:pStyle w:val="ListBullet"/>
      </w:pPr>
      <w:r>
        <w:t>Define safe operating envelopes: TMT limits by tube service/material, draft limits, refractory heat loss thresholds.</w:t>
      </w:r>
    </w:p>
    <w:p>
      <w:pPr>
        <w:pStyle w:val="ListBullet"/>
      </w:pPr>
      <w:r>
        <w:t>Provide physical sanity checks for ML outputs and define alarm thresholds/tier logic.</w:t>
      </w:r>
    </w:p>
    <w:p>
      <w:pPr>
        <w:pStyle w:val="ListBullet"/>
      </w:pPr>
      <w:r>
        <w:t>Validate IR interpretation rules and TMT clustering logic.</w:t>
      </w:r>
    </w:p>
    <w:p>
      <w:pPr>
        <w:pStyle w:val="ListBullet"/>
      </w:pPr>
      <w:r>
        <w:t>Approve thermal calculation basis and sign off on reporting definitions.</w:t>
      </w:r>
    </w:p>
    <w:p>
      <w:pPr>
        <w:pStyle w:val="Heading2"/>
      </w:pPr>
      <w:r>
        <w:t>4.6 Safety / PSM Engineering Team</w:t>
      </w:r>
    </w:p>
    <w:p>
      <w:pPr>
        <w:pStyle w:val="ListBullet"/>
      </w:pPr>
      <w:r>
        <w:t>Translate NFPA 86 and site standards into a measurable checklist and required evidence set.</w:t>
      </w:r>
    </w:p>
    <w:p>
      <w:pPr>
        <w:pStyle w:val="ListBullet"/>
      </w:pPr>
      <w:r>
        <w:t>Define hazard register linkage model (HAZOP/LOPA IDs, safeguards, IPL health indicators).</w:t>
      </w:r>
    </w:p>
    <w:p>
      <w:pPr>
        <w:pStyle w:val="ListBullet"/>
      </w:pPr>
      <w:r>
        <w:t>Approve alert taxonomy for safety-significant conditions and escalation workflow.</w:t>
      </w:r>
    </w:p>
    <w:p>
      <w:pPr>
        <w:pStyle w:val="ListBullet"/>
      </w:pPr>
      <w:r>
        <w:t>Define retention and audit requirements for evidence packages.</w:t>
      </w:r>
    </w:p>
    <w:p>
      <w:pPr>
        <w:pStyle w:val="ListBullet"/>
      </w:pPr>
      <w:r>
        <w:t>Approve change-control and sign-off gates for model updates and threshold changes.</w:t>
      </w:r>
    </w:p>
    <w:p>
      <w:pPr>
        <w:pStyle w:val="Heading2"/>
      </w:pPr>
      <w:r>
        <w:t>4.7 Reliability / Maintenance Engineering Team</w:t>
      </w:r>
    </w:p>
    <w:p>
      <w:pPr>
        <w:pStyle w:val="ListBullet"/>
      </w:pPr>
      <w:r>
        <w:t>Define failure modes, maintenance triggers, and target lead times for alerts.</w:t>
      </w:r>
    </w:p>
    <w:p>
      <w:pPr>
        <w:pStyle w:val="ListBullet"/>
      </w:pPr>
      <w:r>
        <w:t>Curate CMMS history and asset metadata required for RUL models and work order templates.</w:t>
      </w:r>
    </w:p>
    <w:p>
      <w:pPr>
        <w:pStyle w:val="ListBullet"/>
      </w:pPr>
      <w:r>
        <w:t>Validate alert precision requirements and acceptable false alarm rates.</w:t>
      </w:r>
    </w:p>
    <w:p>
      <w:pPr>
        <w:pStyle w:val="ListBullet"/>
      </w:pPr>
      <w:r>
        <w:t>Own response playbooks and continuous improvement loop (post-alert review).</w:t>
      </w:r>
    </w:p>
    <w:p>
      <w:pPr>
        <w:pStyle w:val="Heading2"/>
      </w:pPr>
      <w:r>
        <w:t>4.8 Climate Intelligence Team</w:t>
      </w:r>
    </w:p>
    <w:p>
      <w:pPr>
        <w:pStyle w:val="ListBullet"/>
      </w:pPr>
      <w:r>
        <w:t>Define fuel-to-emissions calculations and reporting boundaries (CO₂ and intensity metrics).</w:t>
      </w:r>
    </w:p>
    <w:p>
      <w:pPr>
        <w:pStyle w:val="ListBullet"/>
      </w:pPr>
      <w:r>
        <w:t>Validate energy intensity metrics (fuel/ton product, CO₂/ton) and baseline comparison logic.</w:t>
      </w:r>
    </w:p>
    <w:p>
      <w:pPr>
        <w:pStyle w:val="ListBullet"/>
      </w:pPr>
      <w:r>
        <w:t>Identify optimization levers and integrate them into advisory recommendations.</w:t>
      </w:r>
    </w:p>
    <w:p>
      <w:pPr>
        <w:pStyle w:val="Heading2"/>
      </w:pPr>
      <w:r>
        <w:t>4.9 Cybersecurity / IT Team</w:t>
      </w:r>
    </w:p>
    <w:p>
      <w:pPr>
        <w:pStyle w:val="ListBullet"/>
      </w:pPr>
      <w:r>
        <w:t>Design OT/IT segmentation and certificate management for OPC‑UA and service-to-service encryption.</w:t>
      </w:r>
    </w:p>
    <w:p>
      <w:pPr>
        <w:pStyle w:val="ListBullet"/>
      </w:pPr>
      <w:r>
        <w:t>Implement IAM/RBAC, secrets management, vulnerability management, and incident response integration.</w:t>
      </w:r>
    </w:p>
    <w:p>
      <w:pPr>
        <w:pStyle w:val="ListBullet"/>
      </w:pPr>
      <w:r>
        <w:t>Approve deployment patterns and monitor compliance with site cyber controls.</w:t>
      </w:r>
    </w:p>
    <w:p>
      <w:pPr>
        <w:pStyle w:val="Heading1"/>
      </w:pPr>
      <w:r>
        <w:t>5. Data Requirements and Tag Dictionary</w:t>
      </w:r>
    </w:p>
    <w:p>
      <w:pPr>
        <w:pStyle w:val="Heading2"/>
      </w:pPr>
      <w:r>
        <w:t>5.1 Minimum Required Signals</w:t>
      </w:r>
    </w:p>
    <w:p>
      <w:r>
        <w:t>The following signal families are mandatory (provided by the project definition). Each must include engineering units, sampling rate, quality flags, and asset mapping.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Signal Family</w:t>
            </w:r>
          </w:p>
        </w:tc>
        <w:tc>
          <w:tcPr>
            <w:tcW w:type="dxa" w:w="1728"/>
          </w:tcPr>
          <w:p>
            <w:r>
              <w:t>Examples / Subsignals</w:t>
            </w:r>
          </w:p>
        </w:tc>
        <w:tc>
          <w:tcPr>
            <w:tcW w:type="dxa" w:w="1728"/>
          </w:tcPr>
          <w:p>
            <w:r>
              <w:t>Sampling Target</w:t>
            </w:r>
          </w:p>
        </w:tc>
        <w:tc>
          <w:tcPr>
            <w:tcW w:type="dxa" w:w="1728"/>
          </w:tcPr>
          <w:p>
            <w:r>
              <w:t>Units</w:t>
            </w:r>
          </w:p>
        </w:tc>
        <w:tc>
          <w:tcPr>
            <w:tcW w:type="dxa" w:w="1728"/>
          </w:tcPr>
          <w:p>
            <w:r>
              <w:t>Typical Source</w:t>
            </w:r>
          </w:p>
        </w:tc>
      </w:tr>
      <w:tr>
        <w:tc>
          <w:tcPr>
            <w:tcW w:type="dxa" w:w="1728"/>
          </w:tcPr>
          <w:p>
            <w:r>
              <w:t>Furnace temperatures</w:t>
            </w:r>
          </w:p>
        </w:tc>
        <w:tc>
          <w:tcPr>
            <w:tcW w:type="dxa" w:w="1728"/>
          </w:tcPr>
          <w:p>
            <w:r>
              <w:t>Zone thermocouples, bridgewall temp, flue gas temps</w:t>
            </w:r>
          </w:p>
        </w:tc>
        <w:tc>
          <w:tcPr>
            <w:tcW w:type="dxa" w:w="1728"/>
          </w:tcPr>
          <w:p>
            <w:r>
              <w:t>1–10s (typical)</w:t>
            </w:r>
          </w:p>
        </w:tc>
        <w:tc>
          <w:tcPr>
            <w:tcW w:type="dxa" w:w="1728"/>
          </w:tcPr>
          <w:p>
            <w:r>
              <w:t>°C/°F</w:t>
            </w:r>
          </w:p>
        </w:tc>
        <w:tc>
          <w:tcPr>
            <w:tcW w:type="dxa" w:w="1728"/>
          </w:tcPr>
          <w:p>
            <w:r>
              <w:t>DCS/PLC</w:t>
            </w:r>
          </w:p>
        </w:tc>
      </w:tr>
      <w:tr>
        <w:tc>
          <w:tcPr>
            <w:tcW w:type="dxa" w:w="1728"/>
          </w:tcPr>
          <w:p>
            <w:r>
              <w:t>Fuel consumption</w:t>
            </w:r>
          </w:p>
        </w:tc>
        <w:tc>
          <w:tcPr>
            <w:tcW w:type="dxa" w:w="1728"/>
          </w:tcPr>
          <w:p>
            <w:r>
              <w:t>Fuel flow, totalized fuel, fuel pressure/temperature</w:t>
            </w:r>
          </w:p>
        </w:tc>
        <w:tc>
          <w:tcPr>
            <w:tcW w:type="dxa" w:w="1728"/>
          </w:tcPr>
          <w:p>
            <w:r>
              <w:t>1–10s</w:t>
            </w:r>
          </w:p>
        </w:tc>
        <w:tc>
          <w:tcPr>
            <w:tcW w:type="dxa" w:w="1728"/>
          </w:tcPr>
          <w:p>
            <w:r>
              <w:t>Nm³/h, kg/h, MMBtu/h</w:t>
            </w:r>
          </w:p>
        </w:tc>
        <w:tc>
          <w:tcPr>
            <w:tcW w:type="dxa" w:w="1728"/>
          </w:tcPr>
          <w:p>
            <w:r>
              <w:t>Flowmeters/DCS</w:t>
            </w:r>
          </w:p>
        </w:tc>
      </w:tr>
      <w:tr>
        <w:tc>
          <w:tcPr>
            <w:tcW w:type="dxa" w:w="1728"/>
          </w:tcPr>
          <w:p>
            <w:r>
              <w:t>Production output</w:t>
            </w:r>
          </w:p>
        </w:tc>
        <w:tc>
          <w:tcPr>
            <w:tcW w:type="dxa" w:w="1728"/>
          </w:tcPr>
          <w:p>
            <w:r>
              <w:t>Throughput, line speed, load, duty indicator</w:t>
            </w:r>
          </w:p>
        </w:tc>
        <w:tc>
          <w:tcPr>
            <w:tcW w:type="dxa" w:w="1728"/>
          </w:tcPr>
          <w:p>
            <w:r>
              <w:t>10–60s</w:t>
            </w:r>
          </w:p>
        </w:tc>
        <w:tc>
          <w:tcPr>
            <w:tcW w:type="dxa" w:w="1728"/>
          </w:tcPr>
          <w:p>
            <w:r>
              <w:t>t/h or unit-specific</w:t>
            </w:r>
          </w:p>
        </w:tc>
        <w:tc>
          <w:tcPr>
            <w:tcW w:type="dxa" w:w="1728"/>
          </w:tcPr>
          <w:p>
            <w:r>
              <w:t>MES/DCS</w:t>
            </w:r>
          </w:p>
        </w:tc>
      </w:tr>
      <w:tr>
        <w:tc>
          <w:tcPr>
            <w:tcW w:type="dxa" w:w="1728"/>
          </w:tcPr>
          <w:p>
            <w:r>
              <w:t>Tube metal temperatures (TMT)</w:t>
            </w:r>
          </w:p>
        </w:tc>
        <w:tc>
          <w:tcPr>
            <w:tcW w:type="dxa" w:w="1728"/>
          </w:tcPr>
          <w:p>
            <w:r>
              <w:t>Per tube/pass skin temps</w:t>
            </w:r>
          </w:p>
        </w:tc>
        <w:tc>
          <w:tcPr>
            <w:tcW w:type="dxa" w:w="1728"/>
          </w:tcPr>
          <w:p>
            <w:r>
              <w:t>1–10s (prefer), or 1min</w:t>
            </w:r>
          </w:p>
        </w:tc>
        <w:tc>
          <w:tcPr>
            <w:tcW w:type="dxa" w:w="1728"/>
          </w:tcPr>
          <w:p>
            <w:r>
              <w:t>°C/°F</w:t>
            </w:r>
          </w:p>
        </w:tc>
        <w:tc>
          <w:tcPr>
            <w:tcW w:type="dxa" w:w="1728"/>
          </w:tcPr>
          <w:p>
            <w:r>
              <w:t>TMT system/DCS</w:t>
            </w:r>
          </w:p>
        </w:tc>
      </w:tr>
      <w:tr>
        <w:tc>
          <w:tcPr>
            <w:tcW w:type="dxa" w:w="1728"/>
          </w:tcPr>
          <w:p>
            <w:r>
              <w:t>Flame detection</w:t>
            </w:r>
          </w:p>
        </w:tc>
        <w:tc>
          <w:tcPr>
            <w:tcW w:type="dxa" w:w="1728"/>
          </w:tcPr>
          <w:p>
            <w:r>
              <w:t>Flame present, flame quality, scanner health</w:t>
            </w:r>
          </w:p>
        </w:tc>
        <w:tc>
          <w:tcPr>
            <w:tcW w:type="dxa" w:w="1728"/>
          </w:tcPr>
          <w:p>
            <w:r>
              <w:t>1s or event-driven</w:t>
            </w:r>
          </w:p>
        </w:tc>
        <w:tc>
          <w:tcPr>
            <w:tcW w:type="dxa" w:w="1728"/>
          </w:tcPr>
          <w:p>
            <w:r>
              <w:t>Boolean/enum</w:t>
            </w:r>
          </w:p>
        </w:tc>
        <w:tc>
          <w:tcPr>
            <w:tcW w:type="dxa" w:w="1728"/>
          </w:tcPr>
          <w:p>
            <w:r>
              <w:t>BMS</w:t>
            </w:r>
          </w:p>
        </w:tc>
      </w:tr>
      <w:tr>
        <w:tc>
          <w:tcPr>
            <w:tcW w:type="dxa" w:w="1728"/>
          </w:tcPr>
          <w:p>
            <w:r>
              <w:t>Draft pressure</w:t>
            </w:r>
          </w:p>
        </w:tc>
        <w:tc>
          <w:tcPr>
            <w:tcW w:type="dxa" w:w="1728"/>
          </w:tcPr>
          <w:p>
            <w:r>
              <w:t>Furnace/stack draft</w:t>
            </w:r>
          </w:p>
        </w:tc>
        <w:tc>
          <w:tcPr>
            <w:tcW w:type="dxa" w:w="1728"/>
          </w:tcPr>
          <w:p>
            <w:r>
              <w:t>1–10s</w:t>
            </w:r>
          </w:p>
        </w:tc>
        <w:tc>
          <w:tcPr>
            <w:tcW w:type="dxa" w:w="1728"/>
          </w:tcPr>
          <w:p>
            <w:r>
              <w:t>Pa / inH₂O</w:t>
            </w:r>
          </w:p>
        </w:tc>
        <w:tc>
          <w:tcPr>
            <w:tcW w:type="dxa" w:w="1728"/>
          </w:tcPr>
          <w:p>
            <w:r>
              <w:t>DP transmitters</w:t>
            </w:r>
          </w:p>
        </w:tc>
      </w:tr>
      <w:tr>
        <w:tc>
          <w:tcPr>
            <w:tcW w:type="dxa" w:w="1728"/>
          </w:tcPr>
          <w:p>
            <w:r>
              <w:t>Refractory condition</w:t>
            </w:r>
          </w:p>
        </w:tc>
        <w:tc>
          <w:tcPr>
            <w:tcW w:type="dxa" w:w="1728"/>
          </w:tcPr>
          <w:p>
            <w:r>
              <w:t>IR skin temp, hot-spot maps, inspection findings</w:t>
            </w:r>
          </w:p>
        </w:tc>
        <w:tc>
          <w:tcPr>
            <w:tcW w:type="dxa" w:w="1728"/>
          </w:tcPr>
          <w:p>
            <w:r>
              <w:t>IR: 1–5s; inspections: event-based</w:t>
            </w:r>
          </w:p>
        </w:tc>
        <w:tc>
          <w:tcPr>
            <w:tcW w:type="dxa" w:w="1728"/>
          </w:tcPr>
          <w:p>
            <w:r>
              <w:t>°C/°F + score</w:t>
            </w:r>
          </w:p>
        </w:tc>
        <w:tc>
          <w:tcPr>
            <w:tcW w:type="dxa" w:w="1728"/>
          </w:tcPr>
          <w:p>
            <w:r>
              <w:t>IR + CMMS</w:t>
            </w:r>
          </w:p>
        </w:tc>
      </w:tr>
      <w:tr>
        <w:tc>
          <w:tcPr>
            <w:tcW w:type="dxa" w:w="1728"/>
          </w:tcPr>
          <w:p>
            <w:r>
              <w:t>Operating hours</w:t>
            </w:r>
          </w:p>
        </w:tc>
        <w:tc>
          <w:tcPr>
            <w:tcW w:type="dxa" w:w="1728"/>
          </w:tcPr>
          <w:p>
            <w:r>
              <w:t>Run hours, cycle counts, starts/stops</w:t>
            </w:r>
          </w:p>
        </w:tc>
        <w:tc>
          <w:tcPr>
            <w:tcW w:type="dxa" w:w="1728"/>
          </w:tcPr>
          <w:p>
            <w:r>
              <w:t>Event-based + daily rollup</w:t>
            </w:r>
          </w:p>
        </w:tc>
        <w:tc>
          <w:tcPr>
            <w:tcW w:type="dxa" w:w="1728"/>
          </w:tcPr>
          <w:p>
            <w:r>
              <w:t>h / counts</w:t>
            </w:r>
          </w:p>
        </w:tc>
        <w:tc>
          <w:tcPr>
            <w:tcW w:type="dxa" w:w="1728"/>
          </w:tcPr>
          <w:p>
            <w:r>
              <w:t>DCS/CMMS</w:t>
            </w:r>
          </w:p>
        </w:tc>
      </w:tr>
    </w:tbl>
    <w:p>
      <w:pPr>
        <w:pStyle w:val="Heading2"/>
      </w:pPr>
      <w:r>
        <w:t>5.2 Recommended Additional Signals (Strongly Suggested)</w:t>
      </w:r>
    </w:p>
    <w:p>
      <w:pPr>
        <w:pStyle w:val="ListBullet"/>
      </w:pPr>
      <w:r>
        <w:t>Combustion air: flow, fan speed, damper position, air temperature.</w:t>
      </w:r>
    </w:p>
    <w:p>
      <w:pPr>
        <w:pStyle w:val="ListBullet"/>
      </w:pPr>
      <w:r>
        <w:t>Flue gas analyzers: O₂, CO, CO₂ (and NOₓ where available).</w:t>
      </w:r>
    </w:p>
    <w:p>
      <w:pPr>
        <w:pStyle w:val="ListBullet"/>
      </w:pPr>
      <w:r>
        <w:t>Burner detail: per-burner fuel valve position, air register position, igniter status, BMS permissive states.</w:t>
      </w:r>
    </w:p>
    <w:p>
      <w:pPr>
        <w:pStyle w:val="ListBullet"/>
      </w:pPr>
      <w:r>
        <w:t>Process side: feed/product inlet/outlet temperatures, flows, pressures to estimate absorbed duty.</w:t>
      </w:r>
    </w:p>
    <w:p>
      <w:pPr>
        <w:pStyle w:val="ListBullet"/>
      </w:pPr>
      <w:r>
        <w:t>Ambient: temperature, humidity, barometric pressure.</w:t>
      </w:r>
    </w:p>
    <w:p>
      <w:pPr>
        <w:pStyle w:val="ListBullet"/>
      </w:pPr>
      <w:r>
        <w:t>Fuel quality: Wobbe index, LHV/HHV, composition (if variable).</w:t>
      </w:r>
    </w:p>
    <w:p>
      <w:pPr>
        <w:pStyle w:val="ListBullet"/>
      </w:pPr>
      <w:r>
        <w:t>Rotating equipment condition: vibration, motor current, bearing temps for ID/FD fans.</w:t>
      </w:r>
    </w:p>
    <w:p>
      <w:pPr>
        <w:pStyle w:val="ListBullet"/>
      </w:pPr>
      <w:r>
        <w:t>Operator actions/logs: mode changes, manual overrides, tuning actions.</w:t>
      </w:r>
    </w:p>
    <w:p>
      <w:pPr>
        <w:pStyle w:val="Heading2"/>
      </w:pPr>
      <w:r>
        <w:t>5.3 Tag Registry Template (Required Fields)</w:t>
      </w:r>
    </w:p>
    <w:p>
      <w:r>
        <w:t>The master tag registry is a formal artifact owned by Data Engineering with OT/Process validation. Minimum fields per tag:</w:t>
      </w:r>
    </w:p>
    <w:p>
      <w:pPr>
        <w:pStyle w:val="ListBullet"/>
      </w:pPr>
      <w:r>
        <w:t>tag_id (unique)</w:t>
      </w:r>
    </w:p>
    <w:p>
      <w:pPr>
        <w:pStyle w:val="ListBullet"/>
      </w:pPr>
      <w:r>
        <w:t>tag_name_canonical</w:t>
      </w:r>
    </w:p>
    <w:p>
      <w:pPr>
        <w:pStyle w:val="ListBullet"/>
      </w:pPr>
      <w:r>
        <w:t>source_system (PLC/DCS/BMS/IR/CMMS)</w:t>
      </w:r>
    </w:p>
    <w:p>
      <w:pPr>
        <w:pStyle w:val="ListBullet"/>
      </w:pPr>
      <w:r>
        <w:t>engineering_units</w:t>
      </w:r>
    </w:p>
    <w:p>
      <w:pPr>
        <w:pStyle w:val="ListBullet"/>
      </w:pPr>
      <w:r>
        <w:t>engineering_range_min/max</w:t>
      </w:r>
    </w:p>
    <w:p>
      <w:pPr>
        <w:pStyle w:val="ListBullet"/>
      </w:pPr>
      <w:r>
        <w:t>sampling_rate</w:t>
      </w:r>
    </w:p>
    <w:p>
      <w:pPr>
        <w:pStyle w:val="ListBullet"/>
      </w:pPr>
      <w:r>
        <w:t>asset_id mapping (furnace/zone/burner/tube)</w:t>
      </w:r>
    </w:p>
    <w:p>
      <w:pPr>
        <w:pStyle w:val="ListBullet"/>
      </w:pPr>
      <w:r>
        <w:t>data_type</w:t>
      </w:r>
    </w:p>
    <w:p>
      <w:pPr>
        <w:pStyle w:val="ListBullet"/>
      </w:pPr>
      <w:r>
        <w:t>quality_flag mapping</w:t>
      </w:r>
    </w:p>
    <w:p>
      <w:pPr>
        <w:pStyle w:val="ListBullet"/>
      </w:pPr>
      <w:r>
        <w:t>description/business meaning</w:t>
      </w:r>
    </w:p>
    <w:p>
      <w:pPr>
        <w:pStyle w:val="ListBullet"/>
      </w:pPr>
      <w:r>
        <w:t>calibration_reference</w:t>
      </w:r>
    </w:p>
    <w:p>
      <w:pPr>
        <w:pStyle w:val="ListBullet"/>
      </w:pPr>
      <w:r>
        <w:t>owner/team</w:t>
      </w:r>
    </w:p>
    <w:p>
      <w:pPr>
        <w:pStyle w:val="ListBullet"/>
      </w:pPr>
      <w:r>
        <w:t>criticality (safety/performance)</w:t>
      </w:r>
    </w:p>
    <w:p>
      <w:pPr>
        <w:pStyle w:val="Heading1"/>
      </w:pPr>
      <w:r>
        <w:t>6. Data Quality, Governance, and Lineage</w:t>
      </w:r>
    </w:p>
    <w:p>
      <w:pPr>
        <w:pStyle w:val="Heading2"/>
      </w:pPr>
      <w:r>
        <w:t>6.1 Quality Flags and Rules (Minimum Set)</w:t>
      </w:r>
    </w:p>
    <w:p>
      <w:pPr>
        <w:pStyle w:val="ListBullet"/>
      </w:pPr>
      <w:r>
        <w:t>GOOD: valid value within engineering range and sensor healthy.</w:t>
      </w:r>
    </w:p>
    <w:p>
      <w:pPr>
        <w:pStyle w:val="ListBullet"/>
      </w:pPr>
      <w:r>
        <w:t>BAD: out-of-range, sensor fault, invalid status, or stale value.</w:t>
      </w:r>
    </w:p>
    <w:p>
      <w:pPr>
        <w:pStyle w:val="ListBullet"/>
      </w:pPr>
      <w:r>
        <w:t>SUSPECT: plausible range but failed drift/stuck tests, or inconsistent with correlated signals.</w:t>
      </w:r>
    </w:p>
    <w:p>
      <w:pPr>
        <w:pStyle w:val="ListBullet"/>
      </w:pPr>
      <w:r>
        <w:t>MISSING: no value received within expected time window.</w:t>
      </w:r>
    </w:p>
    <w:p>
      <w:pPr>
        <w:pStyle w:val="Heading2"/>
      </w:pPr>
      <w:r>
        <w:t>6.2 Time Alignment Requirements</w:t>
      </w:r>
    </w:p>
    <w:p>
      <w:pPr>
        <w:pStyle w:val="ListBullet"/>
      </w:pPr>
      <w:r>
        <w:t>All raw points retain original timestamp + gateway receive timestamp.</w:t>
      </w:r>
    </w:p>
    <w:p>
      <w:pPr>
        <w:pStyle w:val="ListBullet"/>
      </w:pPr>
      <w:r>
        <w:t>Canonical analytic time base defined per use case (e.g., 5s for hotspots, 1min for KPI trends).</w:t>
      </w:r>
    </w:p>
    <w:p>
      <w:pPr>
        <w:pStyle w:val="ListBullet"/>
      </w:pPr>
      <w:r>
        <w:t>Resampling uses aggregation functions with explicit rules (mean, median, last-good, min/max).</w:t>
      </w:r>
    </w:p>
    <w:p>
      <w:pPr>
        <w:pStyle w:val="ListBullet"/>
      </w:pPr>
      <w:r>
        <w:t>Data latency and completeness metrics are computed continuously and surfaced in dashboards.</w:t>
      </w:r>
    </w:p>
    <w:p>
      <w:pPr>
        <w:pStyle w:val="Heading2"/>
      </w:pPr>
      <w:r>
        <w:t>6.3 Governance and Audit</w:t>
      </w:r>
    </w:p>
    <w:p>
      <w:pPr>
        <w:pStyle w:val="ListBullet"/>
      </w:pPr>
      <w:r>
        <w:t>Every KPI and alert must be traceable to: tag versions, calculation code version, model version, and thresholds used.</w:t>
      </w:r>
    </w:p>
    <w:p>
      <w:pPr>
        <w:pStyle w:val="ListBullet"/>
      </w:pPr>
      <w:r>
        <w:t>All configuration changes (thresholds, model promotions, tag mappings) require change-control with approvers (Safety + Process + Ops).</w:t>
      </w:r>
    </w:p>
    <w:p>
      <w:pPr>
        <w:pStyle w:val="ListBullet"/>
      </w:pPr>
      <w:r>
        <w:t>Evidence packages are immutable once generated; retain per compliance policy.</w:t>
      </w:r>
    </w:p>
    <w:p>
      <w:pPr>
        <w:pStyle w:val="Heading1"/>
      </w:pPr>
      <w:r>
        <w:t>7. System Requirements (SRS) — Functional Requirements</w:t>
      </w:r>
    </w:p>
    <w:p>
      <w:r>
        <w:t>Requirements are written in testable form. Each requirement includes an acceptance criterion. Teams should map these to backlog items and test cases.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 ID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Requirement Statement</w:t>
            </w:r>
          </w:p>
        </w:tc>
        <w:tc>
          <w:tcPr>
            <w:tcW w:type="dxa" w:w="2160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FR-001</w:t>
            </w:r>
          </w:p>
        </w:tc>
        <w:tc>
          <w:tcPr>
            <w:tcW w:type="dxa" w:w="2160"/>
          </w:tcPr>
          <w:p>
            <w:r>
              <w:t>Telemetry Ingestion</w:t>
            </w:r>
          </w:p>
        </w:tc>
        <w:tc>
          <w:tcPr>
            <w:tcW w:type="dxa" w:w="2160"/>
          </w:tcPr>
          <w:p>
            <w:r>
              <w:t>System shall ingest OT telemetry for all required signals via OPC‑UA (or approved historian feed) in read-only mode.</w:t>
            </w:r>
          </w:p>
        </w:tc>
        <w:tc>
          <w:tcPr>
            <w:tcW w:type="dxa" w:w="2160"/>
          </w:tcPr>
          <w:p>
            <w:r>
              <w:t>Demonstrate live ingestion for each mandatory signal family; verify no write capabilities are enabled.</w:t>
            </w:r>
          </w:p>
        </w:tc>
      </w:tr>
      <w:tr>
        <w:tc>
          <w:tcPr>
            <w:tcW w:type="dxa" w:w="2160"/>
          </w:tcPr>
          <w:p>
            <w:r>
              <w:t>FR-002</w:t>
            </w:r>
          </w:p>
        </w:tc>
        <w:tc>
          <w:tcPr>
            <w:tcW w:type="dxa" w:w="2160"/>
          </w:tcPr>
          <w:p>
            <w:r>
              <w:t>Time Synchronization</w:t>
            </w:r>
          </w:p>
        </w:tc>
        <w:tc>
          <w:tcPr>
            <w:tcW w:type="dxa" w:w="2160"/>
          </w:tcPr>
          <w:p>
            <w:r>
              <w:t>System shall preserve source timestamps and provide a canonical aligned time series per analytic time base.</w:t>
            </w:r>
          </w:p>
        </w:tc>
        <w:tc>
          <w:tcPr>
            <w:tcW w:type="dxa" w:w="2160"/>
          </w:tcPr>
          <w:p>
            <w:r>
              <w:t>For a defined test window, aligned series must match raw source within agreed tolerance; timestamp provenance must be visible.</w:t>
            </w:r>
          </w:p>
        </w:tc>
      </w:tr>
      <w:tr>
        <w:tc>
          <w:tcPr>
            <w:tcW w:type="dxa" w:w="2160"/>
          </w:tcPr>
          <w:p>
            <w:r>
              <w:t>FR-003</w:t>
            </w:r>
          </w:p>
        </w:tc>
        <w:tc>
          <w:tcPr>
            <w:tcW w:type="dxa" w:w="2160"/>
          </w:tcPr>
          <w:p>
            <w:r>
              <w:t>KPI Computation</w:t>
            </w:r>
          </w:p>
        </w:tc>
        <w:tc>
          <w:tcPr>
            <w:tcW w:type="dxa" w:w="2160"/>
          </w:tcPr>
          <w:p>
            <w:r>
              <w:t>System shall compute and store performance KPIs (efficiency, SFC, draft stability, etc.) with auditable formulas.</w:t>
            </w:r>
          </w:p>
        </w:tc>
        <w:tc>
          <w:tcPr>
            <w:tcW w:type="dxa" w:w="2160"/>
          </w:tcPr>
          <w:p>
            <w:r>
              <w:t>Given a test dataset, KPI outputs match reference calculations (Process Eng) within tolerance; formulas are documented.</w:t>
            </w:r>
          </w:p>
        </w:tc>
      </w:tr>
      <w:tr>
        <w:tc>
          <w:tcPr>
            <w:tcW w:type="dxa" w:w="2160"/>
          </w:tcPr>
          <w:p>
            <w:r>
              <w:t>FR-004</w:t>
            </w:r>
          </w:p>
        </w:tc>
        <w:tc>
          <w:tcPr>
            <w:tcW w:type="dxa" w:w="2160"/>
          </w:tcPr>
          <w:p>
            <w:r>
              <w:t>Hotspot Detection</w:t>
            </w:r>
          </w:p>
        </w:tc>
        <w:tc>
          <w:tcPr>
            <w:tcW w:type="dxa" w:w="2160"/>
          </w:tcPr>
          <w:p>
            <w:r>
              <w:t>System shall detect TMT/IR hotspots and generate tiered alerts with evidence snapshots.</w:t>
            </w:r>
          </w:p>
        </w:tc>
        <w:tc>
          <w:tcPr>
            <w:tcW w:type="dxa" w:w="2160"/>
          </w:tcPr>
          <w:p>
            <w:r>
              <w:t>Inject simulated or historical hotspot events; system triggers correct tier and stores evidence package.</w:t>
            </w:r>
          </w:p>
        </w:tc>
      </w:tr>
      <w:tr>
        <w:tc>
          <w:tcPr>
            <w:tcW w:type="dxa" w:w="2160"/>
          </w:tcPr>
          <w:p>
            <w:r>
              <w:t>FR-005</w:t>
            </w:r>
          </w:p>
        </w:tc>
        <w:tc>
          <w:tcPr>
            <w:tcW w:type="dxa" w:w="2160"/>
          </w:tcPr>
          <w:p>
            <w:r>
              <w:t>RUL Prediction</w:t>
            </w:r>
          </w:p>
        </w:tc>
        <w:tc>
          <w:tcPr>
            <w:tcW w:type="dxa" w:w="2160"/>
          </w:tcPr>
          <w:p>
            <w:r>
              <w:t>System shall provide RUL predictions (where data supports) with confidence bounds and recommended actions.</w:t>
            </w:r>
          </w:p>
        </w:tc>
        <w:tc>
          <w:tcPr>
            <w:tcW w:type="dxa" w:w="2160"/>
          </w:tcPr>
          <w:p>
            <w:r>
              <w:t>Backtest on historical failures; demonstrate lead time and performance metrics agreed with Reliability.</w:t>
            </w:r>
          </w:p>
        </w:tc>
      </w:tr>
      <w:tr>
        <w:tc>
          <w:tcPr>
            <w:tcW w:type="dxa" w:w="2160"/>
          </w:tcPr>
          <w:p>
            <w:r>
              <w:t>FR-006</w:t>
            </w:r>
          </w:p>
        </w:tc>
        <w:tc>
          <w:tcPr>
            <w:tcW w:type="dxa" w:w="2160"/>
          </w:tcPr>
          <w:p>
            <w:r>
              <w:t>Explainability</w:t>
            </w:r>
          </w:p>
        </w:tc>
        <w:tc>
          <w:tcPr>
            <w:tcW w:type="dxa" w:w="2160"/>
          </w:tcPr>
          <w:p>
            <w:r>
              <w:t>System shall provide local and global model explanations (SHAP/LIME) for every ML-driven alert or prediction.</w:t>
            </w:r>
          </w:p>
        </w:tc>
        <w:tc>
          <w:tcPr>
            <w:tcW w:type="dxa" w:w="2160"/>
          </w:tcPr>
          <w:p>
            <w:r>
              <w:t>For each inference, UI/API returns top drivers + directionality + confidence; model card exists for each deployed version.</w:t>
            </w:r>
          </w:p>
        </w:tc>
      </w:tr>
      <w:tr>
        <w:tc>
          <w:tcPr>
            <w:tcW w:type="dxa" w:w="2160"/>
          </w:tcPr>
          <w:p>
            <w:r>
              <w:t>FR-007</w:t>
            </w:r>
          </w:p>
        </w:tc>
        <w:tc>
          <w:tcPr>
            <w:tcW w:type="dxa" w:w="2160"/>
          </w:tcPr>
          <w:p>
            <w:r>
              <w:t>Compliance Evidence</w:t>
            </w:r>
          </w:p>
        </w:tc>
        <w:tc>
          <w:tcPr>
            <w:tcW w:type="dxa" w:w="2160"/>
          </w:tcPr>
          <w:p>
            <w:r>
              <w:t>System shall generate NFPA 86-oriented evidence packages and compliance status views based on site checklist.</w:t>
            </w:r>
          </w:p>
        </w:tc>
        <w:tc>
          <w:tcPr>
            <w:tcW w:type="dxa" w:w="2160"/>
          </w:tcPr>
          <w:p>
            <w:r>
              <w:t>Safety team validates that evidence package includes required signals/logs for a sample set of events and audits.</w:t>
            </w:r>
          </w:p>
        </w:tc>
      </w:tr>
      <w:tr>
        <w:tc>
          <w:tcPr>
            <w:tcW w:type="dxa" w:w="2160"/>
          </w:tcPr>
          <w:p>
            <w:r>
              <w:t>FR-008</w:t>
            </w:r>
          </w:p>
        </w:tc>
        <w:tc>
          <w:tcPr>
            <w:tcW w:type="dxa" w:w="2160"/>
          </w:tcPr>
          <w:p>
            <w:r>
              <w:t>LOPA/HAZOP Linkage</w:t>
            </w:r>
          </w:p>
        </w:tc>
        <w:tc>
          <w:tcPr>
            <w:tcW w:type="dxa" w:w="2160"/>
          </w:tcPr>
          <w:p>
            <w:r>
              <w:t>System shall allow linking alerts and evidence to HAZOP nodes and LOPA scenarios/IPLs.</w:t>
            </w:r>
          </w:p>
        </w:tc>
        <w:tc>
          <w:tcPr>
            <w:tcW w:type="dxa" w:w="2160"/>
          </w:tcPr>
          <w:p>
            <w:r>
              <w:t>Demonstrate that each safety-significant alert can be associated with hazard scenario IDs and reported.</w:t>
            </w:r>
          </w:p>
        </w:tc>
      </w:tr>
      <w:tr>
        <w:tc>
          <w:tcPr>
            <w:tcW w:type="dxa" w:w="2160"/>
          </w:tcPr>
          <w:p>
            <w:r>
              <w:t>FR-009</w:t>
            </w:r>
          </w:p>
        </w:tc>
        <w:tc>
          <w:tcPr>
            <w:tcW w:type="dxa" w:w="2160"/>
          </w:tcPr>
          <w:p>
            <w:r>
              <w:t>CMMS Integration</w:t>
            </w:r>
          </w:p>
        </w:tc>
        <w:tc>
          <w:tcPr>
            <w:tcW w:type="dxa" w:w="2160"/>
          </w:tcPr>
          <w:p>
            <w:r>
              <w:t>System shall integrate with CMMS to create or recommend work orders with attached evidence.</w:t>
            </w:r>
          </w:p>
        </w:tc>
        <w:tc>
          <w:tcPr>
            <w:tcW w:type="dxa" w:w="2160"/>
          </w:tcPr>
          <w:p>
            <w:r>
              <w:t>Given a triggered alert, user can generate a draft work order with asset ID, recommended action, and evidence attachments.</w:t>
            </w:r>
          </w:p>
        </w:tc>
      </w:tr>
      <w:tr>
        <w:tc>
          <w:tcPr>
            <w:tcW w:type="dxa" w:w="2160"/>
          </w:tcPr>
          <w:p>
            <w:r>
              <w:t>FR-010</w:t>
            </w:r>
          </w:p>
        </w:tc>
        <w:tc>
          <w:tcPr>
            <w:tcW w:type="dxa" w:w="2160"/>
          </w:tcPr>
          <w:p>
            <w:r>
              <w:t>Audit Logging</w:t>
            </w:r>
          </w:p>
        </w:tc>
        <w:tc>
          <w:tcPr>
            <w:tcW w:type="dxa" w:w="2160"/>
          </w:tcPr>
          <w:p>
            <w:r>
              <w:t>System shall log user actions (acknowledgements, threshold changes, model promotions) in an immutable audit trail.</w:t>
            </w:r>
          </w:p>
        </w:tc>
        <w:tc>
          <w:tcPr>
            <w:tcW w:type="dxa" w:w="2160"/>
          </w:tcPr>
          <w:p>
            <w:r>
              <w:t>Audit log shows who/what/when for each action and is exportable for compliance review.</w:t>
            </w:r>
          </w:p>
        </w:tc>
      </w:tr>
    </w:tbl>
    <w:p>
      <w:pPr>
        <w:pStyle w:val="Heading1"/>
      </w:pPr>
      <w:r>
        <w:t>8. System Requirements (SRS) — Non‑Functional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NFR ID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</w:tr>
      <w:tr>
        <w:tc>
          <w:tcPr>
            <w:tcW w:type="dxa" w:w="2880"/>
          </w:tcPr>
          <w:p>
            <w:r>
              <w:t>NFR-001</w:t>
            </w:r>
          </w:p>
        </w:tc>
        <w:tc>
          <w:tcPr>
            <w:tcW w:type="dxa" w:w="2880"/>
          </w:tcPr>
          <w:p>
            <w:r>
              <w:t>Safety posture</w:t>
            </w:r>
          </w:p>
        </w:tc>
        <w:tc>
          <w:tcPr>
            <w:tcW w:type="dxa" w:w="2880"/>
          </w:tcPr>
          <w:p>
            <w:r>
              <w:t>Advisory only; read-only OT integration; no safety function replacement; conservative degradation under uncertainty.</w:t>
            </w:r>
          </w:p>
        </w:tc>
      </w:tr>
      <w:tr>
        <w:tc>
          <w:tcPr>
            <w:tcW w:type="dxa" w:w="2880"/>
          </w:tcPr>
          <w:p>
            <w:r>
              <w:t>NFR-002</w:t>
            </w:r>
          </w:p>
        </w:tc>
        <w:tc>
          <w:tcPr>
            <w:tcW w:type="dxa" w:w="2880"/>
          </w:tcPr>
          <w:p>
            <w:r>
              <w:t>Latency</w:t>
            </w:r>
          </w:p>
        </w:tc>
        <w:tc>
          <w:tcPr>
            <w:tcW w:type="dxa" w:w="2880"/>
          </w:tcPr>
          <w:p>
            <w:r>
              <w:t>Hotspot detection path: seconds–1 minute (target). KPI dashboard refresh: ≤1 minute (target).</w:t>
            </w:r>
          </w:p>
        </w:tc>
      </w:tr>
      <w:tr>
        <w:tc>
          <w:tcPr>
            <w:tcW w:type="dxa" w:w="2880"/>
          </w:tcPr>
          <w:p>
            <w:r>
              <w:t>NFR-003</w:t>
            </w:r>
          </w:p>
        </w:tc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Monitoring services target ≥99.5% availability; define maintenance windows and failover strategy.</w:t>
            </w:r>
          </w:p>
        </w:tc>
      </w:tr>
      <w:tr>
        <w:tc>
          <w:tcPr>
            <w:tcW w:type="dxa" w:w="2880"/>
          </w:tcPr>
          <w:p>
            <w:r>
              <w:t>NFR-004</w:t>
            </w:r>
          </w:p>
        </w:tc>
        <w:tc>
          <w:tcPr>
            <w:tcW w:type="dxa" w:w="2880"/>
          </w:tcPr>
          <w:p>
            <w:r>
              <w:t>Data retention</w:t>
            </w:r>
          </w:p>
        </w:tc>
        <w:tc>
          <w:tcPr>
            <w:tcW w:type="dxa" w:w="2880"/>
          </w:tcPr>
          <w:p>
            <w:r>
              <w:t>Raw OT data retention and evidence retention per policy; minimum recommended: 12 months raw + 3–7 years evidence.</w:t>
            </w:r>
          </w:p>
        </w:tc>
      </w:tr>
      <w:tr>
        <w:tc>
          <w:tcPr>
            <w:tcW w:type="dxa" w:w="2880"/>
          </w:tcPr>
          <w:p>
            <w:r>
              <w:t>NFR-005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RBAC, least privilege, encryption in transit, certificate-based OPC‑UA, secrets management, OT/IT segmentation.</w:t>
            </w:r>
          </w:p>
        </w:tc>
      </w:tr>
      <w:tr>
        <w:tc>
          <w:tcPr>
            <w:tcW w:type="dxa" w:w="2880"/>
          </w:tcPr>
          <w:p>
            <w:r>
              <w:t>NFR-006</w:t>
            </w:r>
          </w:p>
        </w:tc>
        <w:tc>
          <w:tcPr>
            <w:tcW w:type="dxa" w:w="2880"/>
          </w:tcPr>
          <w:p>
            <w:r>
              <w:t>Traceability</w:t>
            </w:r>
          </w:p>
        </w:tc>
        <w:tc>
          <w:tcPr>
            <w:tcW w:type="dxa" w:w="2880"/>
          </w:tcPr>
          <w:p>
            <w:r>
              <w:t>Every KPI/alert is reproducible from stored inputs, versions, and thresholds; evidence packages immutable.</w:t>
            </w:r>
          </w:p>
        </w:tc>
      </w:tr>
      <w:tr>
        <w:tc>
          <w:tcPr>
            <w:tcW w:type="dxa" w:w="2880"/>
          </w:tcPr>
          <w:p>
            <w:r>
              <w:t>NFR-007</w:t>
            </w:r>
          </w:p>
        </w:tc>
        <w:tc>
          <w:tcPr>
            <w:tcW w:type="dxa" w:w="2880"/>
          </w:tcPr>
          <w:p>
            <w:r>
              <w:t>Explainability</w:t>
            </w:r>
          </w:p>
        </w:tc>
        <w:tc>
          <w:tcPr>
            <w:tcW w:type="dxa" w:w="2880"/>
          </w:tcPr>
          <w:p>
            <w:r>
              <w:t>Local explanations required for each ML inference; global summaries required per model version.</w:t>
            </w:r>
          </w:p>
        </w:tc>
      </w:tr>
      <w:tr>
        <w:tc>
          <w:tcPr>
            <w:tcW w:type="dxa" w:w="2880"/>
          </w:tcPr>
          <w:p>
            <w:r>
              <w:t>NFR-008</w:t>
            </w:r>
          </w:p>
        </w:tc>
        <w:tc>
          <w:tcPr>
            <w:tcW w:type="dxa" w:w="2880"/>
          </w:tcPr>
          <w:p>
            <w:r>
              <w:t>Change control</w:t>
            </w:r>
          </w:p>
        </w:tc>
        <w:tc>
          <w:tcPr>
            <w:tcW w:type="dxa" w:w="2880"/>
          </w:tcPr>
          <w:p>
            <w:r>
              <w:t>Model updates and threshold changes require approval workflow (Safety + Process + Ops).</w:t>
            </w:r>
          </w:p>
        </w:tc>
      </w:tr>
    </w:tbl>
    <w:p>
      <w:pPr>
        <w:pStyle w:val="Heading1"/>
      </w:pPr>
      <w:r>
        <w:t>9. Analytics, Mathematics, and Thermal Requirements</w:t>
      </w:r>
    </w:p>
    <w:p>
      <w:pPr>
        <w:pStyle w:val="Heading2"/>
      </w:pPr>
      <w:r>
        <w:t>9.1 Required Calculations (Auditable)</w:t>
      </w:r>
    </w:p>
    <w:p>
      <w:pPr>
        <w:pStyle w:val="ListBullet"/>
      </w:pPr>
      <w:r>
        <w:t>Fuel energy input: based on mass/volumetric flow and LHV/HHV with documented conversion assumptions.</w:t>
      </w:r>
    </w:p>
    <w:p>
      <w:pPr>
        <w:pStyle w:val="ListBullet"/>
      </w:pPr>
      <w:r>
        <w:t>Energy intensity: fuel per unit production; include product normalization method.</w:t>
      </w:r>
    </w:p>
    <w:p>
      <w:pPr>
        <w:pStyle w:val="ListBullet"/>
      </w:pPr>
      <w:r>
        <w:t>Draft stability: variance and control effort metrics on draft pressure.</w:t>
      </w:r>
    </w:p>
    <w:p>
      <w:pPr>
        <w:pStyle w:val="ListBullet"/>
      </w:pPr>
      <w:r>
        <w:t>Hotspot metrics: max TMT, rate-of-rise, time-above-threshold, spatial clustering index.</w:t>
      </w:r>
    </w:p>
    <w:p>
      <w:pPr>
        <w:pStyle w:val="ListBullet"/>
      </w:pPr>
      <w:r>
        <w:t>Refractory loss proxy: skin temperature-based heat loss estimate (requires calibration) and/or baseline comparison.</w:t>
      </w:r>
    </w:p>
    <w:p>
      <w:pPr>
        <w:pStyle w:val="Heading2"/>
      </w:pPr>
      <w:r>
        <w:t>9.2 Example Formulas (Illustrative; Must be Validated per Site)</w:t>
      </w:r>
    </w:p>
    <w:p>
      <w:r>
        <w:rPr>
          <w:rFonts w:ascii="Consolas" w:hAnsi="Consolas" w:eastAsia="Consolas"/>
          <w:sz w:val="18"/>
        </w:rPr>
        <w:t>Fuel Input (kW) = m_dot_fuel (kg/s) × LHV (kJ/kg) / 1,000</w:t>
        <w:br/>
        <w:br/>
        <w:t>Specific Fuel Consumption (SFC) = Fuel Input / Production Output</w:t>
        <w:br/>
        <w:br/>
        <w:t xml:space="preserve">CO₂ Emissions (kg/h) = Fuel Energy Input (GJ/h) × EF_CO2 (kg/GJ) </w:t>
        <w:br/>
        <w:t xml:space="preserve">  (EF_CO2 depends on fuel type/composition; use site-approved factors)</w:t>
        <w:br/>
        <w:br/>
        <w:t>Excess Air Proxy (approx., fuel-dependent):</w:t>
        <w:br/>
        <w:t xml:space="preserve">  Excess Air (%) ≈ 100 × O2_dry / (21 − O2_dry)</w:t>
        <w:br/>
        <w:t xml:space="preserve">  (Use only with correct fuel basis and validated analyzer conditions)</w:t>
        <w:br/>
        <w:br/>
        <w:t>Stack Loss Proxy (requires flue flow estimate or proxy):</w:t>
        <w:br/>
        <w:t xml:space="preserve">  Q_stack ≈ m_dot_flue × Cp_flue × (T_stack − T_ambient)</w:t>
        <w:br/>
      </w:r>
    </w:p>
    <w:p>
      <w:pPr>
        <w:pStyle w:val="Heading2"/>
      </w:pPr>
      <w:r>
        <w:t>9.3 Thermal Instrumentation Requirements (Minimum)</w:t>
      </w:r>
    </w:p>
    <w:p>
      <w:pPr>
        <w:pStyle w:val="ListBullet"/>
      </w:pPr>
      <w:r>
        <w:t>TMT sensors: defined attachment method, calibration record, and response time; tube ID mapping mandatory.</w:t>
      </w:r>
    </w:p>
    <w:p>
      <w:pPr>
        <w:pStyle w:val="ListBullet"/>
      </w:pPr>
      <w:r>
        <w:t>IR cameras: calibration and emissivity settings documented; camera-to-furnace geometry mapping maintained; image timestamping synchronized.</w:t>
      </w:r>
    </w:p>
    <w:p>
      <w:pPr>
        <w:pStyle w:val="ListBullet"/>
      </w:pPr>
      <w:r>
        <w:t>Draft pressure: transmitter range and tap location documented; verify zeroing and drift checks.</w:t>
      </w:r>
    </w:p>
    <w:p>
      <w:pPr>
        <w:pStyle w:val="ListBullet"/>
      </w:pPr>
      <w:r>
        <w:t>Fuel metering: flowmeter type, correction (pressure/temperature), and totalizer consistency documented.</w:t>
      </w:r>
    </w:p>
    <w:p>
      <w:pPr>
        <w:pStyle w:val="Heading1"/>
      </w:pPr>
      <w:r>
        <w:t>10. Safety, NFPA 86 Evidence, and Risk Integration</w:t>
      </w:r>
    </w:p>
    <w:p>
      <w:pPr>
        <w:pStyle w:val="Heading2"/>
      </w:pPr>
      <w:r>
        <w:t>10.1 NFPA 86-Oriented Checklist Mapping (Pattern)</w:t>
      </w:r>
    </w:p>
    <w:p>
      <w:r>
        <w:t>GL‑007 must implement a configurable checklist and evidence mapping layer. The checklist is owned by Safety/PSM. Typical checklist categories (non-exhaustive):</w:t>
      </w:r>
    </w:p>
    <w:p>
      <w:pPr>
        <w:pStyle w:val="ListBullet"/>
      </w:pPr>
      <w:r>
        <w:t>Purge and startup sequence evidence (states, timers, permissives satisfied).</w:t>
      </w:r>
    </w:p>
    <w:p>
      <w:pPr>
        <w:pStyle w:val="ListBullet"/>
      </w:pPr>
      <w:r>
        <w:t>Flame safeguard device status and diagnostics per burner.</w:t>
      </w:r>
    </w:p>
    <w:p>
      <w:pPr>
        <w:pStyle w:val="ListBullet"/>
      </w:pPr>
      <w:r>
        <w:t>Interlock/permissive health and override visibility (forced I/O, bypasses, manual modes).</w:t>
      </w:r>
    </w:p>
    <w:p>
      <w:pPr>
        <w:pStyle w:val="ListBullet"/>
      </w:pPr>
      <w:r>
        <w:t>Fuel/air ratio boundaries and unsafe condition indicators.</w:t>
      </w:r>
    </w:p>
    <w:p>
      <w:pPr>
        <w:pStyle w:val="ListBullet"/>
      </w:pPr>
      <w:r>
        <w:t>Alarm and trip history with immutable timestamps.</w:t>
      </w:r>
    </w:p>
    <w:p>
      <w:pPr>
        <w:pStyle w:val="ListBullet"/>
      </w:pPr>
      <w:r>
        <w:t>Proof-test and maintenance status for safety-relevant instrumentation (via CMMS).</w:t>
      </w:r>
    </w:p>
    <w:p>
      <w:pPr>
        <w:pStyle w:val="Heading2"/>
      </w:pPr>
      <w:r>
        <w:t>10.2 LOPA and IPL Health Monitoring</w:t>
      </w:r>
    </w:p>
    <w:p>
      <w:pPr>
        <w:pStyle w:val="ListBullet"/>
      </w:pPr>
      <w:r>
        <w:t>Create a Protection Layer Register with unique IDs for each IPL (BMS, alarms, relief devices, operator response layers).</w:t>
      </w:r>
    </w:p>
    <w:p>
      <w:pPr>
        <w:pStyle w:val="ListBullet"/>
      </w:pPr>
      <w:r>
        <w:t>Link telemetry that indicates degradation of an IPL (e.g., flame scanner fault rate, proof-test overdue) to risk views.</w:t>
      </w:r>
    </w:p>
    <w:p>
      <w:pPr>
        <w:pStyle w:val="ListBullet"/>
      </w:pPr>
      <w:r>
        <w:t>Provide ‘IPL health’ dashboard with overdue tests, overrides, and repeated demands.</w:t>
      </w:r>
    </w:p>
    <w:p>
      <w:pPr>
        <w:pStyle w:val="Heading2"/>
      </w:pPr>
      <w:r>
        <w:t>10.3 HAZOP Recommendation Tracking</w:t>
      </w:r>
    </w:p>
    <w:p>
      <w:pPr>
        <w:pStyle w:val="ListBullet"/>
      </w:pPr>
      <w:r>
        <w:t>Maintain mapping of HAZOP recommendations to monitoring logic, thresholds, and evidence outputs.</w:t>
      </w:r>
    </w:p>
    <w:p>
      <w:pPr>
        <w:pStyle w:val="ListBullet"/>
      </w:pPr>
      <w:r>
        <w:t>Expose recommendation closure status and MOC references.</w:t>
      </w:r>
    </w:p>
    <w:p>
      <w:pPr>
        <w:pStyle w:val="ListBullet"/>
      </w:pPr>
      <w:r>
        <w:t>Support incident investigation workflow with event reconstruction timelines.</w:t>
      </w:r>
    </w:p>
    <w:p>
      <w:pPr>
        <w:pStyle w:val="Heading1"/>
      </w:pPr>
      <w:r>
        <w:t>11. Alert Taxonomy and Response Playbooks (Required)</w:t>
      </w:r>
    </w:p>
    <w:p>
      <w:r>
        <w:t>All alerts must have: severity, detection logic, confidence score, recommended actions, owner role, and required acknowledgement.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Alert ID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Trigger (summary)</w:t>
            </w:r>
          </w:p>
        </w:tc>
        <w:tc>
          <w:tcPr>
            <w:tcW w:type="dxa" w:w="1728"/>
          </w:tcPr>
          <w:p>
            <w:r>
              <w:t>Primary Owner</w:t>
            </w:r>
          </w:p>
        </w:tc>
        <w:tc>
          <w:tcPr>
            <w:tcW w:type="dxa" w:w="1728"/>
          </w:tcPr>
          <w:p>
            <w:r>
              <w:t>Example Response</w:t>
            </w:r>
          </w:p>
        </w:tc>
      </w:tr>
      <w:tr>
        <w:tc>
          <w:tcPr>
            <w:tcW w:type="dxa" w:w="1728"/>
          </w:tcPr>
          <w:p>
            <w:r>
              <w:t>A-001</w:t>
            </w:r>
          </w:p>
        </w:tc>
        <w:tc>
          <w:tcPr>
            <w:tcW w:type="dxa" w:w="1728"/>
          </w:tcPr>
          <w:p>
            <w:r>
              <w:t>Hotspot — Advisory</w:t>
            </w:r>
          </w:p>
        </w:tc>
        <w:tc>
          <w:tcPr>
            <w:tcW w:type="dxa" w:w="1728"/>
          </w:tcPr>
          <w:p>
            <w:r>
              <w:t>TMT approaching threshold; IR suggests emerging hotspot</w:t>
            </w:r>
          </w:p>
        </w:tc>
        <w:tc>
          <w:tcPr>
            <w:tcW w:type="dxa" w:w="1728"/>
          </w:tcPr>
          <w:p>
            <w:r>
              <w:t>Operator/Process Eng</w:t>
            </w:r>
          </w:p>
        </w:tc>
        <w:tc>
          <w:tcPr>
            <w:tcW w:type="dxa" w:w="1728"/>
          </w:tcPr>
          <w:p>
            <w:r>
              <w:t>Increase monitoring, verify burners, consider load adjustment; create investigation note.</w:t>
            </w:r>
          </w:p>
        </w:tc>
      </w:tr>
      <w:tr>
        <w:tc>
          <w:tcPr>
            <w:tcW w:type="dxa" w:w="1728"/>
          </w:tcPr>
          <w:p>
            <w:r>
              <w:t>A-002</w:t>
            </w:r>
          </w:p>
        </w:tc>
        <w:tc>
          <w:tcPr>
            <w:tcW w:type="dxa" w:w="1728"/>
          </w:tcPr>
          <w:p>
            <w:r>
              <w:t>Hotspot — Warning</w:t>
            </w:r>
          </w:p>
        </w:tc>
        <w:tc>
          <w:tcPr>
            <w:tcW w:type="dxa" w:w="1728"/>
          </w:tcPr>
          <w:p>
            <w:r>
              <w:t>Sustained TMT exceedance or accelerating rate-of-rise</w:t>
            </w:r>
          </w:p>
        </w:tc>
        <w:tc>
          <w:tcPr>
            <w:tcW w:type="dxa" w:w="1728"/>
          </w:tcPr>
          <w:p>
            <w:r>
              <w:t>Operator + Reliability</w:t>
            </w:r>
          </w:p>
        </w:tc>
        <w:tc>
          <w:tcPr>
            <w:tcW w:type="dxa" w:w="1728"/>
          </w:tcPr>
          <w:p>
            <w:r>
              <w:t>Execute site playbook: burner tune check, confirm tube mapping, schedule inspection, consider controlled shutdown if needed.</w:t>
            </w:r>
          </w:p>
        </w:tc>
      </w:tr>
      <w:tr>
        <w:tc>
          <w:tcPr>
            <w:tcW w:type="dxa" w:w="1728"/>
          </w:tcPr>
          <w:p>
            <w:r>
              <w:t>A-003</w:t>
            </w:r>
          </w:p>
        </w:tc>
        <w:tc>
          <w:tcPr>
            <w:tcW w:type="dxa" w:w="1728"/>
          </w:tcPr>
          <w:p>
            <w:r>
              <w:t>Hotspot — Urgent</w:t>
            </w:r>
          </w:p>
        </w:tc>
        <w:tc>
          <w:tcPr>
            <w:tcW w:type="dxa" w:w="1728"/>
          </w:tcPr>
          <w:p>
            <w:r>
              <w:t>High-confidence hotspot with risk to tube integrity</w:t>
            </w:r>
          </w:p>
        </w:tc>
        <w:tc>
          <w:tcPr>
            <w:tcW w:type="dxa" w:w="1728"/>
          </w:tcPr>
          <w:p>
            <w:r>
              <w:t>Ops + Safety</w:t>
            </w:r>
          </w:p>
        </w:tc>
        <w:tc>
          <w:tcPr>
            <w:tcW w:type="dxa" w:w="1728"/>
          </w:tcPr>
          <w:p>
            <w:r>
              <w:t>Immediate escalation per site procedure; confirm safety systems; consider shutdown; generate evidence package.</w:t>
            </w:r>
          </w:p>
        </w:tc>
      </w:tr>
      <w:tr>
        <w:tc>
          <w:tcPr>
            <w:tcW w:type="dxa" w:w="1728"/>
          </w:tcPr>
          <w:p>
            <w:r>
              <w:t>A-010</w:t>
            </w:r>
          </w:p>
        </w:tc>
        <w:tc>
          <w:tcPr>
            <w:tcW w:type="dxa" w:w="1728"/>
          </w:tcPr>
          <w:p>
            <w:r>
              <w:t>Efficiency Degradation</w:t>
            </w:r>
          </w:p>
        </w:tc>
        <w:tc>
          <w:tcPr>
            <w:tcW w:type="dxa" w:w="1728"/>
          </w:tcPr>
          <w:p>
            <w:r>
              <w:t>Efficiency or SFC deviates from baseline beyond threshold</w:t>
            </w:r>
          </w:p>
        </w:tc>
        <w:tc>
          <w:tcPr>
            <w:tcW w:type="dxa" w:w="1728"/>
          </w:tcPr>
          <w:p>
            <w:r>
              <w:t>Process + Climate</w:t>
            </w:r>
          </w:p>
        </w:tc>
        <w:tc>
          <w:tcPr>
            <w:tcW w:type="dxa" w:w="1728"/>
          </w:tcPr>
          <w:p>
            <w:r>
              <w:t>Investigate excess air, stack temp, draft, refractory; recommend tuning and heat loss mitigation.</w:t>
            </w:r>
          </w:p>
        </w:tc>
      </w:tr>
      <w:tr>
        <w:tc>
          <w:tcPr>
            <w:tcW w:type="dxa" w:w="1728"/>
          </w:tcPr>
          <w:p>
            <w:r>
              <w:t>A-020</w:t>
            </w:r>
          </w:p>
        </w:tc>
        <w:tc>
          <w:tcPr>
            <w:tcW w:type="dxa" w:w="1728"/>
          </w:tcPr>
          <w:p>
            <w:r>
              <w:t>Draft Instability</w:t>
            </w:r>
          </w:p>
        </w:tc>
        <w:tc>
          <w:tcPr>
            <w:tcW w:type="dxa" w:w="1728"/>
          </w:tcPr>
          <w:p>
            <w:r>
              <w:t>Draft variance/effort indicates control issue</w:t>
            </w:r>
          </w:p>
        </w:tc>
        <w:tc>
          <w:tcPr>
            <w:tcW w:type="dxa" w:w="1728"/>
          </w:tcPr>
          <w:p>
            <w:r>
              <w:t>OT/Controls</w:t>
            </w:r>
          </w:p>
        </w:tc>
        <w:tc>
          <w:tcPr>
            <w:tcW w:type="dxa" w:w="1728"/>
          </w:tcPr>
          <w:p>
            <w:r>
              <w:t>Inspect dampers/fans, check transmitter; review control tuning.</w:t>
            </w:r>
          </w:p>
        </w:tc>
      </w:tr>
      <w:tr>
        <w:tc>
          <w:tcPr>
            <w:tcW w:type="dxa" w:w="1728"/>
          </w:tcPr>
          <w:p>
            <w:r>
              <w:t>A-030</w:t>
            </w:r>
          </w:p>
        </w:tc>
        <w:tc>
          <w:tcPr>
            <w:tcW w:type="dxa" w:w="1728"/>
          </w:tcPr>
          <w:p>
            <w:r>
              <w:t>Sensor Drift/Stuck</w:t>
            </w:r>
          </w:p>
        </w:tc>
        <w:tc>
          <w:tcPr>
            <w:tcW w:type="dxa" w:w="1728"/>
          </w:tcPr>
          <w:p>
            <w:r>
              <w:t>Signal fails drift/stuck tests</w:t>
            </w:r>
          </w:p>
        </w:tc>
        <w:tc>
          <w:tcPr>
            <w:tcW w:type="dxa" w:w="1728"/>
          </w:tcPr>
          <w:p>
            <w:r>
              <w:t>OT + Data Eng</w:t>
            </w:r>
          </w:p>
        </w:tc>
        <w:tc>
          <w:tcPr>
            <w:tcW w:type="dxa" w:w="1728"/>
          </w:tcPr>
          <w:p>
            <w:r>
              <w:t>Flag analytic confidence; schedule calibration; update tag registry.</w:t>
            </w:r>
          </w:p>
        </w:tc>
      </w:tr>
    </w:tbl>
    <w:p>
      <w:pPr>
        <w:pStyle w:val="Heading1"/>
      </w:pPr>
      <w:r>
        <w:t>12. Interfaces and Integrations</w:t>
      </w:r>
    </w:p>
    <w:p>
      <w:pPr>
        <w:pStyle w:val="Heading2"/>
      </w:pPr>
      <w:r>
        <w:t>12.1 OT Interfaces</w:t>
      </w:r>
    </w:p>
    <w:p>
      <w:pPr>
        <w:pStyle w:val="ListBullet"/>
      </w:pPr>
      <w:r>
        <w:t>OPC‑UA: certificate-based authentication; whitelisted nodes; read-only credentials.</w:t>
      </w:r>
    </w:p>
    <w:p>
      <w:pPr>
        <w:pStyle w:val="ListBullet"/>
      </w:pPr>
      <w:r>
        <w:t>IR feeds: store raw images/frames in object storage with metadata; derived hotspot maps stored as artifacts.</w:t>
      </w:r>
    </w:p>
    <w:p>
      <w:pPr>
        <w:pStyle w:val="ListBullet"/>
      </w:pPr>
      <w:r>
        <w:t>Edge gateway: local buffering for ≥24h recommended to handle network partitions.</w:t>
      </w:r>
    </w:p>
    <w:p>
      <w:pPr>
        <w:pStyle w:val="Heading2"/>
      </w:pPr>
      <w:r>
        <w:t>12.2 Kafka Topic Design (Recommended)</w:t>
      </w:r>
    </w:p>
    <w:p>
      <w:pPr>
        <w:pStyle w:val="ListBullet"/>
      </w:pPr>
      <w:r>
        <w:t>Topic naming: gl007.&lt;site&gt;.&lt;furnace_id&gt;.telemetry, gl007.&lt;site&gt;.&lt;furnace_id&gt;.events, gl007.models.inference, gl007.alerts.</w:t>
      </w:r>
    </w:p>
    <w:p>
      <w:pPr>
        <w:pStyle w:val="ListBullet"/>
      </w:pPr>
      <w:r>
        <w:t>Schema registry: enforce backward-compatible schema evolution.</w:t>
      </w:r>
    </w:p>
    <w:p>
      <w:pPr>
        <w:pStyle w:val="ListBullet"/>
      </w:pPr>
      <w:r>
        <w:t>Retention: telemetry per policy; events/alerts longer retention for investigations.</w:t>
      </w:r>
    </w:p>
    <w:p>
      <w:pPr>
        <w:pStyle w:val="Heading2"/>
      </w:pPr>
      <w:r>
        <w:t>12.3 CMMS Integration</w:t>
      </w:r>
    </w:p>
    <w:p>
      <w:pPr>
        <w:pStyle w:val="ListBullet"/>
      </w:pPr>
      <w:r>
        <w:t>Asset hierarchy mapping must match CMMS equipment IDs.</w:t>
      </w:r>
    </w:p>
    <w:p>
      <w:pPr>
        <w:pStyle w:val="ListBullet"/>
      </w:pPr>
      <w:r>
        <w:t>Work order payload includes: asset ID, alert ID, recommended actions, urgency, attachments (plots/IR/SHAP).</w:t>
      </w:r>
    </w:p>
    <w:p>
      <w:pPr>
        <w:pStyle w:val="ListBullet"/>
      </w:pPr>
      <w:r>
        <w:t>Closure feedback loop: work order outcomes feed model retraining and false alarm reduction.</w:t>
      </w:r>
    </w:p>
    <w:p>
      <w:pPr>
        <w:pStyle w:val="Heading1"/>
      </w:pPr>
      <w:r>
        <w:t>13. Testing, Validation, and Commissioning</w:t>
      </w:r>
    </w:p>
    <w:p>
      <w:pPr>
        <w:pStyle w:val="Heading2"/>
      </w:pPr>
      <w:r>
        <w:t>13.1 Commissioning Tests (Suggested Minimum)</w:t>
      </w:r>
    </w:p>
    <w:p>
      <w:pPr>
        <w:pStyle w:val="ListBullet"/>
      </w:pPr>
      <w:r>
        <w:t>Signal correctness: compare live values vs DCS/HMI for each key signal.</w:t>
      </w:r>
    </w:p>
    <w:p>
      <w:pPr>
        <w:pStyle w:val="ListBullet"/>
      </w:pPr>
      <w:r>
        <w:t>Event timeline correctness: verify alarm/trip timestamps and sequence fidelity.</w:t>
      </w:r>
    </w:p>
    <w:p>
      <w:pPr>
        <w:pStyle w:val="ListBullet"/>
      </w:pPr>
      <w:r>
        <w:t>Hotspot injection test: replay historical event or simulate thresholds to verify alert tiers and evidence capture.</w:t>
      </w:r>
    </w:p>
    <w:p>
      <w:pPr>
        <w:pStyle w:val="ListBullet"/>
      </w:pPr>
      <w:r>
        <w:t>CMMS integration test: generate a work order and verify attachments and metadata.</w:t>
      </w:r>
    </w:p>
    <w:p>
      <w:pPr>
        <w:pStyle w:val="ListBullet"/>
      </w:pPr>
      <w:r>
        <w:t>Security test: confirm read-only OT access and RBAC enforcement.</w:t>
      </w:r>
    </w:p>
    <w:p>
      <w:pPr>
        <w:pStyle w:val="Heading2"/>
      </w:pPr>
      <w:r>
        <w:t>13.2 Model Validation Gates</w:t>
      </w:r>
    </w:p>
    <w:p>
      <w:pPr>
        <w:pStyle w:val="ListBullet"/>
      </w:pPr>
      <w:r>
        <w:t>Model review board includes AI/ML, Process/Thermal, Reliability, Safety/PSM.</w:t>
      </w:r>
    </w:p>
    <w:p>
      <w:pPr>
        <w:pStyle w:val="ListBullet"/>
      </w:pPr>
      <w:r>
        <w:t>Models must pass: offline metrics, drift sensitivity tests, and explainability plausibility checks.</w:t>
      </w:r>
    </w:p>
    <w:p>
      <w:pPr>
        <w:pStyle w:val="ListBullet"/>
      </w:pPr>
      <w:r>
        <w:t>A/B or shadow deployment required before full production alerts for safety-significant use cases.</w:t>
      </w:r>
    </w:p>
    <w:p>
      <w:pPr>
        <w:pStyle w:val="Heading1"/>
      </w:pPr>
      <w:r>
        <w:t>14. Operations, Monitoring, and Continuous Improvement</w:t>
      </w:r>
    </w:p>
    <w:p>
      <w:pPr>
        <w:pStyle w:val="ListBullet"/>
      </w:pPr>
      <w:r>
        <w:t>Monitor data pipelines: lag, drop rates, missingness, schema errors.</w:t>
      </w:r>
    </w:p>
    <w:p>
      <w:pPr>
        <w:pStyle w:val="ListBullet"/>
      </w:pPr>
      <w:r>
        <w:t>Monitor analytics: alert volumes, false positives, user acknowledgements, response times.</w:t>
      </w:r>
    </w:p>
    <w:p>
      <w:pPr>
        <w:pStyle w:val="ListBullet"/>
      </w:pPr>
      <w:r>
        <w:t>Monitor models: drift, performance on recent data, explanation stability.</w:t>
      </w:r>
    </w:p>
    <w:p>
      <w:pPr>
        <w:pStyle w:val="ListBullet"/>
      </w:pPr>
      <w:r>
        <w:t>Run monthly review: top loss drivers, hotspot events, maintenance outcomes, model improvement backlog.</w:t>
      </w:r>
    </w:p>
    <w:p>
      <w:pPr>
        <w:pStyle w:val="Heading1"/>
      </w:pPr>
      <w:r>
        <w:t>15. RACI Matrix (Summary)</w:t>
      </w:r>
    </w:p>
    <w:p>
      <w:r>
        <w:t>R = Responsible, A = Accountable, C = Consulted, I = Informed.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Workstream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Tag registry &amp; asset mapping</w:t>
            </w:r>
          </w:p>
        </w:tc>
        <w:tc>
          <w:tcPr>
            <w:tcW w:type="dxa" w:w="1728"/>
          </w:tcPr>
          <w:p>
            <w:r>
              <w:t>Data Eng</w:t>
            </w:r>
          </w:p>
        </w:tc>
        <w:tc>
          <w:tcPr>
            <w:tcW w:type="dxa" w:w="1728"/>
          </w:tcPr>
          <w:p>
            <w:r>
              <w:t>OT/Controls</w:t>
            </w:r>
          </w:p>
        </w:tc>
        <w:tc>
          <w:tcPr>
            <w:tcW w:type="dxa" w:w="1728"/>
          </w:tcPr>
          <w:p>
            <w:r>
              <w:t>Process</w:t>
            </w:r>
          </w:p>
        </w:tc>
        <w:tc>
          <w:tcPr>
            <w:tcW w:type="dxa" w:w="1728"/>
          </w:tcPr>
          <w:p>
            <w:r>
              <w:t>AI/ML, SW, Safety</w:t>
            </w:r>
          </w:p>
        </w:tc>
      </w:tr>
      <w:tr>
        <w:tc>
          <w:tcPr>
            <w:tcW w:type="dxa" w:w="1728"/>
          </w:tcPr>
          <w:p>
            <w:r>
              <w:t>Edge gateway deployment</w:t>
            </w:r>
          </w:p>
        </w:tc>
        <w:tc>
          <w:tcPr>
            <w:tcW w:type="dxa" w:w="1728"/>
          </w:tcPr>
          <w:p>
            <w:r>
              <w:t>OT/Controls</w:t>
            </w:r>
          </w:p>
        </w:tc>
        <w:tc>
          <w:tcPr>
            <w:tcW w:type="dxa" w:w="1728"/>
          </w:tcPr>
          <w:p>
            <w:r>
              <w:t>Cyber/IT</w:t>
            </w:r>
          </w:p>
        </w:tc>
        <w:tc>
          <w:tcPr>
            <w:tcW w:type="dxa" w:w="1728"/>
          </w:tcPr>
          <w:p>
            <w:r>
              <w:t>Data Eng</w:t>
            </w:r>
          </w:p>
        </w:tc>
        <w:tc>
          <w:tcPr>
            <w:tcW w:type="dxa" w:w="1728"/>
          </w:tcPr>
          <w:p>
            <w:r>
              <w:t>Ops</w:t>
            </w:r>
          </w:p>
        </w:tc>
      </w:tr>
      <w:tr>
        <w:tc>
          <w:tcPr>
            <w:tcW w:type="dxa" w:w="1728"/>
          </w:tcPr>
          <w:p>
            <w:r>
              <w:t>Kafka/Storage platform</w:t>
            </w:r>
          </w:p>
        </w:tc>
        <w:tc>
          <w:tcPr>
            <w:tcW w:type="dxa" w:w="1728"/>
          </w:tcPr>
          <w:p>
            <w:r>
              <w:t>Data Eng</w:t>
            </w:r>
          </w:p>
        </w:tc>
        <w:tc>
          <w:tcPr>
            <w:tcW w:type="dxa" w:w="1728"/>
          </w:tcPr>
          <w:p>
            <w:r>
              <w:t>IT Platform</w:t>
            </w:r>
          </w:p>
        </w:tc>
        <w:tc>
          <w:tcPr>
            <w:tcW w:type="dxa" w:w="1728"/>
          </w:tcPr>
          <w:p>
            <w:r>
              <w:t>Cyber</w:t>
            </w:r>
          </w:p>
        </w:tc>
        <w:tc>
          <w:tcPr>
            <w:tcW w:type="dxa" w:w="1728"/>
          </w:tcPr>
          <w:p>
            <w:r>
              <w:t>AI/ML, SW</w:t>
            </w:r>
          </w:p>
        </w:tc>
      </w:tr>
      <w:tr>
        <w:tc>
          <w:tcPr>
            <w:tcW w:type="dxa" w:w="1728"/>
          </w:tcPr>
          <w:p>
            <w:r>
              <w:t>KPI definitions &amp; baselines</w:t>
            </w:r>
          </w:p>
        </w:tc>
        <w:tc>
          <w:tcPr>
            <w:tcW w:type="dxa" w:w="1728"/>
          </w:tcPr>
          <w:p>
            <w:r>
              <w:t>Process/Thermal</w:t>
            </w:r>
          </w:p>
        </w:tc>
        <w:tc>
          <w:tcPr>
            <w:tcW w:type="dxa" w:w="1728"/>
          </w:tcPr>
          <w:p>
            <w:r>
              <w:t>Operations</w:t>
            </w:r>
          </w:p>
        </w:tc>
        <w:tc>
          <w:tcPr>
            <w:tcW w:type="dxa" w:w="1728"/>
          </w:tcPr>
          <w:p>
            <w:r>
              <w:t>Climate, Safety</w:t>
            </w:r>
          </w:p>
        </w:tc>
        <w:tc>
          <w:tcPr>
            <w:tcW w:type="dxa" w:w="1728"/>
          </w:tcPr>
          <w:p>
            <w:r>
              <w:t>Data Eng, SW</w:t>
            </w:r>
          </w:p>
        </w:tc>
      </w:tr>
      <w:tr>
        <w:tc>
          <w:tcPr>
            <w:tcW w:type="dxa" w:w="1728"/>
          </w:tcPr>
          <w:p>
            <w:r>
              <w:t>Hotspot detection thresholds</w:t>
            </w:r>
          </w:p>
        </w:tc>
        <w:tc>
          <w:tcPr>
            <w:tcW w:type="dxa" w:w="1728"/>
          </w:tcPr>
          <w:p>
            <w:r>
              <w:t>Process/Thermal</w:t>
            </w:r>
          </w:p>
        </w:tc>
        <w:tc>
          <w:tcPr>
            <w:tcW w:type="dxa" w:w="1728"/>
          </w:tcPr>
          <w:p>
            <w:r>
              <w:t>Safety/PSM</w:t>
            </w:r>
          </w:p>
        </w:tc>
        <w:tc>
          <w:tcPr>
            <w:tcW w:type="dxa" w:w="1728"/>
          </w:tcPr>
          <w:p>
            <w:r>
              <w:t>AI/ML, OT</w:t>
            </w:r>
          </w:p>
        </w:tc>
        <w:tc>
          <w:tcPr>
            <w:tcW w:type="dxa" w:w="1728"/>
          </w:tcPr>
          <w:p>
            <w:r>
              <w:t>Ops</w:t>
            </w:r>
          </w:p>
        </w:tc>
      </w:tr>
      <w:tr>
        <w:tc>
          <w:tcPr>
            <w:tcW w:type="dxa" w:w="1728"/>
          </w:tcPr>
          <w:p>
            <w:r>
              <w:t>RUL alerts &amp; CMMS workflow</w:t>
            </w:r>
          </w:p>
        </w:tc>
        <w:tc>
          <w:tcPr>
            <w:tcW w:type="dxa" w:w="1728"/>
          </w:tcPr>
          <w:p>
            <w:r>
              <w:t>Reliability</w:t>
            </w:r>
          </w:p>
        </w:tc>
        <w:tc>
          <w:tcPr>
            <w:tcW w:type="dxa" w:w="1728"/>
          </w:tcPr>
          <w:p>
            <w:r>
              <w:t>Operations</w:t>
            </w:r>
          </w:p>
        </w:tc>
        <w:tc>
          <w:tcPr>
            <w:tcW w:type="dxa" w:w="1728"/>
          </w:tcPr>
          <w:p>
            <w:r>
              <w:t>AI/ML, SW</w:t>
            </w:r>
          </w:p>
        </w:tc>
        <w:tc>
          <w:tcPr>
            <w:tcW w:type="dxa" w:w="1728"/>
          </w:tcPr>
          <w:p>
            <w:r>
              <w:t>Safety</w:t>
            </w:r>
          </w:p>
        </w:tc>
      </w:tr>
      <w:tr>
        <w:tc>
          <w:tcPr>
            <w:tcW w:type="dxa" w:w="1728"/>
          </w:tcPr>
          <w:p>
            <w:r>
              <w:t>Model promotion/change control</w:t>
            </w:r>
          </w:p>
        </w:tc>
        <w:tc>
          <w:tcPr>
            <w:tcW w:type="dxa" w:w="1728"/>
          </w:tcPr>
          <w:p>
            <w:r>
              <w:t>AI/ML</w:t>
            </w:r>
          </w:p>
        </w:tc>
        <w:tc>
          <w:tcPr>
            <w:tcW w:type="dxa" w:w="1728"/>
          </w:tcPr>
          <w:p>
            <w:r>
              <w:t>Safety/PSM</w:t>
            </w:r>
          </w:p>
        </w:tc>
        <w:tc>
          <w:tcPr>
            <w:tcW w:type="dxa" w:w="1728"/>
          </w:tcPr>
          <w:p>
            <w:r>
              <w:t>Process, Ops</w:t>
            </w:r>
          </w:p>
        </w:tc>
        <w:tc>
          <w:tcPr>
            <w:tcW w:type="dxa" w:w="1728"/>
          </w:tcPr>
          <w:p>
            <w:r>
              <w:t>All</w:t>
            </w:r>
          </w:p>
        </w:tc>
      </w:tr>
      <w:tr>
        <w:tc>
          <w:tcPr>
            <w:tcW w:type="dxa" w:w="1728"/>
          </w:tcPr>
          <w:p>
            <w:r>
              <w:t>Compliance evidence reports</w:t>
            </w:r>
          </w:p>
        </w:tc>
        <w:tc>
          <w:tcPr>
            <w:tcW w:type="dxa" w:w="1728"/>
          </w:tcPr>
          <w:p>
            <w:r>
              <w:t>Safety/PSM</w:t>
            </w:r>
          </w:p>
        </w:tc>
        <w:tc>
          <w:tcPr>
            <w:tcW w:type="dxa" w:w="1728"/>
          </w:tcPr>
          <w:p>
            <w:r>
              <w:t>Plant Mgmt</w:t>
            </w:r>
          </w:p>
        </w:tc>
        <w:tc>
          <w:tcPr>
            <w:tcW w:type="dxa" w:w="1728"/>
          </w:tcPr>
          <w:p>
            <w:r>
              <w:t>SW, OT</w:t>
            </w:r>
          </w:p>
        </w:tc>
        <w:tc>
          <w:tcPr>
            <w:tcW w:type="dxa" w:w="1728"/>
          </w:tcPr>
          <w:p>
            <w:r>
              <w:t>All</w:t>
            </w:r>
          </w:p>
        </w:tc>
      </w:tr>
    </w:tbl>
    <w:p>
      <w:pPr>
        <w:pStyle w:val="Heading1"/>
      </w:pPr>
      <w:r>
        <w:t>16. Q1 2026 Delivery Plan (Illustrative)</w:t>
      </w:r>
    </w:p>
    <w:p>
      <w:pPr>
        <w:pStyle w:val="ListBullet"/>
      </w:pPr>
      <w:r>
        <w:t>Weeks 1–2: Finalize requirements, tag registry, architecture approval, safety boundary definition, checklist draft.</w:t>
      </w:r>
    </w:p>
    <w:p>
      <w:pPr>
        <w:pStyle w:val="ListBullet"/>
      </w:pPr>
      <w:r>
        <w:t>Weeks 3–5: Deploy OPC‑UA gateway, implement Kafka + TSDB + data lake pipelines, enable data quality metrics.</w:t>
      </w:r>
    </w:p>
    <w:p>
      <w:pPr>
        <w:pStyle w:val="ListBullet"/>
      </w:pPr>
      <w:r>
        <w:t>Weeks 6–8: KPI engine, baseline curves, first dashboards, initial hotspot rules and evidence packages.</w:t>
      </w:r>
    </w:p>
    <w:p>
      <w:pPr>
        <w:pStyle w:val="ListBullet"/>
      </w:pPr>
      <w:r>
        <w:t>Weeks 9–11: ML models (anomaly + RUL), explainability dashboards, CMMS integration, alert orchestration.</w:t>
      </w:r>
    </w:p>
    <w:p>
      <w:pPr>
        <w:pStyle w:val="ListBullet"/>
      </w:pPr>
      <w:r>
        <w:t>Weeks 12–13: Commissioning, validation, safety review, documentation completion, production rollout.</w:t>
      </w:r>
    </w:p>
    <w:p>
      <w:pPr>
        <w:pStyle w:val="Heading1"/>
      </w:pPr>
      <w:r>
        <w:t>Appendix A —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BMS</w:t>
            </w:r>
          </w:p>
        </w:tc>
        <w:tc>
          <w:tcPr>
            <w:tcW w:type="dxa" w:w="4320"/>
          </w:tcPr>
          <w:p>
            <w:r>
              <w:t>Burner Management System</w:t>
            </w:r>
          </w:p>
        </w:tc>
      </w:tr>
      <w:tr>
        <w:tc>
          <w:tcPr>
            <w:tcW w:type="dxa" w:w="4320"/>
          </w:tcPr>
          <w:p>
            <w:r>
              <w:t>CMMS</w:t>
            </w:r>
          </w:p>
        </w:tc>
        <w:tc>
          <w:tcPr>
            <w:tcW w:type="dxa" w:w="4320"/>
          </w:tcPr>
          <w:p>
            <w:r>
              <w:t>Computerized Maintenance Management System</w:t>
            </w:r>
          </w:p>
        </w:tc>
      </w:tr>
      <w:tr>
        <w:tc>
          <w:tcPr>
            <w:tcW w:type="dxa" w:w="4320"/>
          </w:tcPr>
          <w:p>
            <w:r>
              <w:t>HAZOP</w:t>
            </w:r>
          </w:p>
        </w:tc>
        <w:tc>
          <w:tcPr>
            <w:tcW w:type="dxa" w:w="4320"/>
          </w:tcPr>
          <w:p>
            <w:r>
              <w:t>Hazard and Operability Study</w:t>
            </w:r>
          </w:p>
        </w:tc>
      </w:tr>
      <w:tr>
        <w:tc>
          <w:tcPr>
            <w:tcW w:type="dxa" w:w="4320"/>
          </w:tcPr>
          <w:p>
            <w:r>
              <w:t>LOPA</w:t>
            </w:r>
          </w:p>
        </w:tc>
        <w:tc>
          <w:tcPr>
            <w:tcW w:type="dxa" w:w="4320"/>
          </w:tcPr>
          <w:p>
            <w:r>
              <w:t>Layer of Protection Analysis</w:t>
            </w:r>
          </w:p>
        </w:tc>
      </w:tr>
      <w:tr>
        <w:tc>
          <w:tcPr>
            <w:tcW w:type="dxa" w:w="4320"/>
          </w:tcPr>
          <w:p>
            <w:r>
              <w:t>NFPA 86</w:t>
            </w:r>
          </w:p>
        </w:tc>
        <w:tc>
          <w:tcPr>
            <w:tcW w:type="dxa" w:w="4320"/>
          </w:tcPr>
          <w:p>
            <w:r>
              <w:t>Standard for Ovens and Furnaces (site must use official edition)</w:t>
            </w:r>
          </w:p>
        </w:tc>
      </w:tr>
      <w:tr>
        <w:tc>
          <w:tcPr>
            <w:tcW w:type="dxa" w:w="4320"/>
          </w:tcPr>
          <w:p>
            <w:r>
              <w:t>OPC‑UA</w:t>
            </w:r>
          </w:p>
        </w:tc>
        <w:tc>
          <w:tcPr>
            <w:tcW w:type="dxa" w:w="4320"/>
          </w:tcPr>
          <w:p>
            <w:r>
              <w:t>Open Platform Communications Unified Architecture</w:t>
            </w:r>
          </w:p>
        </w:tc>
      </w:tr>
      <w:tr>
        <w:tc>
          <w:tcPr>
            <w:tcW w:type="dxa" w:w="4320"/>
          </w:tcPr>
          <w:p>
            <w:r>
              <w:t>RUL</w:t>
            </w:r>
          </w:p>
        </w:tc>
        <w:tc>
          <w:tcPr>
            <w:tcW w:type="dxa" w:w="4320"/>
          </w:tcPr>
          <w:p>
            <w:r>
              <w:t>Remaining Useful Life</w:t>
            </w:r>
          </w:p>
        </w:tc>
      </w:tr>
      <w:tr>
        <w:tc>
          <w:tcPr>
            <w:tcW w:type="dxa" w:w="4320"/>
          </w:tcPr>
          <w:p>
            <w:r>
              <w:t>SHAP</w:t>
            </w:r>
          </w:p>
        </w:tc>
        <w:tc>
          <w:tcPr>
            <w:tcW w:type="dxa" w:w="4320"/>
          </w:tcPr>
          <w:p>
            <w:r>
              <w:t>SHapley Additive exPlanations</w:t>
            </w:r>
          </w:p>
        </w:tc>
      </w:tr>
      <w:tr>
        <w:tc>
          <w:tcPr>
            <w:tcW w:type="dxa" w:w="4320"/>
          </w:tcPr>
          <w:p>
            <w:r>
              <w:t>LIME</w:t>
            </w:r>
          </w:p>
        </w:tc>
        <w:tc>
          <w:tcPr>
            <w:tcW w:type="dxa" w:w="4320"/>
          </w:tcPr>
          <w:p>
            <w:r>
              <w:t>Local Interpretable Model‑agnostic Explanations</w:t>
            </w:r>
          </w:p>
        </w:tc>
      </w:tr>
      <w:tr>
        <w:tc>
          <w:tcPr>
            <w:tcW w:type="dxa" w:w="4320"/>
          </w:tcPr>
          <w:p>
            <w:r>
              <w:t>TMT</w:t>
            </w:r>
          </w:p>
        </w:tc>
        <w:tc>
          <w:tcPr>
            <w:tcW w:type="dxa" w:w="4320"/>
          </w:tcPr>
          <w:p>
            <w:r>
              <w:t>Tube Metal Temperature</w:t>
            </w:r>
          </w:p>
        </w:tc>
      </w:tr>
      <w:tr>
        <w:tc>
          <w:tcPr>
            <w:tcW w:type="dxa" w:w="4320"/>
          </w:tcPr>
          <w:p>
            <w:r>
              <w:t>TSDB</w:t>
            </w:r>
          </w:p>
        </w:tc>
        <w:tc>
          <w:tcPr>
            <w:tcW w:type="dxa" w:w="4320"/>
          </w:tcPr>
          <w:p>
            <w:r>
              <w:t>Time‑Series Database</w:t>
            </w:r>
          </w:p>
        </w:tc>
      </w:tr>
    </w:tbl>
    <w:p>
      <w:pPr>
        <w:pStyle w:val="Heading1"/>
      </w:pPr>
      <w:r>
        <w:t>Appendix B — Example Kafka Telemetry Message (Simplified)</w:t>
      </w:r>
    </w:p>
    <w:p>
      <w:r>
        <w:rPr>
          <w:rFonts w:ascii="Consolas" w:hAnsi="Consolas" w:eastAsia="Consolas"/>
          <w:sz w:val="18"/>
        </w:rPr>
        <w:t>{</w:t>
        <w:br/>
        <w:t xml:space="preserve">  "furnace_id": "FURNACE_01",</w:t>
        <w:br/>
        <w:t xml:space="preserve">  "timestamp_utc": "2026-01-15T10:05:00Z",</w:t>
        <w:br/>
        <w:t xml:space="preserve">  "signals": {</w:t>
        <w:br/>
        <w:t xml:space="preserve">    "fuel_flow_nm3h": {"value": 1520.4, "quality": "GOOD"},</w:t>
        <w:br/>
        <w:t xml:space="preserve">    "zone1_temp_c": {"value": 1025.2, "quality": "GOOD"},</w:t>
        <w:br/>
        <w:t xml:space="preserve">    "draft_pa": {"value": -18.3, "quality": "GOOD"},</w:t>
        <w:br/>
        <w:t xml:space="preserve">    "tmt_tube_12_c": {"value": 575.0, "quality": "GOOD"},</w:t>
        <w:br/>
        <w:t xml:space="preserve">    "flame_burner_03": {"value": 1, "quality": "GOOD"}</w:t>
        <w:br/>
        <w:t xml:space="preserve">  },</w:t>
        <w:br/>
        <w:t xml:space="preserve">  "source": {"opcua_server": "DCS01", "gateway": "EDGE-A1", "schema_version": "1.0"}</w:t>
        <w:br/>
        <w:t>}</w:t>
      </w:r>
    </w:p>
    <w:p>
      <w:pPr>
        <w:pStyle w:val="Heading1"/>
      </w:pPr>
      <w:r>
        <w:t>Appendix C — Evidence Package Contents (Recommended)</w:t>
      </w:r>
    </w:p>
    <w:p>
      <w:pPr>
        <w:pStyle w:val="ListBullet"/>
      </w:pPr>
      <w:r>
        <w:t>Event summary and affected assets.</w:t>
      </w:r>
    </w:p>
    <w:p>
      <w:pPr>
        <w:pStyle w:val="ListBullet"/>
      </w:pPr>
      <w:r>
        <w:t>Trend snapshots (fuel, temps, draft, flame signals) with time window.</w:t>
      </w:r>
    </w:p>
    <w:p>
      <w:pPr>
        <w:pStyle w:val="ListBullet"/>
      </w:pPr>
      <w:r>
        <w:t>IR snapshots and hotspot annotations (if applicable).</w:t>
      </w:r>
    </w:p>
    <w:p>
      <w:pPr>
        <w:pStyle w:val="ListBullet"/>
      </w:pPr>
      <w:r>
        <w:t>Model outputs + SHAP/LIME explanation + confidence.</w:t>
      </w:r>
    </w:p>
    <w:p>
      <w:pPr>
        <w:pStyle w:val="ListBullet"/>
      </w:pPr>
      <w:r>
        <w:t>User acknowledgements and actions taken.</w:t>
      </w:r>
    </w:p>
    <w:p>
      <w:pPr>
        <w:pStyle w:val="ListBullet"/>
      </w:pPr>
      <w:r>
        <w:t>Linked CMMS work order(s) and closure notes.</w:t>
      </w:r>
    </w:p>
    <w:p>
      <w:pPr>
        <w:pStyle w:val="ListBullet"/>
      </w:pPr>
      <w:r>
        <w:t>Related HAZOP/LOPA references and protection layer notes.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