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GL-009 ThermalIQ — ThermalFluidAnalyzer</w:t>
        <w:br/>
        <w:t>Build &amp; Delivery Guide</w:t>
      </w:r>
    </w:p>
    <w:p>
      <w:pPr>
        <w:jc w:val="center"/>
      </w:pPr>
      <w:r>
        <w:rPr>
          <w:sz w:val="24"/>
        </w:rPr>
        <w:t>GreenLang Agents Program | Analytics / Calculator Agent</w:t>
      </w:r>
    </w:p>
    <w:p>
      <w:pPr>
        <w:jc w:val="center"/>
      </w:pPr>
      <w:r>
        <w:rPr>
          <w:sz w:val="24"/>
        </w:rPr>
        <w:t>Version 1.0 | December 18, 2025</w:t>
      </w:r>
    </w:p>
    <w:p/>
    <w:p>
      <w:r>
        <w:t>Purpose: align AI, software, data, thermal engineering, climate intelligence, and validation teams on the end-to-end build plan for GL-009 (ThermalIQ), including required datasets, mathematics, deterministic compliance rules, integration contracts, and acceptance criteria.</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top"/>
            <w:shd w:fill="D9E1F2"/>
          </w:tcPr>
          <w:p>
            <w:pPr/>
            <w:r/>
            <w:r>
              <w:rPr>
                <w:b/>
              </w:rPr>
              <w:t>Item</w:t>
            </w:r>
          </w:p>
        </w:tc>
        <w:tc>
          <w:tcPr>
            <w:tcW w:type="dxa" w:w="2340"/>
            <w:vAlign w:val="top"/>
            <w:shd w:fill="D9E1F2"/>
          </w:tcPr>
          <w:p>
            <w:pPr/>
            <w:r/>
            <w:r>
              <w:rPr>
                <w:b/>
              </w:rPr>
              <w:t>Value</w:t>
            </w:r>
          </w:p>
        </w:tc>
        <w:tc>
          <w:tcPr>
            <w:tcW w:type="dxa" w:w="2340"/>
            <w:vAlign w:val="top"/>
            <w:shd w:fill="D9E1F2"/>
          </w:tcPr>
          <w:p>
            <w:pPr/>
            <w:r/>
            <w:r>
              <w:rPr>
                <w:b/>
              </w:rPr>
              <w:t>Item</w:t>
            </w:r>
          </w:p>
        </w:tc>
        <w:tc>
          <w:tcPr>
            <w:tcW w:type="dxa" w:w="2340"/>
            <w:vAlign w:val="top"/>
            <w:shd w:fill="D9E1F2"/>
          </w:tcPr>
          <w:p>
            <w:pPr/>
            <w:r/>
            <w:r>
              <w:rPr>
                <w:b/>
              </w:rPr>
              <w:t>Value</w:t>
            </w:r>
          </w:p>
        </w:tc>
      </w:tr>
      <w:tr>
        <w:tc>
          <w:tcPr>
            <w:tcW w:type="dxa" w:w="2340"/>
            <w:vAlign w:val="top"/>
          </w:tcPr>
          <w:p>
            <w:pPr/>
            <w:r/>
            <w:r>
              <w:rPr>
                <w:b/>
              </w:rPr>
              <w:t>Agent ID</w:t>
            </w:r>
          </w:p>
        </w:tc>
        <w:tc>
          <w:tcPr>
            <w:tcW w:type="dxa" w:w="2340"/>
            <w:vAlign w:val="top"/>
          </w:tcPr>
          <w:p>
            <w:pPr/>
            <w:r/>
            <w:r>
              <w:rPr>
                <w:b w:val="0"/>
              </w:rPr>
              <w:t>GL-009</w:t>
            </w:r>
          </w:p>
        </w:tc>
        <w:tc>
          <w:tcPr>
            <w:tcW w:type="dxa" w:w="2340"/>
            <w:vAlign w:val="top"/>
          </w:tcPr>
          <w:p>
            <w:pPr/>
            <w:r/>
            <w:r>
              <w:rPr>
                <w:b/>
              </w:rPr>
              <w:t>Codename</w:t>
            </w:r>
          </w:p>
        </w:tc>
        <w:tc>
          <w:tcPr>
            <w:tcW w:type="dxa" w:w="2340"/>
            <w:vAlign w:val="top"/>
          </w:tcPr>
          <w:p>
            <w:pPr/>
            <w:r/>
            <w:r>
              <w:rPr>
                <w:b w:val="0"/>
              </w:rPr>
              <w:t>THERMALIQ</w:t>
            </w:r>
          </w:p>
        </w:tc>
      </w:tr>
      <w:tr>
        <w:tc>
          <w:tcPr>
            <w:tcW w:type="dxa" w:w="2340"/>
            <w:vAlign w:val="top"/>
          </w:tcPr>
          <w:p>
            <w:pPr/>
            <w:r/>
            <w:r>
              <w:rPr>
                <w:b/>
              </w:rPr>
              <w:t>Agent Name</w:t>
            </w:r>
          </w:p>
        </w:tc>
        <w:tc>
          <w:tcPr>
            <w:tcW w:type="dxa" w:w="2340"/>
            <w:vAlign w:val="top"/>
          </w:tcPr>
          <w:p>
            <w:pPr/>
            <w:r/>
            <w:r>
              <w:rPr>
                <w:b w:val="0"/>
              </w:rPr>
              <w:t>ThermalFluidAnalyzer</w:t>
            </w:r>
          </w:p>
        </w:tc>
        <w:tc>
          <w:tcPr>
            <w:tcW w:type="dxa" w:w="2340"/>
            <w:vAlign w:val="top"/>
          </w:tcPr>
          <w:p>
            <w:pPr/>
            <w:r/>
            <w:r>
              <w:rPr>
                <w:b/>
              </w:rPr>
              <w:t>Type</w:t>
            </w:r>
          </w:p>
        </w:tc>
        <w:tc>
          <w:tcPr>
            <w:tcW w:type="dxa" w:w="2340"/>
            <w:vAlign w:val="top"/>
          </w:tcPr>
          <w:p>
            <w:pPr/>
            <w:r/>
            <w:r>
              <w:rPr>
                <w:b w:val="0"/>
              </w:rPr>
              <w:t>Analytics / Calculator</w:t>
            </w:r>
          </w:p>
        </w:tc>
      </w:tr>
      <w:tr>
        <w:tc>
          <w:tcPr>
            <w:tcW w:type="dxa" w:w="2340"/>
            <w:vAlign w:val="top"/>
          </w:tcPr>
          <w:p>
            <w:pPr/>
            <w:r/>
            <w:r>
              <w:rPr>
                <w:b/>
              </w:rPr>
              <w:t>Complexity</w:t>
            </w:r>
          </w:p>
        </w:tc>
        <w:tc>
          <w:tcPr>
            <w:tcW w:type="dxa" w:w="2340"/>
            <w:vAlign w:val="top"/>
          </w:tcPr>
          <w:p>
            <w:pPr/>
            <w:r/>
            <w:r>
              <w:rPr>
                <w:b w:val="0"/>
              </w:rPr>
              <w:t>Medium</w:t>
            </w:r>
          </w:p>
        </w:tc>
        <w:tc>
          <w:tcPr>
            <w:tcW w:type="dxa" w:w="2340"/>
            <w:vAlign w:val="top"/>
          </w:tcPr>
          <w:p>
            <w:pPr/>
            <w:r/>
            <w:r>
              <w:rPr>
                <w:b/>
              </w:rPr>
              <w:t>Priority</w:t>
            </w:r>
          </w:p>
        </w:tc>
        <w:tc>
          <w:tcPr>
            <w:tcW w:type="dxa" w:w="2340"/>
            <w:vAlign w:val="top"/>
          </w:tcPr>
          <w:p>
            <w:pPr/>
            <w:r/>
            <w:r>
              <w:rPr>
                <w:b w:val="0"/>
              </w:rPr>
              <w:t>P1</w:t>
            </w:r>
          </w:p>
        </w:tc>
      </w:tr>
    </w:tbl>
    <w:p>
      <w:r>
        <w:t>Document owners should keep this file versioned in the engineering repository and require change review for any modifications to input/output contracts or mathematics.</w:t>
      </w:r>
    </w:p>
    <w:p>
      <w:r>
        <w:br w:type="page"/>
      </w:r>
    </w:p>
    <w:p>
      <w:pPr>
        <w:pStyle w:val="Heading1"/>
      </w:pPr>
      <w:r>
        <w:t>Table of Contents</w:t>
      </w:r>
    </w:p>
    <w:p>
      <w:r>
        <w:fldChar w:fldCharType="begin"/>
        <w:instrText xml:space="preserve">TOC \o "1-3" \h \z \u</w:instrText>
        <w:fldChar w:fldCharType="separate"/>
        <w:t>Right-click to update field.</w:t>
        <w:fldChar w:fldCharType="end"/>
      </w:r>
    </w:p>
    <w:p>
      <w:r>
        <w:t>Note: In Microsoft Word, right-click the table of contents and choose 'Update Field' after opening.</w:t>
      </w:r>
    </w:p>
    <w:p>
      <w:r>
        <w:br w:type="page"/>
      </w:r>
    </w:p>
    <w:p>
      <w:pPr>
        <w:pStyle w:val="Heading1"/>
      </w:pPr>
      <w:r>
        <w:t>1. Executive Summary</w:t>
      </w:r>
    </w:p>
    <w:p>
      <w:r>
        <w:t>GL-009 (ThermalIQ) is a deterministic thermofluid analytics agent that computes thermal efficiency, exergy destruction, thermodynamic property tables, Sankey visualizations, and heat-transfer-fluid recommendations from plant energy/thermal measurements and equipment metadata.</w:t>
      </w:r>
    </w:p>
    <w:p>
      <w:r>
        <w:t>The defining requirement is zero-hallucination: every numeric output must be reproducible, traceable to validated inputs and versioned thermophysical property datasets, and computed by a shared calculation library (no free-form numeric generation).</w:t>
      </w:r>
    </w:p>
    <w:p>
      <w:pPr>
        <w:pStyle w:val="ListBullet"/>
      </w:pPr>
      <w:r>
        <w:t>Primary deliverable: production-grade shared thermodynamic calculation library + service interface used by the agent and other GreenLang agents.</w:t>
      </w:r>
    </w:p>
    <w:p>
      <w:pPr>
        <w:pStyle w:val="ListBullet"/>
      </w:pPr>
      <w:r>
        <w:t>Core analytics: energy balance + exergy analysis with breakdowns by component and loss mechanism.</w:t>
      </w:r>
    </w:p>
    <w:p>
      <w:pPr>
        <w:pStyle w:val="ListBullet"/>
      </w:pPr>
      <w:r>
        <w:t>Decision support: fluid recommendations for 25+ heat transfer fluids, with SHAP/LIME explainability for the recommendation model and sensitivity analysis for deterministic calculations.</w:t>
      </w:r>
    </w:p>
    <w:p>
      <w:pPr>
        <w:pStyle w:val="ListBullet"/>
      </w:pPr>
      <w:r>
        <w:t>Visualization: automated Sankey diagrams (energy and exergy) generated from validated balances.</w:t>
      </w:r>
    </w:p>
    <w:p>
      <w:pPr>
        <w:pStyle w:val="ListBullet"/>
      </w:pPr>
      <w:r>
        <w:t>Integrations: energy meters and process historians via OPC-UA, historian APIs, and GraphQL service layer.</w:t>
      </w:r>
    </w:p>
    <w:p>
      <w:r>
        <w:br w:type="page"/>
      </w:r>
    </w:p>
    <w:p>
      <w:pPr>
        <w:pStyle w:val="Heading1"/>
      </w:pPr>
      <w:r>
        <w:t>2. Agent Definition and Contract</w:t>
      </w:r>
    </w:p>
    <w:p>
      <w:r>
        <w:t>The definition below is the authoritative contract for scope control, interface design, and validation.</w:t>
      </w:r>
    </w:p>
    <w:tbl>
      <w:tblPr>
        <w:tblStyle w:val="TableGrid"/>
        <w:tblW w:type="auto" w:w="0"/>
        <w:jc w:val="center"/>
        <w:tblLook w:firstColumn="1" w:firstRow="1" w:lastColumn="0" w:lastRow="0" w:noHBand="0" w:noVBand="1" w:val="04A0"/>
      </w:tblPr>
      <w:tblGrid>
        <w:gridCol w:w="4680"/>
        <w:gridCol w:w="4680"/>
      </w:tblGrid>
      <w:tr>
        <w:tc>
          <w:tcPr>
            <w:tcW w:type="dxa" w:w="4680"/>
            <w:vAlign w:val="top"/>
            <w:shd w:fill="E2EFDA"/>
          </w:tcPr>
          <w:p>
            <w:pPr/>
            <w:r/>
            <w:r>
              <w:rPr>
                <w:b/>
              </w:rPr>
              <w:t>Field</w:t>
            </w:r>
          </w:p>
        </w:tc>
        <w:tc>
          <w:tcPr>
            <w:tcW w:type="dxa" w:w="4680"/>
            <w:vAlign w:val="top"/>
            <w:shd w:fill="E2EFDA"/>
          </w:tcPr>
          <w:p>
            <w:pPr/>
            <w:r/>
            <w:r>
              <w:rPr>
                <w:b/>
              </w:rPr>
              <w:t>Specification</w:t>
            </w:r>
          </w:p>
        </w:tc>
      </w:tr>
      <w:tr>
        <w:tc>
          <w:tcPr>
            <w:tcW w:type="dxa" w:w="4680"/>
            <w:vAlign w:val="top"/>
          </w:tcPr>
          <w:p>
            <w:pPr/>
            <w:r/>
            <w:r>
              <w:rPr>
                <w:b/>
              </w:rPr>
              <w:t>ID</w:t>
            </w:r>
          </w:p>
        </w:tc>
        <w:tc>
          <w:tcPr>
            <w:tcW w:type="dxa" w:w="4680"/>
            <w:vAlign w:val="top"/>
          </w:tcPr>
          <w:p>
            <w:pPr/>
            <w:r/>
            <w:r>
              <w:rPr>
                <w:b w:val="0"/>
              </w:rPr>
              <w:t>GL-009</w:t>
            </w:r>
          </w:p>
        </w:tc>
      </w:tr>
      <w:tr>
        <w:tc>
          <w:tcPr>
            <w:tcW w:type="dxa" w:w="4680"/>
            <w:vAlign w:val="top"/>
          </w:tcPr>
          <w:p>
            <w:pPr/>
            <w:r/>
            <w:r>
              <w:rPr>
                <w:b/>
              </w:rPr>
              <w:t>Codename / Brand</w:t>
            </w:r>
          </w:p>
        </w:tc>
        <w:tc>
          <w:tcPr>
            <w:tcW w:type="dxa" w:w="4680"/>
            <w:vAlign w:val="top"/>
          </w:tcPr>
          <w:p>
            <w:pPr/>
            <w:r/>
            <w:r>
              <w:rPr>
                <w:b w:val="0"/>
              </w:rPr>
              <w:t>THERMALIQ</w:t>
            </w:r>
          </w:p>
        </w:tc>
      </w:tr>
      <w:tr>
        <w:tc>
          <w:tcPr>
            <w:tcW w:type="dxa" w:w="4680"/>
            <w:vAlign w:val="top"/>
          </w:tcPr>
          <w:p>
            <w:pPr/>
            <w:r/>
            <w:r>
              <w:rPr>
                <w:b/>
              </w:rPr>
              <w:t>Internal Name</w:t>
            </w:r>
          </w:p>
        </w:tc>
        <w:tc>
          <w:tcPr>
            <w:tcW w:type="dxa" w:w="4680"/>
            <w:vAlign w:val="top"/>
          </w:tcPr>
          <w:p>
            <w:pPr/>
            <w:r/>
            <w:r>
              <w:rPr>
                <w:b w:val="0"/>
              </w:rPr>
              <w:t>ThermalFluidAnalyzer</w:t>
            </w:r>
          </w:p>
        </w:tc>
      </w:tr>
      <w:tr>
        <w:tc>
          <w:tcPr>
            <w:tcW w:type="dxa" w:w="4680"/>
            <w:vAlign w:val="top"/>
          </w:tcPr>
          <w:p>
            <w:pPr/>
            <w:r/>
            <w:r>
              <w:rPr>
                <w:b/>
              </w:rPr>
              <w:t>Category</w:t>
            </w:r>
          </w:p>
        </w:tc>
        <w:tc>
          <w:tcPr>
            <w:tcW w:type="dxa" w:w="4680"/>
            <w:vAlign w:val="top"/>
          </w:tcPr>
          <w:p>
            <w:pPr/>
            <w:r/>
            <w:r>
              <w:rPr>
                <w:b w:val="0"/>
              </w:rPr>
              <w:t>Analytics</w:t>
            </w:r>
          </w:p>
        </w:tc>
      </w:tr>
      <w:tr>
        <w:tc>
          <w:tcPr>
            <w:tcW w:type="dxa" w:w="4680"/>
            <w:vAlign w:val="top"/>
          </w:tcPr>
          <w:p>
            <w:pPr/>
            <w:r/>
            <w:r>
              <w:rPr>
                <w:b/>
              </w:rPr>
              <w:t>Mode</w:t>
            </w:r>
          </w:p>
        </w:tc>
        <w:tc>
          <w:tcPr>
            <w:tcW w:type="dxa" w:w="4680"/>
            <w:vAlign w:val="top"/>
          </w:tcPr>
          <w:p>
            <w:pPr/>
            <w:r/>
            <w:r>
              <w:rPr>
                <w:b w:val="0"/>
              </w:rPr>
              <w:t>Calculator (deterministic numeric engine + structured outputs)</w:t>
            </w:r>
          </w:p>
        </w:tc>
      </w:tr>
      <w:tr>
        <w:tc>
          <w:tcPr>
            <w:tcW w:type="dxa" w:w="4680"/>
            <w:vAlign w:val="top"/>
          </w:tcPr>
          <w:p>
            <w:pPr/>
            <w:r/>
            <w:r>
              <w:rPr>
                <w:b/>
              </w:rPr>
              <w:t>Complexity / Priority</w:t>
            </w:r>
          </w:p>
        </w:tc>
        <w:tc>
          <w:tcPr>
            <w:tcW w:type="dxa" w:w="4680"/>
            <w:vAlign w:val="top"/>
          </w:tcPr>
          <w:p>
            <w:pPr/>
            <w:r/>
            <w:r>
              <w:rPr>
                <w:b w:val="0"/>
              </w:rPr>
              <w:t>Medium / P1</w:t>
            </w:r>
          </w:p>
        </w:tc>
      </w:tr>
      <w:tr>
        <w:tc>
          <w:tcPr>
            <w:tcW w:type="dxa" w:w="4680"/>
            <w:vAlign w:val="top"/>
          </w:tcPr>
          <w:p>
            <w:pPr/>
            <w:r/>
            <w:r>
              <w:rPr>
                <w:b/>
              </w:rPr>
              <w:t>Business Value (program)</w:t>
            </w:r>
          </w:p>
        </w:tc>
        <w:tc>
          <w:tcPr>
            <w:tcW w:type="dxa" w:w="4680"/>
            <w:vAlign w:val="top"/>
          </w:tcPr>
          <w:p>
            <w:pPr/>
            <w:r/>
            <w:r>
              <w:rPr>
                <w:b w:val="0"/>
              </w:rPr>
              <w:t>$7B (as provided in the agent register)</w:t>
            </w:r>
          </w:p>
        </w:tc>
      </w:tr>
      <w:tr>
        <w:tc>
          <w:tcPr>
            <w:tcW w:type="dxa" w:w="4680"/>
            <w:vAlign w:val="top"/>
          </w:tcPr>
          <w:p>
            <w:pPr/>
            <w:r/>
            <w:r>
              <w:rPr>
                <w:b/>
              </w:rPr>
              <w:t>Target Milestone</w:t>
            </w:r>
          </w:p>
        </w:tc>
        <w:tc>
          <w:tcPr>
            <w:tcW w:type="dxa" w:w="4680"/>
            <w:vAlign w:val="top"/>
          </w:tcPr>
          <w:p>
            <w:pPr/>
            <w:r/>
            <w:r>
              <w:rPr>
                <w:b w:val="0"/>
              </w:rPr>
              <w:t>Q1 2026</w:t>
            </w:r>
          </w:p>
        </w:tc>
      </w:tr>
      <w:tr>
        <w:tc>
          <w:tcPr>
            <w:tcW w:type="dxa" w:w="4680"/>
            <w:vAlign w:val="top"/>
          </w:tcPr>
          <w:p>
            <w:pPr/>
            <w:r/>
            <w:r>
              <w:rPr>
                <w:b/>
              </w:rPr>
              <w:t>Status</w:t>
            </w:r>
          </w:p>
        </w:tc>
        <w:tc>
          <w:tcPr>
            <w:tcW w:type="dxa" w:w="4680"/>
            <w:vAlign w:val="top"/>
          </w:tcPr>
          <w:p>
            <w:pPr/>
            <w:r/>
            <w:r>
              <w:rPr>
                <w:b w:val="0"/>
              </w:rPr>
              <w:t>Implemented (prototype). This guide covers productionization, integration hardening, and validation.</w:t>
            </w:r>
          </w:p>
        </w:tc>
      </w:tr>
    </w:tbl>
    <w:p/>
    <w:p>
      <w:pPr>
        <w:pStyle w:val="Heading2"/>
      </w:pPr>
      <w:r>
        <w:t>2.1 Core Capability Statement</w:t>
      </w:r>
    </w:p>
    <w:p>
      <w:r>
        <w:t>ThermalIQ provides a shared calculation library with exergy analysis, SHAP/LIME explainability support for 25+ heat transfer fluids, deterministic compliance, Sankey diagram generation, and comprehensive thermodynamic property calculations.</w:t>
      </w:r>
    </w:p>
    <w:p>
      <w:pPr>
        <w:pStyle w:val="Heading2"/>
      </w:pPr>
      <w:r>
        <w:t>2.2 Inputs, Outputs, and Integrations</w:t>
      </w:r>
    </w:p>
    <w:tbl>
      <w:tblPr>
        <w:tblStyle w:val="TableGrid"/>
        <w:tblW w:type="auto" w:w="0"/>
        <w:jc w:val="center"/>
        <w:tblLook w:firstColumn="1" w:firstRow="1" w:lastColumn="0" w:lastRow="0" w:noHBand="0" w:noVBand="1" w:val="04A0"/>
      </w:tblPr>
      <w:tblGrid>
        <w:gridCol w:w="4680"/>
        <w:gridCol w:w="4680"/>
      </w:tblGrid>
      <w:tr>
        <w:tc>
          <w:tcPr>
            <w:tcW w:type="dxa" w:w="4680"/>
            <w:vAlign w:val="top"/>
            <w:shd w:fill="D9E1F2"/>
          </w:tcPr>
          <w:p>
            <w:pPr/>
            <w:r/>
            <w:r>
              <w:rPr>
                <w:b/>
              </w:rPr>
              <w:t>Type</w:t>
            </w:r>
          </w:p>
        </w:tc>
        <w:tc>
          <w:tcPr>
            <w:tcW w:type="dxa" w:w="4680"/>
            <w:vAlign w:val="top"/>
            <w:shd w:fill="D9E1F2"/>
          </w:tcPr>
          <w:p>
            <w:pPr/>
            <w:r/>
            <w:r>
              <w:rPr>
                <w:b/>
              </w:rPr>
              <w:t>Details</w:t>
            </w:r>
          </w:p>
        </w:tc>
      </w:tr>
      <w:tr>
        <w:tc>
          <w:tcPr>
            <w:tcW w:type="dxa" w:w="4680"/>
            <w:vAlign w:val="top"/>
          </w:tcPr>
          <w:p>
            <w:pPr/>
            <w:r/>
            <w:r>
              <w:rPr>
                <w:b/>
              </w:rPr>
              <w:t>Inputs</w:t>
            </w:r>
          </w:p>
        </w:tc>
        <w:tc>
          <w:tcPr>
            <w:tcW w:type="dxa" w:w="4680"/>
            <w:vAlign w:val="top"/>
          </w:tcPr>
          <w:p>
            <w:pPr/>
            <w:r/>
            <w:r>
              <w:rPr>
                <w:b w:val="0"/>
              </w:rPr>
              <w:t>Energy inputs; useful heat output; losses; fluid properties; operating conditions; ambient temperature; equipment specifications.</w:t>
            </w:r>
          </w:p>
        </w:tc>
      </w:tr>
      <w:tr>
        <w:tc>
          <w:tcPr>
            <w:tcW w:type="dxa" w:w="4680"/>
            <w:vAlign w:val="top"/>
          </w:tcPr>
          <w:p>
            <w:pPr/>
            <w:r/>
            <w:r>
              <w:rPr>
                <w:b/>
              </w:rPr>
              <w:t>Outputs</w:t>
            </w:r>
          </w:p>
        </w:tc>
        <w:tc>
          <w:tcPr>
            <w:tcW w:type="dxa" w:w="4680"/>
            <w:vAlign w:val="top"/>
          </w:tcPr>
          <w:p>
            <w:pPr/>
            <w:r/>
            <w:r>
              <w:rPr>
                <w:b w:val="0"/>
              </w:rPr>
              <w:t>Thermal efficiency (%); exergy destruction; Sankey diagrams; fluid recommendations; property tables; explainability reports; uncertainty analysis.</w:t>
            </w:r>
          </w:p>
        </w:tc>
      </w:tr>
      <w:tr>
        <w:tc>
          <w:tcPr>
            <w:tcW w:type="dxa" w:w="4680"/>
            <w:vAlign w:val="top"/>
          </w:tcPr>
          <w:p>
            <w:pPr/>
            <w:r/>
            <w:r>
              <w:rPr>
                <w:b/>
              </w:rPr>
              <w:t>Integrations</w:t>
            </w:r>
          </w:p>
        </w:tc>
        <w:tc>
          <w:tcPr>
            <w:tcW w:type="dxa" w:w="4680"/>
            <w:vAlign w:val="top"/>
          </w:tcPr>
          <w:p>
            <w:pPr/>
            <w:r/>
            <w:r>
              <w:rPr>
                <w:b w:val="0"/>
              </w:rPr>
              <w:t>Energy meters; process data historians; OPC-UA; GraphQL.</w:t>
            </w:r>
          </w:p>
        </w:tc>
      </w:tr>
    </w:tbl>
    <w:p>
      <w:r>
        <w:br w:type="page"/>
      </w:r>
    </w:p>
    <w:p>
      <w:pPr>
        <w:pStyle w:val="Heading1"/>
      </w:pPr>
      <w:r>
        <w:t>3. Scope, Use Cases, and Boundaries</w:t>
      </w:r>
    </w:p>
    <w:p>
      <w:pPr>
        <w:pStyle w:val="Heading2"/>
      </w:pPr>
      <w:r>
        <w:t>3.1 Primary Use Cases</w:t>
      </w:r>
    </w:p>
    <w:p>
      <w:pPr>
        <w:pStyle w:val="ListBullet"/>
      </w:pPr>
      <w:r>
        <w:t>Thermal loop performance: evaluate heat-transfer-fluid loop efficiency (supply/return temperatures, flow, pump power) and quantify losses.</w:t>
      </w:r>
    </w:p>
    <w:p>
      <w:pPr>
        <w:pStyle w:val="ListBullet"/>
      </w:pPr>
      <w:r>
        <w:t>Boiler/heater performance: compute useful heat output vs. fuel/electric input; allocate losses (stack, radiation, blowdown, standby).</w:t>
      </w:r>
    </w:p>
    <w:p>
      <w:pPr>
        <w:pStyle w:val="ListBullet"/>
      </w:pPr>
      <w:r>
        <w:t>Heat recovery evaluation: quantify recovered useful heat and exergy benefit vs. rejected heat streams.</w:t>
      </w:r>
    </w:p>
    <w:p>
      <w:pPr>
        <w:pStyle w:val="ListBullet"/>
      </w:pPr>
      <w:r>
        <w:t>Fluid selection and optimization: recommend alternative heat transfer fluids based on operating range, pumping power, heat transfer performance, safety, and stability.</w:t>
      </w:r>
    </w:p>
    <w:p>
      <w:pPr>
        <w:pStyle w:val="ListBullet"/>
      </w:pPr>
      <w:r>
        <w:t>Sustainability reporting: translate energy and exergy results into energy-saving opportunities and emissions impact (when emissions factors are supplied).</w:t>
      </w:r>
    </w:p>
    <w:p>
      <w:pPr>
        <w:pStyle w:val="Heading2"/>
      </w:pPr>
      <w:r>
        <w:t>3.2 Out-of-Scope (for GL-009 MVP)</w:t>
      </w:r>
    </w:p>
    <w:p>
      <w:pPr>
        <w:pStyle w:val="ListBullet"/>
      </w:pPr>
      <w:r>
        <w:t>Detailed CFD or transient finite-element thermal modeling (use specialized simulation tools instead).</w:t>
      </w:r>
    </w:p>
    <w:p>
      <w:pPr>
        <w:pStyle w:val="ListBullet"/>
      </w:pPr>
      <w:r>
        <w:t>Chemical degradation kinetics modeling beyond basic stability constraints unless the fluid dataset explicitly supports it.</w:t>
      </w:r>
    </w:p>
    <w:p>
      <w:pPr>
        <w:pStyle w:val="ListBullet"/>
      </w:pPr>
      <w:r>
        <w:t>Financial optimization (CAPEX/OPEX) beyond providing input-ready metrics (energy savings, pump power delta, expected efficiency gain).</w:t>
      </w:r>
    </w:p>
    <w:p>
      <w:pPr>
        <w:pStyle w:val="Heading2"/>
      </w:pPr>
      <w:r>
        <w:t>3.3 Operating Modes</w:t>
      </w:r>
    </w:p>
    <w:p>
      <w:pPr>
        <w:pStyle w:val="ListBullet"/>
      </w:pPr>
      <w:r>
        <w:t>Steady-state snapshot (single timestamp or averaged window) — default mode for deterministic reporting.</w:t>
      </w:r>
    </w:p>
    <w:p>
      <w:pPr>
        <w:pStyle w:val="ListBullet"/>
      </w:pPr>
      <w:r>
        <w:t>Time-window analysis (rolling or batch) — supports trend analytics, percentile metrics, and anomaly flags (still deterministic).</w:t>
      </w:r>
    </w:p>
    <w:p>
      <w:r>
        <w:br w:type="page"/>
      </w:r>
    </w:p>
    <w:p>
      <w:pPr>
        <w:pStyle w:val="Heading1"/>
      </w:pPr>
      <w:r>
        <w:t>4. End-to-End Workflow (What the Agent Does)</w:t>
      </w:r>
    </w:p>
    <w:p>
      <w:r>
        <w:t>ThermalIQ should implement the following deterministic pipeline. Each step is testable and auditable.</w:t>
      </w:r>
    </w:p>
    <w:p>
      <w:pPr>
        <w:pStyle w:val="ListNumber"/>
      </w:pPr>
      <w:r>
        <w:t>Ingest inputs from meters/historians/spec sheets (OPC-UA, historian APIs, GraphQL payloads, or uploaded files).</w:t>
      </w:r>
    </w:p>
    <w:p>
      <w:pPr>
        <w:pStyle w:val="ListNumber"/>
      </w:pPr>
      <w:r>
        <w:t>Normalize units and timestamps; validate ranges, sensor quality flags, and completeness.</w:t>
      </w:r>
    </w:p>
    <w:p>
      <w:pPr>
        <w:pStyle w:val="ListNumber"/>
      </w:pPr>
      <w:r>
        <w:t>Resolve fluid identity and retrieve versioned thermophysical property models for the target temperature/pressure range.</w:t>
      </w:r>
    </w:p>
    <w:p>
      <w:pPr>
        <w:pStyle w:val="ListNumber"/>
      </w:pPr>
      <w:r>
        <w:t>Compute energy balance: energy in, useful heat out, losses, and any storage term (if applicable).</w:t>
      </w:r>
    </w:p>
    <w:p>
      <w:pPr>
        <w:pStyle w:val="ListNumber"/>
      </w:pPr>
      <w:r>
        <w:t>Compute exergy balance and exergy destruction (total + breakdown), using defined reference environment (T0, P0).</w:t>
      </w:r>
    </w:p>
    <w:p>
      <w:pPr>
        <w:pStyle w:val="ListNumber"/>
      </w:pPr>
      <w:r>
        <w:t>Generate Sankey datasets (node/link tables) and render energy/exergy Sankey diagrams.</w:t>
      </w:r>
    </w:p>
    <w:p>
      <w:pPr>
        <w:pStyle w:val="ListNumber"/>
      </w:pPr>
      <w:r>
        <w:t>If fluid recommendation requested: evaluate candidate fluids, score feasibility and performance, and generate ranked recommendations.</w:t>
      </w:r>
    </w:p>
    <w:p>
      <w:pPr>
        <w:pStyle w:val="ListNumber"/>
      </w:pPr>
      <w:r>
        <w:t>Generate structured outputs (JSON) + human-readable report, including uncertainty propagation and explainability artifacts.</w:t>
      </w:r>
    </w:p>
    <w:p>
      <w:pPr>
        <w:pStyle w:val="ListNumber"/>
      </w:pPr>
      <w:r>
        <w:t>Persist results with full traceability: input snapshot hashes, property dataset version, library version, and calculation configuration.</w:t>
      </w:r>
    </w:p>
    <w:p>
      <w:r>
        <w:br w:type="page"/>
      </w:r>
    </w:p>
    <w:p>
      <w:pPr>
        <w:pStyle w:val="Heading1"/>
      </w:pPr>
      <w:r>
        <w:t>5. Cross-Team Delivery Plan (Who Does What)</w:t>
      </w:r>
    </w:p>
    <w:p>
      <w:pPr>
        <w:pStyle w:val="Heading2"/>
      </w:pPr>
      <w:r>
        <w:t>5.1 Workstreams</w:t>
      </w:r>
    </w:p>
    <w:p>
      <w:pPr>
        <w:pStyle w:val="ListBullet"/>
      </w:pPr>
      <w:r>
        <w:t>WS1 — Shared Thermodynamic Calculation Library (core math + properties).</w:t>
      </w:r>
    </w:p>
    <w:p>
      <w:pPr>
        <w:pStyle w:val="ListBullet"/>
      </w:pPr>
      <w:r>
        <w:t>WS2 — Data Ingestion, Validation, and Integration (OPC-UA, historians, GraphQL).</w:t>
      </w:r>
    </w:p>
    <w:p>
      <w:pPr>
        <w:pStyle w:val="ListBullet"/>
      </w:pPr>
      <w:r>
        <w:t>WS3 — Agent Orchestration (AI) and Explainability (SHAP/LIME + sensitivity).</w:t>
      </w:r>
    </w:p>
    <w:p>
      <w:pPr>
        <w:pStyle w:val="ListBullet"/>
      </w:pPr>
      <w:r>
        <w:t>WS4 — Visualization and Reporting (Sankey + tables + exports).</w:t>
      </w:r>
    </w:p>
    <w:p>
      <w:pPr>
        <w:pStyle w:val="ListBullet"/>
      </w:pPr>
      <w:r>
        <w:t>WS5 — Quality, Determinism, and Compliance (testing, auditability, security).</w:t>
      </w:r>
    </w:p>
    <w:p>
      <w:pPr>
        <w:pStyle w:val="Heading2"/>
      </w:pPr>
      <w:r>
        <w:t>5.2 RACI Matrix (Major Deliverables)</w:t>
      </w:r>
    </w:p>
    <w:tbl>
      <w:tblPr>
        <w:tblStyle w:val="TableGrid"/>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vAlign w:val="top"/>
            <w:shd w:fill="D9E1F2"/>
          </w:tcPr>
          <w:p>
            <w:pPr/>
            <w:r/>
            <w:r>
              <w:rPr>
                <w:b/>
              </w:rPr>
              <w:t>Deliverable / Task</w:t>
            </w:r>
          </w:p>
        </w:tc>
        <w:tc>
          <w:tcPr>
            <w:tcW w:type="dxa" w:w="851"/>
            <w:vAlign w:val="top"/>
            <w:shd w:fill="D9E1F2"/>
          </w:tcPr>
          <w:p>
            <w:pPr/>
            <w:r/>
            <w:r>
              <w:rPr>
                <w:b/>
              </w:rPr>
              <w:t>Product/PM</w:t>
            </w:r>
          </w:p>
        </w:tc>
        <w:tc>
          <w:tcPr>
            <w:tcW w:type="dxa" w:w="851"/>
            <w:vAlign w:val="top"/>
            <w:shd w:fill="D9E1F2"/>
          </w:tcPr>
          <w:p>
            <w:pPr/>
            <w:r/>
            <w:r>
              <w:rPr>
                <w:b/>
              </w:rPr>
              <w:t>Thermal Eng</w:t>
            </w:r>
          </w:p>
        </w:tc>
        <w:tc>
          <w:tcPr>
            <w:tcW w:type="dxa" w:w="851"/>
            <w:vAlign w:val="top"/>
            <w:shd w:fill="D9E1F2"/>
          </w:tcPr>
          <w:p>
            <w:pPr/>
            <w:r/>
            <w:r>
              <w:rPr>
                <w:b/>
              </w:rPr>
              <w:t>Thermo/Math</w:t>
            </w:r>
          </w:p>
        </w:tc>
        <w:tc>
          <w:tcPr>
            <w:tcW w:type="dxa" w:w="851"/>
            <w:vAlign w:val="top"/>
            <w:shd w:fill="D9E1F2"/>
          </w:tcPr>
          <w:p>
            <w:pPr/>
            <w:r/>
            <w:r>
              <w:rPr>
                <w:b/>
              </w:rPr>
              <w:t>AI/ML</w:t>
            </w:r>
          </w:p>
        </w:tc>
        <w:tc>
          <w:tcPr>
            <w:tcW w:type="dxa" w:w="851"/>
            <w:vAlign w:val="top"/>
            <w:shd w:fill="D9E1F2"/>
          </w:tcPr>
          <w:p>
            <w:pPr/>
            <w:r/>
            <w:r>
              <w:rPr>
                <w:b/>
              </w:rPr>
              <w:t>Backend</w:t>
            </w:r>
          </w:p>
        </w:tc>
        <w:tc>
          <w:tcPr>
            <w:tcW w:type="dxa" w:w="851"/>
            <w:vAlign w:val="top"/>
            <w:shd w:fill="D9E1F2"/>
          </w:tcPr>
          <w:p>
            <w:pPr/>
            <w:r/>
            <w:r>
              <w:rPr>
                <w:b/>
              </w:rPr>
              <w:t>Data Eng</w:t>
            </w:r>
          </w:p>
        </w:tc>
        <w:tc>
          <w:tcPr>
            <w:tcW w:type="dxa" w:w="851"/>
            <w:vAlign w:val="top"/>
            <w:shd w:fill="D9E1F2"/>
          </w:tcPr>
          <w:p>
            <w:pPr/>
            <w:r/>
            <w:r>
              <w:rPr>
                <w:b/>
              </w:rPr>
              <w:t>Integration</w:t>
            </w:r>
          </w:p>
        </w:tc>
        <w:tc>
          <w:tcPr>
            <w:tcW w:type="dxa" w:w="851"/>
            <w:vAlign w:val="top"/>
            <w:shd w:fill="D9E1F2"/>
          </w:tcPr>
          <w:p>
            <w:pPr/>
            <w:r/>
            <w:r>
              <w:rPr>
                <w:b/>
              </w:rPr>
              <w:t>Climate Intel</w:t>
            </w:r>
          </w:p>
        </w:tc>
        <w:tc>
          <w:tcPr>
            <w:tcW w:type="dxa" w:w="851"/>
            <w:vAlign w:val="top"/>
            <w:shd w:fill="D9E1F2"/>
          </w:tcPr>
          <w:p>
            <w:pPr/>
            <w:r/>
            <w:r>
              <w:rPr>
                <w:b/>
              </w:rPr>
              <w:t>QA/Validation</w:t>
            </w:r>
          </w:p>
        </w:tc>
        <w:tc>
          <w:tcPr>
            <w:tcW w:type="dxa" w:w="851"/>
            <w:vAlign w:val="top"/>
            <w:shd w:fill="D9E1F2"/>
          </w:tcPr>
          <w:p>
            <w:pPr/>
            <w:r/>
            <w:r>
              <w:rPr>
                <w:b/>
              </w:rPr>
              <w:t>DevOps/Sec</w:t>
            </w:r>
          </w:p>
        </w:tc>
      </w:tr>
      <w:tr>
        <w:tc>
          <w:tcPr>
            <w:tcW w:type="dxa" w:w="851"/>
            <w:vAlign w:val="top"/>
          </w:tcPr>
          <w:p>
            <w:pPr/>
            <w:r/>
            <w:r>
              <w:rPr>
                <w:b/>
              </w:rPr>
              <w:t>Requirements &amp; acceptance criteria</w:t>
            </w:r>
          </w:p>
        </w:tc>
        <w:tc>
          <w:tcPr>
            <w:tcW w:type="dxa" w:w="851"/>
            <w:vAlign w:val="top"/>
          </w:tcPr>
          <w:p>
            <w:pPr>
              <w:jc w:val="center"/>
            </w:pPr>
            <w:r/>
            <w:r>
              <w:rPr>
                <w:b w:val="0"/>
              </w:rPr>
              <w:t>A</w:t>
            </w:r>
          </w:p>
        </w:tc>
        <w:tc>
          <w:tcPr>
            <w:tcW w:type="dxa" w:w="851"/>
            <w:vAlign w:val="top"/>
          </w:tcPr>
          <w:p>
            <w:pPr>
              <w:jc w:val="center"/>
            </w:pPr>
            <w:r/>
            <w:r>
              <w:rPr>
                <w:b w:val="0"/>
              </w:rPr>
              <w:t>C</w:t>
            </w:r>
          </w:p>
        </w:tc>
        <w:tc>
          <w:tcPr>
            <w:tcW w:type="dxa" w:w="851"/>
            <w:vAlign w:val="top"/>
          </w:tcPr>
          <w:p>
            <w:pPr>
              <w:jc w:val="center"/>
            </w:pPr>
            <w:r/>
            <w:r>
              <w:rPr>
                <w:b w:val="0"/>
              </w:rPr>
              <w:t>C</w:t>
            </w:r>
          </w:p>
        </w:tc>
        <w:tc>
          <w:tcPr>
            <w:tcW w:type="dxa" w:w="851"/>
            <w:vAlign w:val="top"/>
          </w:tcPr>
          <w:p>
            <w:pPr>
              <w:jc w:val="center"/>
            </w:pPr>
            <w:r/>
            <w:r>
              <w:rPr>
                <w:b w:val="0"/>
              </w:rPr>
              <w:t>C</w:t>
            </w:r>
          </w:p>
        </w:tc>
        <w:tc>
          <w:tcPr>
            <w:tcW w:type="dxa" w:w="851"/>
            <w:vAlign w:val="top"/>
          </w:tcPr>
          <w:p>
            <w:pPr>
              <w:jc w:val="center"/>
            </w:pPr>
            <w:r/>
            <w:r>
              <w:rPr>
                <w:b w:val="0"/>
              </w:rPr>
              <w:t>R</w:t>
            </w:r>
          </w:p>
        </w:tc>
        <w:tc>
          <w:tcPr>
            <w:tcW w:type="dxa" w:w="851"/>
            <w:vAlign w:val="top"/>
          </w:tcPr>
          <w:p>
            <w:pPr>
              <w:jc w:val="center"/>
            </w:pPr>
            <w:r/>
            <w:r>
              <w:rPr>
                <w:b w:val="0"/>
              </w:rPr>
              <w:t>C</w:t>
            </w:r>
          </w:p>
        </w:tc>
        <w:tc>
          <w:tcPr>
            <w:tcW w:type="dxa" w:w="851"/>
            <w:vAlign w:val="top"/>
          </w:tcPr>
          <w:p>
            <w:pPr>
              <w:jc w:val="center"/>
            </w:pPr>
            <w:r/>
            <w:r>
              <w:rPr>
                <w:b w:val="0"/>
              </w:rPr>
              <w:t>C</w:t>
            </w:r>
          </w:p>
        </w:tc>
        <w:tc>
          <w:tcPr>
            <w:tcW w:type="dxa" w:w="851"/>
            <w:vAlign w:val="top"/>
          </w:tcPr>
          <w:p>
            <w:pPr>
              <w:jc w:val="center"/>
            </w:pPr>
            <w:r/>
            <w:r>
              <w:rPr>
                <w:b w:val="0"/>
              </w:rPr>
              <w:t>C</w:t>
            </w:r>
          </w:p>
        </w:tc>
        <w:tc>
          <w:tcPr>
            <w:tcW w:type="dxa" w:w="851"/>
            <w:vAlign w:val="top"/>
          </w:tcPr>
          <w:p>
            <w:pPr>
              <w:jc w:val="center"/>
            </w:pPr>
            <w:r/>
            <w:r>
              <w:rPr>
                <w:b w:val="0"/>
              </w:rPr>
              <w:t>R</w:t>
            </w:r>
          </w:p>
        </w:tc>
        <w:tc>
          <w:tcPr>
            <w:tcW w:type="dxa" w:w="851"/>
            <w:vAlign w:val="top"/>
          </w:tcPr>
          <w:p>
            <w:pPr>
              <w:jc w:val="center"/>
            </w:pPr>
            <w:r/>
            <w:r>
              <w:rPr>
                <w:b w:val="0"/>
              </w:rPr>
              <w:t>C</w:t>
            </w:r>
          </w:p>
        </w:tc>
      </w:tr>
      <w:tr>
        <w:tc>
          <w:tcPr>
            <w:tcW w:type="dxa" w:w="851"/>
            <w:vAlign w:val="top"/>
          </w:tcPr>
          <w:p>
            <w:pPr/>
            <w:r/>
            <w:r>
              <w:rPr>
                <w:b/>
              </w:rPr>
              <w:t>Thermophysical property dataset (25+ fluids) + versioning</w:t>
            </w:r>
          </w:p>
        </w:tc>
        <w:tc>
          <w:tcPr>
            <w:tcW w:type="dxa" w:w="851"/>
            <w:vAlign w:val="top"/>
          </w:tcPr>
          <w:p>
            <w:pPr>
              <w:jc w:val="center"/>
            </w:pPr>
            <w:r/>
            <w:r>
              <w:rPr>
                <w:b w:val="0"/>
              </w:rPr>
              <w:t>C</w:t>
            </w:r>
          </w:p>
        </w:tc>
        <w:tc>
          <w:tcPr>
            <w:tcW w:type="dxa" w:w="851"/>
            <w:vAlign w:val="top"/>
          </w:tcPr>
          <w:p>
            <w:pPr>
              <w:jc w:val="center"/>
            </w:pPr>
            <w:r/>
            <w:r>
              <w:rPr>
                <w:b w:val="0"/>
              </w:rPr>
              <w:t>A</w:t>
            </w:r>
          </w:p>
        </w:tc>
        <w:tc>
          <w:tcPr>
            <w:tcW w:type="dxa" w:w="851"/>
            <w:vAlign w:val="top"/>
          </w:tcPr>
          <w:p>
            <w:pPr>
              <w:jc w:val="center"/>
            </w:pPr>
            <w:r/>
            <w:r>
              <w:rPr>
                <w:b w:val="0"/>
              </w:rPr>
              <w:t>R</w:t>
            </w:r>
          </w:p>
        </w:tc>
        <w:tc>
          <w:tcPr>
            <w:tcW w:type="dxa" w:w="851"/>
            <w:vAlign w:val="top"/>
          </w:tcPr>
          <w:p>
            <w:pPr>
              <w:jc w:val="center"/>
            </w:pPr>
            <w:r/>
            <w:r>
              <w:rPr>
                <w:b w:val="0"/>
              </w:rPr>
              <w:t>C</w:t>
            </w:r>
          </w:p>
        </w:tc>
        <w:tc>
          <w:tcPr>
            <w:tcW w:type="dxa" w:w="851"/>
            <w:vAlign w:val="top"/>
          </w:tcPr>
          <w:p>
            <w:pPr>
              <w:jc w:val="center"/>
            </w:pPr>
            <w:r/>
            <w:r>
              <w:rPr>
                <w:b w:val="0"/>
              </w:rPr>
              <w:t>C</w:t>
            </w:r>
          </w:p>
        </w:tc>
        <w:tc>
          <w:tcPr>
            <w:tcW w:type="dxa" w:w="851"/>
            <w:vAlign w:val="top"/>
          </w:tcPr>
          <w:p>
            <w:pPr>
              <w:jc w:val="center"/>
            </w:pPr>
            <w:r/>
            <w:r>
              <w:rPr>
                <w:b w:val="0"/>
              </w:rPr>
              <w:t>R</w:t>
            </w:r>
          </w:p>
        </w:tc>
        <w:tc>
          <w:tcPr>
            <w:tcW w:type="dxa" w:w="851"/>
            <w:vAlign w:val="top"/>
          </w:tcPr>
          <w:p>
            <w:pPr>
              <w:jc w:val="center"/>
            </w:pPr>
            <w:r/>
            <w:r>
              <w:rPr>
                <w:b w:val="0"/>
              </w:rPr>
              <w:t>I</w:t>
            </w:r>
          </w:p>
        </w:tc>
        <w:tc>
          <w:tcPr>
            <w:tcW w:type="dxa" w:w="851"/>
            <w:vAlign w:val="top"/>
          </w:tcPr>
          <w:p>
            <w:pPr>
              <w:jc w:val="center"/>
            </w:pPr>
            <w:r/>
            <w:r>
              <w:rPr>
                <w:b w:val="0"/>
              </w:rPr>
              <w:t>C</w:t>
            </w:r>
          </w:p>
        </w:tc>
        <w:tc>
          <w:tcPr>
            <w:tcW w:type="dxa" w:w="851"/>
            <w:vAlign w:val="top"/>
          </w:tcPr>
          <w:p>
            <w:pPr>
              <w:jc w:val="center"/>
            </w:pPr>
            <w:r/>
            <w:r>
              <w:rPr>
                <w:b w:val="0"/>
              </w:rPr>
              <w:t>C</w:t>
            </w:r>
          </w:p>
        </w:tc>
        <w:tc>
          <w:tcPr>
            <w:tcW w:type="dxa" w:w="851"/>
            <w:vAlign w:val="top"/>
          </w:tcPr>
          <w:p>
            <w:pPr>
              <w:jc w:val="center"/>
            </w:pPr>
            <w:r/>
            <w:r>
              <w:rPr>
                <w:b w:val="0"/>
              </w:rPr>
              <w:t>C</w:t>
            </w:r>
          </w:p>
        </w:tc>
      </w:tr>
      <w:tr>
        <w:tc>
          <w:tcPr>
            <w:tcW w:type="dxa" w:w="851"/>
            <w:vAlign w:val="top"/>
          </w:tcPr>
          <w:p>
            <w:pPr/>
            <w:r/>
            <w:r>
              <w:rPr>
                <w:b/>
              </w:rPr>
              <w:t>Shared calculation library (units, energy, exergy)</w:t>
            </w:r>
          </w:p>
        </w:tc>
        <w:tc>
          <w:tcPr>
            <w:tcW w:type="dxa" w:w="851"/>
            <w:vAlign w:val="top"/>
          </w:tcPr>
          <w:p>
            <w:pPr>
              <w:jc w:val="center"/>
            </w:pPr>
            <w:r/>
            <w:r>
              <w:rPr>
                <w:b w:val="0"/>
              </w:rPr>
              <w:t>C</w:t>
            </w:r>
          </w:p>
        </w:tc>
        <w:tc>
          <w:tcPr>
            <w:tcW w:type="dxa" w:w="851"/>
            <w:vAlign w:val="top"/>
          </w:tcPr>
          <w:p>
            <w:pPr>
              <w:jc w:val="center"/>
            </w:pPr>
            <w:r/>
            <w:r>
              <w:rPr>
                <w:b w:val="0"/>
              </w:rPr>
              <w:t>C</w:t>
            </w:r>
          </w:p>
        </w:tc>
        <w:tc>
          <w:tcPr>
            <w:tcW w:type="dxa" w:w="851"/>
            <w:vAlign w:val="top"/>
          </w:tcPr>
          <w:p>
            <w:pPr>
              <w:jc w:val="center"/>
            </w:pPr>
            <w:r/>
            <w:r>
              <w:rPr>
                <w:b w:val="0"/>
              </w:rPr>
              <w:t>A</w:t>
            </w:r>
          </w:p>
        </w:tc>
        <w:tc>
          <w:tcPr>
            <w:tcW w:type="dxa" w:w="851"/>
            <w:vAlign w:val="top"/>
          </w:tcPr>
          <w:p>
            <w:pPr>
              <w:jc w:val="center"/>
            </w:pPr>
            <w:r/>
            <w:r>
              <w:rPr>
                <w:b w:val="0"/>
              </w:rPr>
              <w:t>C</w:t>
            </w:r>
          </w:p>
        </w:tc>
        <w:tc>
          <w:tcPr>
            <w:tcW w:type="dxa" w:w="851"/>
            <w:vAlign w:val="top"/>
          </w:tcPr>
          <w:p>
            <w:pPr>
              <w:jc w:val="center"/>
            </w:pPr>
            <w:r/>
            <w:r>
              <w:rPr>
                <w:b w:val="0"/>
              </w:rPr>
              <w:t>R</w:t>
            </w:r>
          </w:p>
        </w:tc>
        <w:tc>
          <w:tcPr>
            <w:tcW w:type="dxa" w:w="851"/>
            <w:vAlign w:val="top"/>
          </w:tcPr>
          <w:p>
            <w:pPr>
              <w:jc w:val="center"/>
            </w:pPr>
            <w:r/>
            <w:r>
              <w:rPr>
                <w:b w:val="0"/>
              </w:rPr>
              <w:t>C</w:t>
            </w:r>
          </w:p>
        </w:tc>
        <w:tc>
          <w:tcPr>
            <w:tcW w:type="dxa" w:w="851"/>
            <w:vAlign w:val="top"/>
          </w:tcPr>
          <w:p>
            <w:pPr>
              <w:jc w:val="center"/>
            </w:pPr>
            <w:r/>
            <w:r>
              <w:rPr>
                <w:b w:val="0"/>
              </w:rPr>
              <w:t>I</w:t>
            </w:r>
          </w:p>
        </w:tc>
        <w:tc>
          <w:tcPr>
            <w:tcW w:type="dxa" w:w="851"/>
            <w:vAlign w:val="top"/>
          </w:tcPr>
          <w:p>
            <w:pPr>
              <w:jc w:val="center"/>
            </w:pPr>
            <w:r/>
            <w:r>
              <w:rPr>
                <w:b w:val="0"/>
              </w:rPr>
              <w:t>C</w:t>
            </w:r>
          </w:p>
        </w:tc>
        <w:tc>
          <w:tcPr>
            <w:tcW w:type="dxa" w:w="851"/>
            <w:vAlign w:val="top"/>
          </w:tcPr>
          <w:p>
            <w:pPr>
              <w:jc w:val="center"/>
            </w:pPr>
            <w:r/>
            <w:r>
              <w:rPr>
                <w:b w:val="0"/>
              </w:rPr>
              <w:t>R</w:t>
            </w:r>
          </w:p>
        </w:tc>
        <w:tc>
          <w:tcPr>
            <w:tcW w:type="dxa" w:w="851"/>
            <w:vAlign w:val="top"/>
          </w:tcPr>
          <w:p>
            <w:pPr>
              <w:jc w:val="center"/>
            </w:pPr>
            <w:r/>
            <w:r>
              <w:rPr>
                <w:b w:val="0"/>
              </w:rPr>
              <w:t>C</w:t>
            </w:r>
          </w:p>
        </w:tc>
      </w:tr>
      <w:tr>
        <w:tc>
          <w:tcPr>
            <w:tcW w:type="dxa" w:w="851"/>
            <w:vAlign w:val="top"/>
          </w:tcPr>
          <w:p>
            <w:pPr/>
            <w:r/>
            <w:r>
              <w:rPr>
                <w:b/>
              </w:rPr>
              <w:t>Energy balance + loss allocation models</w:t>
            </w:r>
          </w:p>
        </w:tc>
        <w:tc>
          <w:tcPr>
            <w:tcW w:type="dxa" w:w="851"/>
            <w:vAlign w:val="top"/>
          </w:tcPr>
          <w:p>
            <w:pPr>
              <w:jc w:val="center"/>
            </w:pPr>
            <w:r/>
            <w:r>
              <w:rPr>
                <w:b w:val="0"/>
              </w:rPr>
              <w:t>C</w:t>
            </w:r>
          </w:p>
        </w:tc>
        <w:tc>
          <w:tcPr>
            <w:tcW w:type="dxa" w:w="851"/>
            <w:vAlign w:val="top"/>
          </w:tcPr>
          <w:p>
            <w:pPr>
              <w:jc w:val="center"/>
            </w:pPr>
            <w:r/>
            <w:r>
              <w:rPr>
                <w:b w:val="0"/>
              </w:rPr>
              <w:t>A</w:t>
            </w:r>
          </w:p>
        </w:tc>
        <w:tc>
          <w:tcPr>
            <w:tcW w:type="dxa" w:w="851"/>
            <w:vAlign w:val="top"/>
          </w:tcPr>
          <w:p>
            <w:pPr>
              <w:jc w:val="center"/>
            </w:pPr>
            <w:r/>
            <w:r>
              <w:rPr>
                <w:b w:val="0"/>
              </w:rPr>
              <w:t>R</w:t>
            </w:r>
          </w:p>
        </w:tc>
        <w:tc>
          <w:tcPr>
            <w:tcW w:type="dxa" w:w="851"/>
            <w:vAlign w:val="top"/>
          </w:tcPr>
          <w:p>
            <w:pPr>
              <w:jc w:val="center"/>
            </w:pPr>
            <w:r/>
            <w:r>
              <w:rPr>
                <w:b w:val="0"/>
              </w:rPr>
              <w:t>I</w:t>
            </w:r>
          </w:p>
        </w:tc>
        <w:tc>
          <w:tcPr>
            <w:tcW w:type="dxa" w:w="851"/>
            <w:vAlign w:val="top"/>
          </w:tcPr>
          <w:p>
            <w:pPr>
              <w:jc w:val="center"/>
            </w:pPr>
            <w:r/>
            <w:r>
              <w:rPr>
                <w:b w:val="0"/>
              </w:rPr>
              <w:t>R</w:t>
            </w:r>
          </w:p>
        </w:tc>
        <w:tc>
          <w:tcPr>
            <w:tcW w:type="dxa" w:w="851"/>
            <w:vAlign w:val="top"/>
          </w:tcPr>
          <w:p>
            <w:pPr>
              <w:jc w:val="center"/>
            </w:pPr>
            <w:r/>
            <w:r>
              <w:rPr>
                <w:b w:val="0"/>
              </w:rPr>
              <w:t>C</w:t>
            </w:r>
          </w:p>
        </w:tc>
        <w:tc>
          <w:tcPr>
            <w:tcW w:type="dxa" w:w="851"/>
            <w:vAlign w:val="top"/>
          </w:tcPr>
          <w:p>
            <w:pPr>
              <w:jc w:val="center"/>
            </w:pPr>
            <w:r/>
            <w:r>
              <w:rPr>
                <w:b w:val="0"/>
              </w:rPr>
              <w:t>I</w:t>
            </w:r>
          </w:p>
        </w:tc>
        <w:tc>
          <w:tcPr>
            <w:tcW w:type="dxa" w:w="851"/>
            <w:vAlign w:val="top"/>
          </w:tcPr>
          <w:p>
            <w:pPr>
              <w:jc w:val="center"/>
            </w:pPr>
            <w:r/>
            <w:r>
              <w:rPr>
                <w:b w:val="0"/>
              </w:rPr>
              <w:t>C</w:t>
            </w:r>
          </w:p>
        </w:tc>
        <w:tc>
          <w:tcPr>
            <w:tcW w:type="dxa" w:w="851"/>
            <w:vAlign w:val="top"/>
          </w:tcPr>
          <w:p>
            <w:pPr>
              <w:jc w:val="center"/>
            </w:pPr>
            <w:r/>
            <w:r>
              <w:rPr>
                <w:b w:val="0"/>
              </w:rPr>
              <w:t>R</w:t>
            </w:r>
          </w:p>
        </w:tc>
        <w:tc>
          <w:tcPr>
            <w:tcW w:type="dxa" w:w="851"/>
            <w:vAlign w:val="top"/>
          </w:tcPr>
          <w:p>
            <w:pPr>
              <w:jc w:val="center"/>
            </w:pPr>
            <w:r/>
            <w:r>
              <w:rPr>
                <w:b w:val="0"/>
              </w:rPr>
              <w:t>C</w:t>
            </w:r>
          </w:p>
        </w:tc>
      </w:tr>
      <w:tr>
        <w:tc>
          <w:tcPr>
            <w:tcW w:type="dxa" w:w="851"/>
            <w:vAlign w:val="top"/>
          </w:tcPr>
          <w:p>
            <w:pPr/>
            <w:r/>
            <w:r>
              <w:rPr>
                <w:b/>
              </w:rPr>
              <w:t>Exergy analysis methodology + validation</w:t>
            </w:r>
          </w:p>
        </w:tc>
        <w:tc>
          <w:tcPr>
            <w:tcW w:type="dxa" w:w="851"/>
            <w:vAlign w:val="top"/>
          </w:tcPr>
          <w:p>
            <w:pPr>
              <w:jc w:val="center"/>
            </w:pPr>
            <w:r/>
            <w:r>
              <w:rPr>
                <w:b w:val="0"/>
              </w:rPr>
              <w:t>C</w:t>
            </w:r>
          </w:p>
        </w:tc>
        <w:tc>
          <w:tcPr>
            <w:tcW w:type="dxa" w:w="851"/>
            <w:vAlign w:val="top"/>
          </w:tcPr>
          <w:p>
            <w:pPr>
              <w:jc w:val="center"/>
            </w:pPr>
            <w:r/>
            <w:r>
              <w:rPr>
                <w:b w:val="0"/>
              </w:rPr>
              <w:t>C</w:t>
            </w:r>
          </w:p>
        </w:tc>
        <w:tc>
          <w:tcPr>
            <w:tcW w:type="dxa" w:w="851"/>
            <w:vAlign w:val="top"/>
          </w:tcPr>
          <w:p>
            <w:pPr>
              <w:jc w:val="center"/>
            </w:pPr>
            <w:r/>
            <w:r>
              <w:rPr>
                <w:b w:val="0"/>
              </w:rPr>
              <w:t>A</w:t>
            </w:r>
          </w:p>
        </w:tc>
        <w:tc>
          <w:tcPr>
            <w:tcW w:type="dxa" w:w="851"/>
            <w:vAlign w:val="top"/>
          </w:tcPr>
          <w:p>
            <w:pPr>
              <w:jc w:val="center"/>
            </w:pPr>
            <w:r/>
            <w:r>
              <w:rPr>
                <w:b w:val="0"/>
              </w:rPr>
              <w:t>I</w:t>
            </w:r>
          </w:p>
        </w:tc>
        <w:tc>
          <w:tcPr>
            <w:tcW w:type="dxa" w:w="851"/>
            <w:vAlign w:val="top"/>
          </w:tcPr>
          <w:p>
            <w:pPr>
              <w:jc w:val="center"/>
            </w:pPr>
            <w:r/>
            <w:r>
              <w:rPr>
                <w:b w:val="0"/>
              </w:rPr>
              <w:t>R</w:t>
            </w:r>
          </w:p>
        </w:tc>
        <w:tc>
          <w:tcPr>
            <w:tcW w:type="dxa" w:w="851"/>
            <w:vAlign w:val="top"/>
          </w:tcPr>
          <w:p>
            <w:pPr>
              <w:jc w:val="center"/>
            </w:pPr>
            <w:r/>
            <w:r>
              <w:rPr>
                <w:b w:val="0"/>
              </w:rPr>
              <w:t>C</w:t>
            </w:r>
          </w:p>
        </w:tc>
        <w:tc>
          <w:tcPr>
            <w:tcW w:type="dxa" w:w="851"/>
            <w:vAlign w:val="top"/>
          </w:tcPr>
          <w:p>
            <w:pPr>
              <w:jc w:val="center"/>
            </w:pPr>
            <w:r/>
            <w:r>
              <w:rPr>
                <w:b w:val="0"/>
              </w:rPr>
              <w:t>I</w:t>
            </w:r>
          </w:p>
        </w:tc>
        <w:tc>
          <w:tcPr>
            <w:tcW w:type="dxa" w:w="851"/>
            <w:vAlign w:val="top"/>
          </w:tcPr>
          <w:p>
            <w:pPr>
              <w:jc w:val="center"/>
            </w:pPr>
            <w:r/>
            <w:r>
              <w:rPr>
                <w:b w:val="0"/>
              </w:rPr>
              <w:t>C</w:t>
            </w:r>
          </w:p>
        </w:tc>
        <w:tc>
          <w:tcPr>
            <w:tcW w:type="dxa" w:w="851"/>
            <w:vAlign w:val="top"/>
          </w:tcPr>
          <w:p>
            <w:pPr>
              <w:jc w:val="center"/>
            </w:pPr>
            <w:r/>
            <w:r>
              <w:rPr>
                <w:b w:val="0"/>
              </w:rPr>
              <w:t>R</w:t>
            </w:r>
          </w:p>
        </w:tc>
        <w:tc>
          <w:tcPr>
            <w:tcW w:type="dxa" w:w="851"/>
            <w:vAlign w:val="top"/>
          </w:tcPr>
          <w:p>
            <w:pPr>
              <w:jc w:val="center"/>
            </w:pPr>
            <w:r/>
            <w:r>
              <w:rPr>
                <w:b w:val="0"/>
              </w:rPr>
              <w:t>C</w:t>
            </w:r>
          </w:p>
        </w:tc>
      </w:tr>
      <w:tr>
        <w:tc>
          <w:tcPr>
            <w:tcW w:type="dxa" w:w="851"/>
            <w:vAlign w:val="top"/>
          </w:tcPr>
          <w:p>
            <w:pPr/>
            <w:r/>
            <w:r>
              <w:rPr>
                <w:b/>
              </w:rPr>
              <w:t>Fluid recommendation engine + constraints</w:t>
            </w:r>
          </w:p>
        </w:tc>
        <w:tc>
          <w:tcPr>
            <w:tcW w:type="dxa" w:w="851"/>
            <w:vAlign w:val="top"/>
          </w:tcPr>
          <w:p>
            <w:pPr>
              <w:jc w:val="center"/>
            </w:pPr>
            <w:r/>
            <w:r>
              <w:rPr>
                <w:b w:val="0"/>
              </w:rPr>
              <w:t>C</w:t>
            </w:r>
          </w:p>
        </w:tc>
        <w:tc>
          <w:tcPr>
            <w:tcW w:type="dxa" w:w="851"/>
            <w:vAlign w:val="top"/>
          </w:tcPr>
          <w:p>
            <w:pPr>
              <w:jc w:val="center"/>
            </w:pPr>
            <w:r/>
            <w:r>
              <w:rPr>
                <w:b w:val="0"/>
              </w:rPr>
              <w:t>R</w:t>
            </w:r>
          </w:p>
        </w:tc>
        <w:tc>
          <w:tcPr>
            <w:tcW w:type="dxa" w:w="851"/>
            <w:vAlign w:val="top"/>
          </w:tcPr>
          <w:p>
            <w:pPr>
              <w:jc w:val="center"/>
            </w:pPr>
            <w:r/>
            <w:r>
              <w:rPr>
                <w:b w:val="0"/>
              </w:rPr>
              <w:t>C</w:t>
            </w:r>
          </w:p>
        </w:tc>
        <w:tc>
          <w:tcPr>
            <w:tcW w:type="dxa" w:w="851"/>
            <w:vAlign w:val="top"/>
          </w:tcPr>
          <w:p>
            <w:pPr>
              <w:jc w:val="center"/>
            </w:pPr>
            <w:r/>
            <w:r>
              <w:rPr>
                <w:b w:val="0"/>
              </w:rPr>
              <w:t>A</w:t>
            </w:r>
          </w:p>
        </w:tc>
        <w:tc>
          <w:tcPr>
            <w:tcW w:type="dxa" w:w="851"/>
            <w:vAlign w:val="top"/>
          </w:tcPr>
          <w:p>
            <w:pPr>
              <w:jc w:val="center"/>
            </w:pPr>
            <w:r/>
            <w:r>
              <w:rPr>
                <w:b w:val="0"/>
              </w:rPr>
              <w:t>R</w:t>
            </w:r>
          </w:p>
        </w:tc>
        <w:tc>
          <w:tcPr>
            <w:tcW w:type="dxa" w:w="851"/>
            <w:vAlign w:val="top"/>
          </w:tcPr>
          <w:p>
            <w:pPr>
              <w:jc w:val="center"/>
            </w:pPr>
            <w:r/>
            <w:r>
              <w:rPr>
                <w:b w:val="0"/>
              </w:rPr>
              <w:t>C</w:t>
            </w:r>
          </w:p>
        </w:tc>
        <w:tc>
          <w:tcPr>
            <w:tcW w:type="dxa" w:w="851"/>
            <w:vAlign w:val="top"/>
          </w:tcPr>
          <w:p>
            <w:pPr>
              <w:jc w:val="center"/>
            </w:pPr>
            <w:r/>
            <w:r>
              <w:rPr>
                <w:b w:val="0"/>
              </w:rPr>
              <w:t>I</w:t>
            </w:r>
          </w:p>
        </w:tc>
        <w:tc>
          <w:tcPr>
            <w:tcW w:type="dxa" w:w="851"/>
            <w:vAlign w:val="top"/>
          </w:tcPr>
          <w:p>
            <w:pPr>
              <w:jc w:val="center"/>
            </w:pPr>
            <w:r/>
            <w:r>
              <w:rPr>
                <w:b w:val="0"/>
              </w:rPr>
              <w:t>C</w:t>
            </w:r>
          </w:p>
        </w:tc>
        <w:tc>
          <w:tcPr>
            <w:tcW w:type="dxa" w:w="851"/>
            <w:vAlign w:val="top"/>
          </w:tcPr>
          <w:p>
            <w:pPr>
              <w:jc w:val="center"/>
            </w:pPr>
            <w:r/>
            <w:r>
              <w:rPr>
                <w:b w:val="0"/>
              </w:rPr>
              <w:t>R</w:t>
            </w:r>
          </w:p>
        </w:tc>
        <w:tc>
          <w:tcPr>
            <w:tcW w:type="dxa" w:w="851"/>
            <w:vAlign w:val="top"/>
          </w:tcPr>
          <w:p>
            <w:pPr>
              <w:jc w:val="center"/>
            </w:pPr>
            <w:r/>
            <w:r>
              <w:rPr>
                <w:b w:val="0"/>
              </w:rPr>
              <w:t>C</w:t>
            </w:r>
          </w:p>
        </w:tc>
      </w:tr>
      <w:tr>
        <w:tc>
          <w:tcPr>
            <w:tcW w:type="dxa" w:w="851"/>
            <w:vAlign w:val="top"/>
          </w:tcPr>
          <w:p>
            <w:pPr/>
            <w:r/>
            <w:r>
              <w:rPr>
                <w:b/>
              </w:rPr>
              <w:t>Explainability (SHAP/LIME + sensitivity reporting)</w:t>
            </w:r>
          </w:p>
        </w:tc>
        <w:tc>
          <w:tcPr>
            <w:tcW w:type="dxa" w:w="851"/>
            <w:vAlign w:val="top"/>
          </w:tcPr>
          <w:p>
            <w:pPr>
              <w:jc w:val="center"/>
            </w:pPr>
            <w:r/>
            <w:r>
              <w:rPr>
                <w:b w:val="0"/>
              </w:rPr>
              <w:t>I</w:t>
            </w:r>
          </w:p>
        </w:tc>
        <w:tc>
          <w:tcPr>
            <w:tcW w:type="dxa" w:w="851"/>
            <w:vAlign w:val="top"/>
          </w:tcPr>
          <w:p>
            <w:pPr>
              <w:jc w:val="center"/>
            </w:pPr>
            <w:r/>
            <w:r>
              <w:rPr>
                <w:b w:val="0"/>
              </w:rPr>
              <w:t>C</w:t>
            </w:r>
          </w:p>
        </w:tc>
        <w:tc>
          <w:tcPr>
            <w:tcW w:type="dxa" w:w="851"/>
            <w:vAlign w:val="top"/>
          </w:tcPr>
          <w:p>
            <w:pPr>
              <w:jc w:val="center"/>
            </w:pPr>
            <w:r/>
            <w:r>
              <w:rPr>
                <w:b w:val="0"/>
              </w:rPr>
              <w:t>C</w:t>
            </w:r>
          </w:p>
        </w:tc>
        <w:tc>
          <w:tcPr>
            <w:tcW w:type="dxa" w:w="851"/>
            <w:vAlign w:val="top"/>
          </w:tcPr>
          <w:p>
            <w:pPr>
              <w:jc w:val="center"/>
            </w:pPr>
            <w:r/>
            <w:r>
              <w:rPr>
                <w:b w:val="0"/>
              </w:rPr>
              <w:t>A</w:t>
            </w:r>
          </w:p>
        </w:tc>
        <w:tc>
          <w:tcPr>
            <w:tcW w:type="dxa" w:w="851"/>
            <w:vAlign w:val="top"/>
          </w:tcPr>
          <w:p>
            <w:pPr>
              <w:jc w:val="center"/>
            </w:pPr>
            <w:r/>
            <w:r>
              <w:rPr>
                <w:b w:val="0"/>
              </w:rPr>
              <w:t>R</w:t>
            </w:r>
          </w:p>
        </w:tc>
        <w:tc>
          <w:tcPr>
            <w:tcW w:type="dxa" w:w="851"/>
            <w:vAlign w:val="top"/>
          </w:tcPr>
          <w:p>
            <w:pPr>
              <w:jc w:val="center"/>
            </w:pPr>
            <w:r/>
            <w:r>
              <w:rPr>
                <w:b w:val="0"/>
              </w:rPr>
              <w:t>C</w:t>
            </w:r>
          </w:p>
        </w:tc>
        <w:tc>
          <w:tcPr>
            <w:tcW w:type="dxa" w:w="851"/>
            <w:vAlign w:val="top"/>
          </w:tcPr>
          <w:p>
            <w:pPr>
              <w:jc w:val="center"/>
            </w:pPr>
            <w:r/>
            <w:r>
              <w:rPr>
                <w:b w:val="0"/>
              </w:rPr>
              <w:t>I</w:t>
            </w:r>
          </w:p>
        </w:tc>
        <w:tc>
          <w:tcPr>
            <w:tcW w:type="dxa" w:w="851"/>
            <w:vAlign w:val="top"/>
          </w:tcPr>
          <w:p>
            <w:pPr>
              <w:jc w:val="center"/>
            </w:pPr>
            <w:r/>
            <w:r>
              <w:rPr>
                <w:b w:val="0"/>
              </w:rPr>
              <w:t>C</w:t>
            </w:r>
          </w:p>
        </w:tc>
        <w:tc>
          <w:tcPr>
            <w:tcW w:type="dxa" w:w="851"/>
            <w:vAlign w:val="top"/>
          </w:tcPr>
          <w:p>
            <w:pPr>
              <w:jc w:val="center"/>
            </w:pPr>
            <w:r/>
            <w:r>
              <w:rPr>
                <w:b w:val="0"/>
              </w:rPr>
              <w:t>R</w:t>
            </w:r>
          </w:p>
        </w:tc>
        <w:tc>
          <w:tcPr>
            <w:tcW w:type="dxa" w:w="851"/>
            <w:vAlign w:val="top"/>
          </w:tcPr>
          <w:p>
            <w:pPr>
              <w:jc w:val="center"/>
            </w:pPr>
            <w:r/>
            <w:r>
              <w:rPr>
                <w:b w:val="0"/>
              </w:rPr>
              <w:t>C</w:t>
            </w:r>
          </w:p>
        </w:tc>
      </w:tr>
      <w:tr>
        <w:tc>
          <w:tcPr>
            <w:tcW w:type="dxa" w:w="851"/>
            <w:vAlign w:val="top"/>
          </w:tcPr>
          <w:p>
            <w:pPr/>
            <w:r/>
            <w:r>
              <w:rPr>
                <w:b/>
              </w:rPr>
              <w:t>Uncertainty propagation engine</w:t>
            </w:r>
          </w:p>
        </w:tc>
        <w:tc>
          <w:tcPr>
            <w:tcW w:type="dxa" w:w="851"/>
            <w:vAlign w:val="top"/>
          </w:tcPr>
          <w:p>
            <w:pPr>
              <w:jc w:val="center"/>
            </w:pPr>
            <w:r/>
            <w:r>
              <w:rPr>
                <w:b w:val="0"/>
              </w:rPr>
              <w:t>I</w:t>
            </w:r>
          </w:p>
        </w:tc>
        <w:tc>
          <w:tcPr>
            <w:tcW w:type="dxa" w:w="851"/>
            <w:vAlign w:val="top"/>
          </w:tcPr>
          <w:p>
            <w:pPr>
              <w:jc w:val="center"/>
            </w:pPr>
            <w:r/>
            <w:r>
              <w:rPr>
                <w:b w:val="0"/>
              </w:rPr>
              <w:t>C</w:t>
            </w:r>
          </w:p>
        </w:tc>
        <w:tc>
          <w:tcPr>
            <w:tcW w:type="dxa" w:w="851"/>
            <w:vAlign w:val="top"/>
          </w:tcPr>
          <w:p>
            <w:pPr>
              <w:jc w:val="center"/>
            </w:pPr>
            <w:r/>
            <w:r>
              <w:rPr>
                <w:b w:val="0"/>
              </w:rPr>
              <w:t>A</w:t>
            </w:r>
          </w:p>
        </w:tc>
        <w:tc>
          <w:tcPr>
            <w:tcW w:type="dxa" w:w="851"/>
            <w:vAlign w:val="top"/>
          </w:tcPr>
          <w:p>
            <w:pPr>
              <w:jc w:val="center"/>
            </w:pPr>
            <w:r/>
            <w:r>
              <w:rPr>
                <w:b w:val="0"/>
              </w:rPr>
              <w:t>C</w:t>
            </w:r>
          </w:p>
        </w:tc>
        <w:tc>
          <w:tcPr>
            <w:tcW w:type="dxa" w:w="851"/>
            <w:vAlign w:val="top"/>
          </w:tcPr>
          <w:p>
            <w:pPr>
              <w:jc w:val="center"/>
            </w:pPr>
            <w:r/>
            <w:r>
              <w:rPr>
                <w:b w:val="0"/>
              </w:rPr>
              <w:t>R</w:t>
            </w:r>
          </w:p>
        </w:tc>
        <w:tc>
          <w:tcPr>
            <w:tcW w:type="dxa" w:w="851"/>
            <w:vAlign w:val="top"/>
          </w:tcPr>
          <w:p>
            <w:pPr>
              <w:jc w:val="center"/>
            </w:pPr>
            <w:r/>
            <w:r>
              <w:rPr>
                <w:b w:val="0"/>
              </w:rPr>
              <w:t>C</w:t>
            </w:r>
          </w:p>
        </w:tc>
        <w:tc>
          <w:tcPr>
            <w:tcW w:type="dxa" w:w="851"/>
            <w:vAlign w:val="top"/>
          </w:tcPr>
          <w:p>
            <w:pPr>
              <w:jc w:val="center"/>
            </w:pPr>
            <w:r/>
            <w:r>
              <w:rPr>
                <w:b w:val="0"/>
              </w:rPr>
              <w:t>I</w:t>
            </w:r>
          </w:p>
        </w:tc>
        <w:tc>
          <w:tcPr>
            <w:tcW w:type="dxa" w:w="851"/>
            <w:vAlign w:val="top"/>
          </w:tcPr>
          <w:p>
            <w:pPr>
              <w:jc w:val="center"/>
            </w:pPr>
            <w:r/>
            <w:r>
              <w:rPr>
                <w:b w:val="0"/>
              </w:rPr>
              <w:t>C</w:t>
            </w:r>
          </w:p>
        </w:tc>
        <w:tc>
          <w:tcPr>
            <w:tcW w:type="dxa" w:w="851"/>
            <w:vAlign w:val="top"/>
          </w:tcPr>
          <w:p>
            <w:pPr>
              <w:jc w:val="center"/>
            </w:pPr>
            <w:r/>
            <w:r>
              <w:rPr>
                <w:b w:val="0"/>
              </w:rPr>
              <w:t>R</w:t>
            </w:r>
          </w:p>
        </w:tc>
        <w:tc>
          <w:tcPr>
            <w:tcW w:type="dxa" w:w="851"/>
            <w:vAlign w:val="top"/>
          </w:tcPr>
          <w:p>
            <w:pPr>
              <w:jc w:val="center"/>
            </w:pPr>
            <w:r/>
            <w:r>
              <w:rPr>
                <w:b w:val="0"/>
              </w:rPr>
              <w:t>C</w:t>
            </w:r>
          </w:p>
        </w:tc>
      </w:tr>
      <w:tr>
        <w:tc>
          <w:tcPr>
            <w:tcW w:type="dxa" w:w="851"/>
            <w:vAlign w:val="top"/>
          </w:tcPr>
          <w:p>
            <w:pPr/>
            <w:r/>
            <w:r>
              <w:rPr>
                <w:b/>
              </w:rPr>
              <w:t>OPC-UA + historian connectors</w:t>
            </w:r>
          </w:p>
        </w:tc>
        <w:tc>
          <w:tcPr>
            <w:tcW w:type="dxa" w:w="851"/>
            <w:vAlign w:val="top"/>
          </w:tcPr>
          <w:p>
            <w:pPr>
              <w:jc w:val="center"/>
            </w:pPr>
            <w:r/>
            <w:r>
              <w:rPr>
                <w:b w:val="0"/>
              </w:rPr>
              <w:t>I</w:t>
            </w:r>
          </w:p>
        </w:tc>
        <w:tc>
          <w:tcPr>
            <w:tcW w:type="dxa" w:w="851"/>
            <w:vAlign w:val="top"/>
          </w:tcPr>
          <w:p>
            <w:pPr>
              <w:jc w:val="center"/>
            </w:pPr>
            <w:r/>
            <w:r>
              <w:rPr>
                <w:b w:val="0"/>
              </w:rPr>
              <w:t>C</w:t>
            </w:r>
          </w:p>
        </w:tc>
        <w:tc>
          <w:tcPr>
            <w:tcW w:type="dxa" w:w="851"/>
            <w:vAlign w:val="top"/>
          </w:tcPr>
          <w:p>
            <w:pPr>
              <w:jc w:val="center"/>
            </w:pPr>
            <w:r/>
            <w:r>
              <w:rPr>
                <w:b w:val="0"/>
              </w:rPr>
              <w:t>I</w:t>
            </w:r>
          </w:p>
        </w:tc>
        <w:tc>
          <w:tcPr>
            <w:tcW w:type="dxa" w:w="851"/>
            <w:vAlign w:val="top"/>
          </w:tcPr>
          <w:p>
            <w:pPr>
              <w:jc w:val="center"/>
            </w:pPr>
            <w:r/>
            <w:r>
              <w:rPr>
                <w:b w:val="0"/>
              </w:rPr>
              <w:t>I</w:t>
            </w:r>
          </w:p>
        </w:tc>
        <w:tc>
          <w:tcPr>
            <w:tcW w:type="dxa" w:w="851"/>
            <w:vAlign w:val="top"/>
          </w:tcPr>
          <w:p>
            <w:pPr>
              <w:jc w:val="center"/>
            </w:pPr>
            <w:r/>
            <w:r>
              <w:rPr>
                <w:b w:val="0"/>
              </w:rPr>
              <w:t>C</w:t>
            </w:r>
          </w:p>
        </w:tc>
        <w:tc>
          <w:tcPr>
            <w:tcW w:type="dxa" w:w="851"/>
            <w:vAlign w:val="top"/>
          </w:tcPr>
          <w:p>
            <w:pPr>
              <w:jc w:val="center"/>
            </w:pPr>
            <w:r/>
            <w:r>
              <w:rPr>
                <w:b w:val="0"/>
              </w:rPr>
              <w:t>R</w:t>
            </w:r>
          </w:p>
        </w:tc>
        <w:tc>
          <w:tcPr>
            <w:tcW w:type="dxa" w:w="851"/>
            <w:vAlign w:val="top"/>
          </w:tcPr>
          <w:p>
            <w:pPr>
              <w:jc w:val="center"/>
            </w:pPr>
            <w:r/>
            <w:r>
              <w:rPr>
                <w:b w:val="0"/>
              </w:rPr>
              <w:t>A</w:t>
            </w:r>
          </w:p>
        </w:tc>
        <w:tc>
          <w:tcPr>
            <w:tcW w:type="dxa" w:w="851"/>
            <w:vAlign w:val="top"/>
          </w:tcPr>
          <w:p>
            <w:pPr>
              <w:jc w:val="center"/>
            </w:pPr>
            <w:r/>
            <w:r>
              <w:rPr>
                <w:b w:val="0"/>
              </w:rPr>
              <w:t>I</w:t>
            </w:r>
          </w:p>
        </w:tc>
        <w:tc>
          <w:tcPr>
            <w:tcW w:type="dxa" w:w="851"/>
            <w:vAlign w:val="top"/>
          </w:tcPr>
          <w:p>
            <w:pPr>
              <w:jc w:val="center"/>
            </w:pPr>
            <w:r/>
            <w:r>
              <w:rPr>
                <w:b w:val="0"/>
              </w:rPr>
              <w:t>C</w:t>
            </w:r>
          </w:p>
        </w:tc>
        <w:tc>
          <w:tcPr>
            <w:tcW w:type="dxa" w:w="851"/>
            <w:vAlign w:val="top"/>
          </w:tcPr>
          <w:p>
            <w:pPr>
              <w:jc w:val="center"/>
            </w:pPr>
            <w:r/>
            <w:r>
              <w:rPr>
                <w:b w:val="0"/>
              </w:rPr>
              <w:t>C</w:t>
            </w:r>
          </w:p>
        </w:tc>
      </w:tr>
      <w:tr>
        <w:tc>
          <w:tcPr>
            <w:tcW w:type="dxa" w:w="851"/>
            <w:vAlign w:val="top"/>
          </w:tcPr>
          <w:p>
            <w:pPr/>
            <w:r/>
            <w:r>
              <w:rPr>
                <w:b/>
              </w:rPr>
              <w:t>GraphQL/API contract + schema</w:t>
            </w:r>
          </w:p>
        </w:tc>
        <w:tc>
          <w:tcPr>
            <w:tcW w:type="dxa" w:w="851"/>
            <w:vAlign w:val="top"/>
          </w:tcPr>
          <w:p>
            <w:pPr>
              <w:jc w:val="center"/>
            </w:pPr>
            <w:r/>
            <w:r>
              <w:rPr>
                <w:b w:val="0"/>
              </w:rPr>
              <w:t>C</w:t>
            </w:r>
          </w:p>
        </w:tc>
        <w:tc>
          <w:tcPr>
            <w:tcW w:type="dxa" w:w="851"/>
            <w:vAlign w:val="top"/>
          </w:tcPr>
          <w:p>
            <w:pPr>
              <w:jc w:val="center"/>
            </w:pPr>
            <w:r/>
            <w:r>
              <w:rPr>
                <w:b w:val="0"/>
              </w:rPr>
              <w:t>I</w:t>
            </w:r>
          </w:p>
        </w:tc>
        <w:tc>
          <w:tcPr>
            <w:tcW w:type="dxa" w:w="851"/>
            <w:vAlign w:val="top"/>
          </w:tcPr>
          <w:p>
            <w:pPr>
              <w:jc w:val="center"/>
            </w:pPr>
            <w:r/>
            <w:r>
              <w:rPr>
                <w:b w:val="0"/>
              </w:rPr>
              <w:t>I</w:t>
            </w:r>
          </w:p>
        </w:tc>
        <w:tc>
          <w:tcPr>
            <w:tcW w:type="dxa" w:w="851"/>
            <w:vAlign w:val="top"/>
          </w:tcPr>
          <w:p>
            <w:pPr>
              <w:jc w:val="center"/>
            </w:pPr>
            <w:r/>
            <w:r>
              <w:rPr>
                <w:b w:val="0"/>
              </w:rPr>
              <w:t>C</w:t>
            </w:r>
          </w:p>
        </w:tc>
        <w:tc>
          <w:tcPr>
            <w:tcW w:type="dxa" w:w="851"/>
            <w:vAlign w:val="top"/>
          </w:tcPr>
          <w:p>
            <w:pPr>
              <w:jc w:val="center"/>
            </w:pPr>
            <w:r/>
            <w:r>
              <w:rPr>
                <w:b w:val="0"/>
              </w:rPr>
              <w:t>A</w:t>
            </w:r>
          </w:p>
        </w:tc>
        <w:tc>
          <w:tcPr>
            <w:tcW w:type="dxa" w:w="851"/>
            <w:vAlign w:val="top"/>
          </w:tcPr>
          <w:p>
            <w:pPr>
              <w:jc w:val="center"/>
            </w:pPr>
            <w:r/>
            <w:r>
              <w:rPr>
                <w:b w:val="0"/>
              </w:rPr>
              <w:t>C</w:t>
            </w:r>
          </w:p>
        </w:tc>
        <w:tc>
          <w:tcPr>
            <w:tcW w:type="dxa" w:w="851"/>
            <w:vAlign w:val="top"/>
          </w:tcPr>
          <w:p>
            <w:pPr>
              <w:jc w:val="center"/>
            </w:pPr>
            <w:r/>
            <w:r>
              <w:rPr>
                <w:b w:val="0"/>
              </w:rPr>
              <w:t>R</w:t>
            </w:r>
          </w:p>
        </w:tc>
        <w:tc>
          <w:tcPr>
            <w:tcW w:type="dxa" w:w="851"/>
            <w:vAlign w:val="top"/>
          </w:tcPr>
          <w:p>
            <w:pPr>
              <w:jc w:val="center"/>
            </w:pPr>
            <w:r/>
            <w:r>
              <w:rPr>
                <w:b w:val="0"/>
              </w:rPr>
              <w:t>I</w:t>
            </w:r>
          </w:p>
        </w:tc>
        <w:tc>
          <w:tcPr>
            <w:tcW w:type="dxa" w:w="851"/>
            <w:vAlign w:val="top"/>
          </w:tcPr>
          <w:p>
            <w:pPr>
              <w:jc w:val="center"/>
            </w:pPr>
            <w:r/>
            <w:r>
              <w:rPr>
                <w:b w:val="0"/>
              </w:rPr>
              <w:t>C</w:t>
            </w:r>
          </w:p>
        </w:tc>
        <w:tc>
          <w:tcPr>
            <w:tcW w:type="dxa" w:w="851"/>
            <w:vAlign w:val="top"/>
          </w:tcPr>
          <w:p>
            <w:pPr>
              <w:jc w:val="center"/>
            </w:pPr>
            <w:r/>
            <w:r>
              <w:rPr>
                <w:b w:val="0"/>
              </w:rPr>
              <w:t>C</w:t>
            </w:r>
          </w:p>
        </w:tc>
      </w:tr>
      <w:tr>
        <w:tc>
          <w:tcPr>
            <w:tcW w:type="dxa" w:w="851"/>
            <w:vAlign w:val="top"/>
          </w:tcPr>
          <w:p>
            <w:pPr/>
            <w:r/>
            <w:r>
              <w:rPr>
                <w:b/>
              </w:rPr>
              <w:t>Sankey generation (dataset + rendering)</w:t>
            </w:r>
          </w:p>
        </w:tc>
        <w:tc>
          <w:tcPr>
            <w:tcW w:type="dxa" w:w="851"/>
            <w:vAlign w:val="top"/>
          </w:tcPr>
          <w:p>
            <w:pPr>
              <w:jc w:val="center"/>
            </w:pPr>
            <w:r/>
            <w:r>
              <w:rPr>
                <w:b w:val="0"/>
              </w:rPr>
              <w:t>I</w:t>
            </w:r>
          </w:p>
        </w:tc>
        <w:tc>
          <w:tcPr>
            <w:tcW w:type="dxa" w:w="851"/>
            <w:vAlign w:val="top"/>
          </w:tcPr>
          <w:p>
            <w:pPr>
              <w:jc w:val="center"/>
            </w:pPr>
            <w:r/>
            <w:r>
              <w:rPr>
                <w:b w:val="0"/>
              </w:rPr>
              <w:t>C</w:t>
            </w:r>
          </w:p>
        </w:tc>
        <w:tc>
          <w:tcPr>
            <w:tcW w:type="dxa" w:w="851"/>
            <w:vAlign w:val="top"/>
          </w:tcPr>
          <w:p>
            <w:pPr>
              <w:jc w:val="center"/>
            </w:pPr>
            <w:r/>
            <w:r>
              <w:rPr>
                <w:b w:val="0"/>
              </w:rPr>
              <w:t>C</w:t>
            </w:r>
          </w:p>
        </w:tc>
        <w:tc>
          <w:tcPr>
            <w:tcW w:type="dxa" w:w="851"/>
            <w:vAlign w:val="top"/>
          </w:tcPr>
          <w:p>
            <w:pPr>
              <w:jc w:val="center"/>
            </w:pPr>
            <w:r/>
            <w:r>
              <w:rPr>
                <w:b w:val="0"/>
              </w:rPr>
              <w:t>I</w:t>
            </w:r>
          </w:p>
        </w:tc>
        <w:tc>
          <w:tcPr>
            <w:tcW w:type="dxa" w:w="851"/>
            <w:vAlign w:val="top"/>
          </w:tcPr>
          <w:p>
            <w:pPr>
              <w:jc w:val="center"/>
            </w:pPr>
            <w:r/>
            <w:r>
              <w:rPr>
                <w:b w:val="0"/>
              </w:rPr>
              <w:t>A</w:t>
            </w:r>
          </w:p>
        </w:tc>
        <w:tc>
          <w:tcPr>
            <w:tcW w:type="dxa" w:w="851"/>
            <w:vAlign w:val="top"/>
          </w:tcPr>
          <w:p>
            <w:pPr>
              <w:jc w:val="center"/>
            </w:pPr>
            <w:r/>
            <w:r>
              <w:rPr>
                <w:b w:val="0"/>
              </w:rPr>
              <w:t>C</w:t>
            </w:r>
          </w:p>
        </w:tc>
        <w:tc>
          <w:tcPr>
            <w:tcW w:type="dxa" w:w="851"/>
            <w:vAlign w:val="top"/>
          </w:tcPr>
          <w:p>
            <w:pPr>
              <w:jc w:val="center"/>
            </w:pPr>
            <w:r/>
            <w:r>
              <w:rPr>
                <w:b w:val="0"/>
              </w:rPr>
              <w:t>I</w:t>
            </w:r>
          </w:p>
        </w:tc>
        <w:tc>
          <w:tcPr>
            <w:tcW w:type="dxa" w:w="851"/>
            <w:vAlign w:val="top"/>
          </w:tcPr>
          <w:p>
            <w:pPr>
              <w:jc w:val="center"/>
            </w:pPr>
            <w:r/>
            <w:r>
              <w:rPr>
                <w:b w:val="0"/>
              </w:rPr>
              <w:t>C</w:t>
            </w:r>
          </w:p>
        </w:tc>
        <w:tc>
          <w:tcPr>
            <w:tcW w:type="dxa" w:w="851"/>
            <w:vAlign w:val="top"/>
          </w:tcPr>
          <w:p>
            <w:pPr>
              <w:jc w:val="center"/>
            </w:pPr>
            <w:r/>
            <w:r>
              <w:rPr>
                <w:b w:val="0"/>
              </w:rPr>
              <w:t>R</w:t>
            </w:r>
          </w:p>
        </w:tc>
        <w:tc>
          <w:tcPr>
            <w:tcW w:type="dxa" w:w="851"/>
            <w:vAlign w:val="top"/>
          </w:tcPr>
          <w:p>
            <w:pPr>
              <w:jc w:val="center"/>
            </w:pPr>
            <w:r/>
            <w:r>
              <w:rPr>
                <w:b w:val="0"/>
              </w:rPr>
              <w:t>C</w:t>
            </w:r>
          </w:p>
        </w:tc>
      </w:tr>
      <w:tr>
        <w:tc>
          <w:tcPr>
            <w:tcW w:type="dxa" w:w="851"/>
            <w:vAlign w:val="top"/>
          </w:tcPr>
          <w:p>
            <w:pPr/>
            <w:r/>
            <w:r>
              <w:rPr>
                <w:b/>
              </w:rPr>
              <w:t>Security, audit logs, and deployment</w:t>
            </w:r>
          </w:p>
        </w:tc>
        <w:tc>
          <w:tcPr>
            <w:tcW w:type="dxa" w:w="851"/>
            <w:vAlign w:val="top"/>
          </w:tcPr>
          <w:p>
            <w:pPr>
              <w:jc w:val="center"/>
            </w:pPr>
            <w:r/>
            <w:r>
              <w:rPr>
                <w:b w:val="0"/>
              </w:rPr>
              <w:t>I</w:t>
            </w:r>
          </w:p>
        </w:tc>
        <w:tc>
          <w:tcPr>
            <w:tcW w:type="dxa" w:w="851"/>
            <w:vAlign w:val="top"/>
          </w:tcPr>
          <w:p>
            <w:pPr>
              <w:jc w:val="center"/>
            </w:pPr>
            <w:r/>
            <w:r>
              <w:rPr>
                <w:b w:val="0"/>
              </w:rPr>
              <w:t>I</w:t>
            </w:r>
          </w:p>
        </w:tc>
        <w:tc>
          <w:tcPr>
            <w:tcW w:type="dxa" w:w="851"/>
            <w:vAlign w:val="top"/>
          </w:tcPr>
          <w:p>
            <w:pPr>
              <w:jc w:val="center"/>
            </w:pPr>
            <w:r/>
            <w:r>
              <w:rPr>
                <w:b w:val="0"/>
              </w:rPr>
              <w:t>I</w:t>
            </w:r>
          </w:p>
        </w:tc>
        <w:tc>
          <w:tcPr>
            <w:tcW w:type="dxa" w:w="851"/>
            <w:vAlign w:val="top"/>
          </w:tcPr>
          <w:p>
            <w:pPr>
              <w:jc w:val="center"/>
            </w:pPr>
            <w:r/>
            <w:r>
              <w:rPr>
                <w:b w:val="0"/>
              </w:rPr>
              <w:t>I</w:t>
            </w:r>
          </w:p>
        </w:tc>
        <w:tc>
          <w:tcPr>
            <w:tcW w:type="dxa" w:w="851"/>
            <w:vAlign w:val="top"/>
          </w:tcPr>
          <w:p>
            <w:pPr>
              <w:jc w:val="center"/>
            </w:pPr>
            <w:r/>
            <w:r>
              <w:rPr>
                <w:b w:val="0"/>
              </w:rPr>
              <w:t>C</w:t>
            </w:r>
          </w:p>
        </w:tc>
        <w:tc>
          <w:tcPr>
            <w:tcW w:type="dxa" w:w="851"/>
            <w:vAlign w:val="top"/>
          </w:tcPr>
          <w:p>
            <w:pPr>
              <w:jc w:val="center"/>
            </w:pPr>
            <w:r/>
            <w:r>
              <w:rPr>
                <w:b w:val="0"/>
              </w:rPr>
              <w:t>I</w:t>
            </w:r>
          </w:p>
        </w:tc>
        <w:tc>
          <w:tcPr>
            <w:tcW w:type="dxa" w:w="851"/>
            <w:vAlign w:val="top"/>
          </w:tcPr>
          <w:p>
            <w:pPr>
              <w:jc w:val="center"/>
            </w:pPr>
            <w:r/>
            <w:r>
              <w:rPr>
                <w:b w:val="0"/>
              </w:rPr>
              <w:t>I</w:t>
            </w:r>
          </w:p>
        </w:tc>
        <w:tc>
          <w:tcPr>
            <w:tcW w:type="dxa" w:w="851"/>
            <w:vAlign w:val="top"/>
          </w:tcPr>
          <w:p>
            <w:pPr>
              <w:jc w:val="center"/>
            </w:pPr>
            <w:r/>
            <w:r>
              <w:rPr>
                <w:b w:val="0"/>
              </w:rPr>
              <w:t>I</w:t>
            </w:r>
          </w:p>
        </w:tc>
        <w:tc>
          <w:tcPr>
            <w:tcW w:type="dxa" w:w="851"/>
            <w:vAlign w:val="top"/>
          </w:tcPr>
          <w:p>
            <w:pPr>
              <w:jc w:val="center"/>
            </w:pPr>
            <w:r/>
            <w:r>
              <w:rPr>
                <w:b w:val="0"/>
              </w:rPr>
              <w:t>C</w:t>
            </w:r>
          </w:p>
        </w:tc>
        <w:tc>
          <w:tcPr>
            <w:tcW w:type="dxa" w:w="851"/>
            <w:vAlign w:val="top"/>
          </w:tcPr>
          <w:p>
            <w:pPr>
              <w:jc w:val="center"/>
            </w:pPr>
            <w:r/>
            <w:r>
              <w:rPr>
                <w:b w:val="0"/>
              </w:rPr>
              <w:t>A</w:t>
            </w:r>
          </w:p>
        </w:tc>
      </w:tr>
    </w:tbl>
    <w:p/>
    <w:p>
      <w:r>
        <w:t>Legend: R = Responsible, A = Accountable, C = Consulted, I = Informed.</w:t>
      </w:r>
    </w:p>
    <w:p>
      <w:r>
        <w:br w:type="page"/>
      </w:r>
    </w:p>
    <w:p>
      <w:pPr>
        <w:pStyle w:val="Heading1"/>
      </w:pPr>
      <w:r>
        <w:t>6. Data Requirements (What Must Be Collected)</w:t>
      </w:r>
    </w:p>
    <w:p>
      <w:pPr>
        <w:pStyle w:val="Heading2"/>
      </w:pPr>
      <w:r>
        <w:t>6.1 Minimum Required Inputs</w:t>
      </w:r>
    </w:p>
    <w:p>
      <w:r>
        <w:t>ThermalIQ requires both measured process signals and static asset metadata. Where a signal is unavailable, the system must either (a) compute it from other measured variables, (b) accept a user-provided estimate with explicit uncertainty, or (c) fail fast with a clear error stating what is missing.</w:t>
      </w:r>
    </w:p>
    <w:p>
      <w:pPr>
        <w:pStyle w:val="ListBullet"/>
      </w:pPr>
      <w:r>
        <w:t>Energy inputs: fuel flow and LHV/HHV or electrical input power to heaters; steam/hot-water supply energy where applicable.</w:t>
      </w:r>
    </w:p>
    <w:p>
      <w:pPr>
        <w:pStyle w:val="ListBullet"/>
      </w:pPr>
      <w:r>
        <w:t>Useful heat output: delivered heat to process (e.g., heat exchanger duty, load-side enthalpy rise).</w:t>
      </w:r>
    </w:p>
    <w:p>
      <w:pPr>
        <w:pStyle w:val="ListBullet"/>
      </w:pPr>
      <w:r>
        <w:t>Losses: stack/flue losses, radiation/convection losses, blowdown, distribution losses, unaccounted losses.</w:t>
      </w:r>
    </w:p>
    <w:p>
      <w:pPr>
        <w:pStyle w:val="ListBullet"/>
      </w:pPr>
      <w:r>
        <w:t>Fluid operating conditions: fluid type, supply/return temperature, pressure, flow rate (mass or volumetric), and loop ΔP where relevant.</w:t>
      </w:r>
    </w:p>
    <w:p>
      <w:pPr>
        <w:pStyle w:val="ListBullet"/>
      </w:pPr>
      <w:r>
        <w:t>Ambient/reference environment: ambient temperature (T0) and (optionally) ambient pressure (P0).</w:t>
      </w:r>
    </w:p>
    <w:p>
      <w:pPr>
        <w:pStyle w:val="ListBullet"/>
      </w:pPr>
      <w:r>
        <w:t>Equipment specs: heater/boiler ratings, pump curves or efficiency, heat exchanger UA/effectiveness, insulation class, etc.</w:t>
      </w:r>
    </w:p>
    <w:p>
      <w:pPr>
        <w:pStyle w:val="Heading2"/>
      </w:pPr>
      <w:r>
        <w:t>6.2 Signal Dictionary (Recommended)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top"/>
            <w:shd w:fill="FCE4D6"/>
          </w:tcPr>
          <w:p>
            <w:pPr/>
            <w:r/>
            <w:r>
              <w:rPr>
                <w:b/>
              </w:rPr>
              <w:t>Category</w:t>
            </w:r>
          </w:p>
        </w:tc>
        <w:tc>
          <w:tcPr>
            <w:tcW w:type="dxa" w:w="1560"/>
            <w:vAlign w:val="top"/>
            <w:shd w:fill="FCE4D6"/>
          </w:tcPr>
          <w:p>
            <w:pPr/>
            <w:r/>
            <w:r>
              <w:rPr>
                <w:b/>
              </w:rPr>
              <w:t>Signal</w:t>
            </w:r>
          </w:p>
        </w:tc>
        <w:tc>
          <w:tcPr>
            <w:tcW w:type="dxa" w:w="1560"/>
            <w:vAlign w:val="top"/>
            <w:shd w:fill="FCE4D6"/>
          </w:tcPr>
          <w:p>
            <w:pPr/>
            <w:r/>
            <w:r>
              <w:rPr>
                <w:b/>
              </w:rPr>
              <w:t>Description</w:t>
            </w:r>
          </w:p>
        </w:tc>
        <w:tc>
          <w:tcPr>
            <w:tcW w:type="dxa" w:w="1560"/>
            <w:vAlign w:val="top"/>
            <w:shd w:fill="FCE4D6"/>
          </w:tcPr>
          <w:p>
            <w:pPr/>
            <w:r/>
            <w:r>
              <w:rPr>
                <w:b/>
              </w:rPr>
              <w:t>Units</w:t>
            </w:r>
          </w:p>
        </w:tc>
        <w:tc>
          <w:tcPr>
            <w:tcW w:type="dxa" w:w="1560"/>
            <w:vAlign w:val="top"/>
            <w:shd w:fill="FCE4D6"/>
          </w:tcPr>
          <w:p>
            <w:pPr/>
            <w:r/>
            <w:r>
              <w:rPr>
                <w:b/>
              </w:rPr>
              <w:t>Sampling</w:t>
            </w:r>
          </w:p>
        </w:tc>
        <w:tc>
          <w:tcPr>
            <w:tcW w:type="dxa" w:w="1560"/>
            <w:vAlign w:val="top"/>
            <w:shd w:fill="FCE4D6"/>
          </w:tcPr>
          <w:p>
            <w:pPr/>
            <w:r/>
            <w:r>
              <w:rPr>
                <w:b/>
              </w:rPr>
              <w:t>Source</w:t>
            </w:r>
          </w:p>
        </w:tc>
      </w:tr>
      <w:tr>
        <w:tc>
          <w:tcPr>
            <w:tcW w:type="dxa" w:w="1560"/>
            <w:vAlign w:val="top"/>
          </w:tcPr>
          <w:p>
            <w:pPr/>
            <w:r>
              <w:rPr>
                <w:sz w:val="18"/>
              </w:rPr>
            </w:r>
            <w:r>
              <w:rPr>
                <w:b w:val="0"/>
                <w:sz w:val="18"/>
              </w:rPr>
              <w:t>Energy In</w:t>
            </w:r>
          </w:p>
        </w:tc>
        <w:tc>
          <w:tcPr>
            <w:tcW w:type="dxa" w:w="1560"/>
            <w:vAlign w:val="top"/>
          </w:tcPr>
          <w:p>
            <w:pPr/>
            <w:r>
              <w:rPr>
                <w:sz w:val="18"/>
              </w:rPr>
            </w:r>
            <w:r>
              <w:rPr>
                <w:b w:val="0"/>
                <w:sz w:val="18"/>
              </w:rPr>
              <w:t>fuel_flow</w:t>
            </w:r>
          </w:p>
        </w:tc>
        <w:tc>
          <w:tcPr>
            <w:tcW w:type="dxa" w:w="1560"/>
            <w:vAlign w:val="top"/>
          </w:tcPr>
          <w:p>
            <w:pPr/>
            <w:r>
              <w:rPr>
                <w:sz w:val="18"/>
              </w:rPr>
            </w:r>
            <w:r>
              <w:rPr>
                <w:b w:val="0"/>
                <w:sz w:val="18"/>
              </w:rPr>
              <w:t>Fuel mass/volumetric flow rate to heater/boiler</w:t>
            </w:r>
          </w:p>
        </w:tc>
        <w:tc>
          <w:tcPr>
            <w:tcW w:type="dxa" w:w="1560"/>
            <w:vAlign w:val="top"/>
          </w:tcPr>
          <w:p>
            <w:pPr/>
            <w:r>
              <w:rPr>
                <w:sz w:val="18"/>
              </w:rPr>
            </w:r>
            <w:r>
              <w:rPr>
                <w:b w:val="0"/>
                <w:sz w:val="18"/>
              </w:rPr>
              <w:t>kg/s or Nm³/h</w:t>
            </w:r>
          </w:p>
        </w:tc>
        <w:tc>
          <w:tcPr>
            <w:tcW w:type="dxa" w:w="1560"/>
            <w:vAlign w:val="top"/>
          </w:tcPr>
          <w:p>
            <w:pPr/>
            <w:r>
              <w:rPr>
                <w:sz w:val="18"/>
              </w:rPr>
            </w:r>
            <w:r>
              <w:rPr>
                <w:b w:val="0"/>
                <w:sz w:val="18"/>
              </w:rPr>
              <w:t>≥1/min</w:t>
            </w:r>
          </w:p>
        </w:tc>
        <w:tc>
          <w:tcPr>
            <w:tcW w:type="dxa" w:w="1560"/>
            <w:vAlign w:val="top"/>
          </w:tcPr>
          <w:p>
            <w:pPr/>
            <w:r>
              <w:rPr>
                <w:sz w:val="18"/>
              </w:rPr>
            </w:r>
            <w:r>
              <w:rPr>
                <w:b w:val="0"/>
                <w:sz w:val="18"/>
              </w:rPr>
              <w:t>Metered / historian</w:t>
            </w:r>
          </w:p>
        </w:tc>
      </w:tr>
      <w:tr>
        <w:tc>
          <w:tcPr>
            <w:tcW w:type="dxa" w:w="1560"/>
            <w:vAlign w:val="top"/>
          </w:tcPr>
          <w:p>
            <w:pPr/>
            <w:r>
              <w:rPr>
                <w:sz w:val="18"/>
              </w:rPr>
            </w:r>
            <w:r>
              <w:rPr>
                <w:b w:val="0"/>
                <w:sz w:val="18"/>
              </w:rPr>
              <w:t>Energy In</w:t>
            </w:r>
          </w:p>
        </w:tc>
        <w:tc>
          <w:tcPr>
            <w:tcW w:type="dxa" w:w="1560"/>
            <w:vAlign w:val="top"/>
          </w:tcPr>
          <w:p>
            <w:pPr/>
            <w:r>
              <w:rPr>
                <w:sz w:val="18"/>
              </w:rPr>
            </w:r>
            <w:r>
              <w:rPr>
                <w:b w:val="0"/>
                <w:sz w:val="18"/>
              </w:rPr>
              <w:t>fuel_LHV</w:t>
            </w:r>
          </w:p>
        </w:tc>
        <w:tc>
          <w:tcPr>
            <w:tcW w:type="dxa" w:w="1560"/>
            <w:vAlign w:val="top"/>
          </w:tcPr>
          <w:p>
            <w:pPr/>
            <w:r>
              <w:rPr>
                <w:sz w:val="18"/>
              </w:rPr>
            </w:r>
            <w:r>
              <w:rPr>
                <w:b w:val="0"/>
                <w:sz w:val="18"/>
              </w:rPr>
              <w:t>Lower heating value (or HHV) for fuel</w:t>
            </w:r>
          </w:p>
        </w:tc>
        <w:tc>
          <w:tcPr>
            <w:tcW w:type="dxa" w:w="1560"/>
            <w:vAlign w:val="top"/>
          </w:tcPr>
          <w:p>
            <w:pPr/>
            <w:r>
              <w:rPr>
                <w:sz w:val="18"/>
              </w:rPr>
            </w:r>
            <w:r>
              <w:rPr>
                <w:b w:val="0"/>
                <w:sz w:val="18"/>
              </w:rPr>
              <w:t>MJ/kg</w:t>
            </w:r>
          </w:p>
        </w:tc>
        <w:tc>
          <w:tcPr>
            <w:tcW w:type="dxa" w:w="1560"/>
            <w:vAlign w:val="top"/>
          </w:tcPr>
          <w:p>
            <w:pPr/>
            <w:r>
              <w:rPr>
                <w:sz w:val="18"/>
              </w:rPr>
            </w:r>
            <w:r>
              <w:rPr>
                <w:b w:val="0"/>
                <w:sz w:val="18"/>
              </w:rPr>
              <w:t>static or daily</w:t>
            </w:r>
          </w:p>
        </w:tc>
        <w:tc>
          <w:tcPr>
            <w:tcW w:type="dxa" w:w="1560"/>
            <w:vAlign w:val="top"/>
          </w:tcPr>
          <w:p>
            <w:pPr/>
            <w:r>
              <w:rPr>
                <w:sz w:val="18"/>
              </w:rPr>
            </w:r>
            <w:r>
              <w:rPr>
                <w:b w:val="0"/>
                <w:sz w:val="18"/>
              </w:rPr>
              <w:t>Lab / ERP / manual</w:t>
            </w:r>
          </w:p>
        </w:tc>
      </w:tr>
      <w:tr>
        <w:tc>
          <w:tcPr>
            <w:tcW w:type="dxa" w:w="1560"/>
            <w:vAlign w:val="top"/>
          </w:tcPr>
          <w:p>
            <w:pPr/>
            <w:r>
              <w:rPr>
                <w:sz w:val="18"/>
              </w:rPr>
            </w:r>
            <w:r>
              <w:rPr>
                <w:b w:val="0"/>
                <w:sz w:val="18"/>
              </w:rPr>
              <w:t>Energy In</w:t>
            </w:r>
          </w:p>
        </w:tc>
        <w:tc>
          <w:tcPr>
            <w:tcW w:type="dxa" w:w="1560"/>
            <w:vAlign w:val="top"/>
          </w:tcPr>
          <w:p>
            <w:pPr/>
            <w:r>
              <w:rPr>
                <w:sz w:val="18"/>
              </w:rPr>
            </w:r>
            <w:r>
              <w:rPr>
                <w:b w:val="0"/>
                <w:sz w:val="18"/>
              </w:rPr>
              <w:t>electric_power_in</w:t>
            </w:r>
          </w:p>
        </w:tc>
        <w:tc>
          <w:tcPr>
            <w:tcW w:type="dxa" w:w="1560"/>
            <w:vAlign w:val="top"/>
          </w:tcPr>
          <w:p>
            <w:pPr/>
            <w:r>
              <w:rPr>
                <w:sz w:val="18"/>
              </w:rPr>
            </w:r>
            <w:r>
              <w:rPr>
                <w:b w:val="0"/>
                <w:sz w:val="18"/>
              </w:rPr>
              <w:t>Electrical power to heaters/pumps (where needed)</w:t>
            </w:r>
          </w:p>
        </w:tc>
        <w:tc>
          <w:tcPr>
            <w:tcW w:type="dxa" w:w="1560"/>
            <w:vAlign w:val="top"/>
          </w:tcPr>
          <w:p>
            <w:pPr/>
            <w:r>
              <w:rPr>
                <w:sz w:val="18"/>
              </w:rPr>
            </w:r>
            <w:r>
              <w:rPr>
                <w:b w:val="0"/>
                <w:sz w:val="18"/>
              </w:rPr>
              <w:t>kW</w:t>
            </w:r>
          </w:p>
        </w:tc>
        <w:tc>
          <w:tcPr>
            <w:tcW w:type="dxa" w:w="1560"/>
            <w:vAlign w:val="top"/>
          </w:tcPr>
          <w:p>
            <w:pPr/>
            <w:r>
              <w:rPr>
                <w:sz w:val="18"/>
              </w:rPr>
            </w:r>
            <w:r>
              <w:rPr>
                <w:b w:val="0"/>
                <w:sz w:val="18"/>
              </w:rPr>
              <w:t>≥1/min</w:t>
            </w:r>
          </w:p>
        </w:tc>
        <w:tc>
          <w:tcPr>
            <w:tcW w:type="dxa" w:w="1560"/>
            <w:vAlign w:val="top"/>
          </w:tcPr>
          <w:p>
            <w:pPr/>
            <w:r>
              <w:rPr>
                <w:sz w:val="18"/>
              </w:rPr>
            </w:r>
            <w:r>
              <w:rPr>
                <w:b w:val="0"/>
                <w:sz w:val="18"/>
              </w:rPr>
              <w:t>Power meter</w:t>
            </w:r>
          </w:p>
        </w:tc>
      </w:tr>
      <w:tr>
        <w:tc>
          <w:tcPr>
            <w:tcW w:type="dxa" w:w="1560"/>
            <w:vAlign w:val="top"/>
          </w:tcPr>
          <w:p>
            <w:pPr/>
            <w:r>
              <w:rPr>
                <w:sz w:val="18"/>
              </w:rPr>
            </w:r>
            <w:r>
              <w:rPr>
                <w:b w:val="0"/>
                <w:sz w:val="18"/>
              </w:rPr>
              <w:t>Useful Heat Out</w:t>
            </w:r>
          </w:p>
        </w:tc>
        <w:tc>
          <w:tcPr>
            <w:tcW w:type="dxa" w:w="1560"/>
            <w:vAlign w:val="top"/>
          </w:tcPr>
          <w:p>
            <w:pPr/>
            <w:r>
              <w:rPr>
                <w:sz w:val="18"/>
              </w:rPr>
            </w:r>
            <w:r>
              <w:rPr>
                <w:b w:val="0"/>
                <w:sz w:val="18"/>
              </w:rPr>
              <w:t>process_duty</w:t>
            </w:r>
          </w:p>
        </w:tc>
        <w:tc>
          <w:tcPr>
            <w:tcW w:type="dxa" w:w="1560"/>
            <w:vAlign w:val="top"/>
          </w:tcPr>
          <w:p>
            <w:pPr/>
            <w:r>
              <w:rPr>
                <w:sz w:val="18"/>
              </w:rPr>
            </w:r>
            <w:r>
              <w:rPr>
                <w:b w:val="0"/>
                <w:sz w:val="18"/>
              </w:rPr>
              <w:t>Heat delivered to process/load (calculated or measured)</w:t>
            </w:r>
          </w:p>
        </w:tc>
        <w:tc>
          <w:tcPr>
            <w:tcW w:type="dxa" w:w="1560"/>
            <w:vAlign w:val="top"/>
          </w:tcPr>
          <w:p>
            <w:pPr/>
            <w:r>
              <w:rPr>
                <w:sz w:val="18"/>
              </w:rPr>
            </w:r>
            <w:r>
              <w:rPr>
                <w:b w:val="0"/>
                <w:sz w:val="18"/>
              </w:rPr>
              <w:t>kW</w:t>
            </w:r>
          </w:p>
        </w:tc>
        <w:tc>
          <w:tcPr>
            <w:tcW w:type="dxa" w:w="1560"/>
            <w:vAlign w:val="top"/>
          </w:tcPr>
          <w:p>
            <w:pPr/>
            <w:r>
              <w:rPr>
                <w:sz w:val="18"/>
              </w:rPr>
            </w:r>
            <w:r>
              <w:rPr>
                <w:b w:val="0"/>
                <w:sz w:val="18"/>
              </w:rPr>
              <w:t>≥1/min</w:t>
            </w:r>
          </w:p>
        </w:tc>
        <w:tc>
          <w:tcPr>
            <w:tcW w:type="dxa" w:w="1560"/>
            <w:vAlign w:val="top"/>
          </w:tcPr>
          <w:p>
            <w:pPr/>
            <w:r>
              <w:rPr>
                <w:sz w:val="18"/>
              </w:rPr>
            </w:r>
            <w:r>
              <w:rPr>
                <w:b w:val="0"/>
                <w:sz w:val="18"/>
              </w:rPr>
              <w:t>Calculated or historian</w:t>
            </w:r>
          </w:p>
        </w:tc>
      </w:tr>
      <w:tr>
        <w:tc>
          <w:tcPr>
            <w:tcW w:type="dxa" w:w="1560"/>
            <w:vAlign w:val="top"/>
          </w:tcPr>
          <w:p>
            <w:pPr/>
            <w:r>
              <w:rPr>
                <w:sz w:val="18"/>
              </w:rPr>
            </w:r>
            <w:r>
              <w:rPr>
                <w:b w:val="0"/>
                <w:sz w:val="18"/>
              </w:rPr>
              <w:t>Thermal Losses</w:t>
            </w:r>
          </w:p>
        </w:tc>
        <w:tc>
          <w:tcPr>
            <w:tcW w:type="dxa" w:w="1560"/>
            <w:vAlign w:val="top"/>
          </w:tcPr>
          <w:p>
            <w:pPr/>
            <w:r>
              <w:rPr>
                <w:sz w:val="18"/>
              </w:rPr>
            </w:r>
            <w:r>
              <w:rPr>
                <w:b w:val="0"/>
                <w:sz w:val="18"/>
              </w:rPr>
              <w:t>stack_temp</w:t>
            </w:r>
          </w:p>
        </w:tc>
        <w:tc>
          <w:tcPr>
            <w:tcW w:type="dxa" w:w="1560"/>
            <w:vAlign w:val="top"/>
          </w:tcPr>
          <w:p>
            <w:pPr/>
            <w:r>
              <w:rPr>
                <w:sz w:val="18"/>
              </w:rPr>
            </w:r>
            <w:r>
              <w:rPr>
                <w:b w:val="0"/>
                <w:sz w:val="18"/>
              </w:rPr>
              <w:t>Flue gas temperature (if stack loss model used)</w:t>
            </w:r>
          </w:p>
        </w:tc>
        <w:tc>
          <w:tcPr>
            <w:tcW w:type="dxa" w:w="1560"/>
            <w:vAlign w:val="top"/>
          </w:tcPr>
          <w:p>
            <w:pPr/>
            <w:r>
              <w:rPr>
                <w:sz w:val="18"/>
              </w:rPr>
            </w:r>
            <w:r>
              <w:rPr>
                <w:b w:val="0"/>
                <w:sz w:val="18"/>
              </w:rPr>
              <w:t>°C</w:t>
            </w:r>
          </w:p>
        </w:tc>
        <w:tc>
          <w:tcPr>
            <w:tcW w:type="dxa" w:w="1560"/>
            <w:vAlign w:val="top"/>
          </w:tcPr>
          <w:p>
            <w:pPr/>
            <w:r>
              <w:rPr>
                <w:sz w:val="18"/>
              </w:rPr>
            </w:r>
            <w:r>
              <w:rPr>
                <w:b w:val="0"/>
                <w:sz w:val="18"/>
              </w:rPr>
              <w:t>≥1/min</w:t>
            </w:r>
          </w:p>
        </w:tc>
        <w:tc>
          <w:tcPr>
            <w:tcW w:type="dxa" w:w="1560"/>
            <w:vAlign w:val="top"/>
          </w:tcPr>
          <w:p>
            <w:pPr/>
            <w:r>
              <w:rPr>
                <w:sz w:val="18"/>
              </w:rPr>
            </w:r>
            <w:r>
              <w:rPr>
                <w:b w:val="0"/>
                <w:sz w:val="18"/>
              </w:rPr>
              <w:t>Historian</w:t>
            </w:r>
          </w:p>
        </w:tc>
      </w:tr>
      <w:tr>
        <w:tc>
          <w:tcPr>
            <w:tcW w:type="dxa" w:w="1560"/>
            <w:vAlign w:val="top"/>
          </w:tcPr>
          <w:p>
            <w:pPr/>
            <w:r>
              <w:rPr>
                <w:sz w:val="18"/>
              </w:rPr>
            </w:r>
            <w:r>
              <w:rPr>
                <w:b w:val="0"/>
                <w:sz w:val="18"/>
              </w:rPr>
              <w:t>Thermal Losses</w:t>
            </w:r>
          </w:p>
        </w:tc>
        <w:tc>
          <w:tcPr>
            <w:tcW w:type="dxa" w:w="1560"/>
            <w:vAlign w:val="top"/>
          </w:tcPr>
          <w:p>
            <w:pPr/>
            <w:r>
              <w:rPr>
                <w:sz w:val="18"/>
              </w:rPr>
            </w:r>
            <w:r>
              <w:rPr>
                <w:b w:val="0"/>
                <w:sz w:val="18"/>
              </w:rPr>
              <w:t>ambient_temp</w:t>
            </w:r>
          </w:p>
        </w:tc>
        <w:tc>
          <w:tcPr>
            <w:tcW w:type="dxa" w:w="1560"/>
            <w:vAlign w:val="top"/>
          </w:tcPr>
          <w:p>
            <w:pPr/>
            <w:r>
              <w:rPr>
                <w:sz w:val="18"/>
              </w:rPr>
            </w:r>
            <w:r>
              <w:rPr>
                <w:b w:val="0"/>
                <w:sz w:val="18"/>
              </w:rPr>
              <w:t>Ambient temperature (reference environment)</w:t>
            </w:r>
          </w:p>
        </w:tc>
        <w:tc>
          <w:tcPr>
            <w:tcW w:type="dxa" w:w="1560"/>
            <w:vAlign w:val="top"/>
          </w:tcPr>
          <w:p>
            <w:pPr/>
            <w:r>
              <w:rPr>
                <w:sz w:val="18"/>
              </w:rPr>
            </w:r>
            <w:r>
              <w:rPr>
                <w:b w:val="0"/>
                <w:sz w:val="18"/>
              </w:rPr>
              <w:t>°C</w:t>
            </w:r>
          </w:p>
        </w:tc>
        <w:tc>
          <w:tcPr>
            <w:tcW w:type="dxa" w:w="1560"/>
            <w:vAlign w:val="top"/>
          </w:tcPr>
          <w:p>
            <w:pPr/>
            <w:r>
              <w:rPr>
                <w:sz w:val="18"/>
              </w:rPr>
            </w:r>
            <w:r>
              <w:rPr>
                <w:b w:val="0"/>
                <w:sz w:val="18"/>
              </w:rPr>
              <w:t>≥1/min</w:t>
            </w:r>
          </w:p>
        </w:tc>
        <w:tc>
          <w:tcPr>
            <w:tcW w:type="dxa" w:w="1560"/>
            <w:vAlign w:val="top"/>
          </w:tcPr>
          <w:p>
            <w:pPr/>
            <w:r>
              <w:rPr>
                <w:sz w:val="18"/>
              </w:rPr>
            </w:r>
            <w:r>
              <w:rPr>
                <w:b w:val="0"/>
                <w:sz w:val="18"/>
              </w:rPr>
              <w:t>Weather/plant sensor</w:t>
            </w:r>
          </w:p>
        </w:tc>
      </w:tr>
      <w:tr>
        <w:tc>
          <w:tcPr>
            <w:tcW w:type="dxa" w:w="1560"/>
            <w:vAlign w:val="top"/>
          </w:tcPr>
          <w:p>
            <w:pPr/>
            <w:r>
              <w:rPr>
                <w:sz w:val="18"/>
              </w:rPr>
            </w:r>
            <w:r>
              <w:rPr>
                <w:b w:val="0"/>
                <w:sz w:val="18"/>
              </w:rPr>
              <w:t>Thermal Losses</w:t>
            </w:r>
          </w:p>
        </w:tc>
        <w:tc>
          <w:tcPr>
            <w:tcW w:type="dxa" w:w="1560"/>
            <w:vAlign w:val="top"/>
          </w:tcPr>
          <w:p>
            <w:pPr/>
            <w:r>
              <w:rPr>
                <w:sz w:val="18"/>
              </w:rPr>
            </w:r>
            <w:r>
              <w:rPr>
                <w:b w:val="0"/>
                <w:sz w:val="18"/>
              </w:rPr>
              <w:t>surface_temp</w:t>
            </w:r>
          </w:p>
        </w:tc>
        <w:tc>
          <w:tcPr>
            <w:tcW w:type="dxa" w:w="1560"/>
            <w:vAlign w:val="top"/>
          </w:tcPr>
          <w:p>
            <w:pPr/>
            <w:r>
              <w:rPr>
                <w:sz w:val="18"/>
              </w:rPr>
            </w:r>
            <w:r>
              <w:rPr>
                <w:b w:val="0"/>
                <w:sz w:val="18"/>
              </w:rPr>
              <w:t>Equipment surface temperature (radiation/convection loss)</w:t>
            </w:r>
          </w:p>
        </w:tc>
        <w:tc>
          <w:tcPr>
            <w:tcW w:type="dxa" w:w="1560"/>
            <w:vAlign w:val="top"/>
          </w:tcPr>
          <w:p>
            <w:pPr/>
            <w:r>
              <w:rPr>
                <w:sz w:val="18"/>
              </w:rPr>
            </w:r>
            <w:r>
              <w:rPr>
                <w:b w:val="0"/>
                <w:sz w:val="18"/>
              </w:rPr>
              <w:t>°C</w:t>
            </w:r>
          </w:p>
        </w:tc>
        <w:tc>
          <w:tcPr>
            <w:tcW w:type="dxa" w:w="1560"/>
            <w:vAlign w:val="top"/>
          </w:tcPr>
          <w:p>
            <w:pPr/>
            <w:r>
              <w:rPr>
                <w:sz w:val="18"/>
              </w:rPr>
            </w:r>
            <w:r>
              <w:rPr>
                <w:b w:val="0"/>
                <w:sz w:val="18"/>
              </w:rPr>
              <w:t>≥1/min</w:t>
            </w:r>
          </w:p>
        </w:tc>
        <w:tc>
          <w:tcPr>
            <w:tcW w:type="dxa" w:w="1560"/>
            <w:vAlign w:val="top"/>
          </w:tcPr>
          <w:p>
            <w:pPr/>
            <w:r>
              <w:rPr>
                <w:sz w:val="18"/>
              </w:rPr>
            </w:r>
            <w:r>
              <w:rPr>
                <w:b w:val="0"/>
                <w:sz w:val="18"/>
              </w:rPr>
              <w:t>IR sensor/manual</w:t>
            </w:r>
          </w:p>
        </w:tc>
      </w:tr>
      <w:tr>
        <w:tc>
          <w:tcPr>
            <w:tcW w:type="dxa" w:w="1560"/>
            <w:vAlign w:val="top"/>
          </w:tcPr>
          <w:p>
            <w:pPr/>
            <w:r>
              <w:rPr>
                <w:sz w:val="18"/>
              </w:rPr>
            </w:r>
            <w:r>
              <w:rPr>
                <w:b w:val="0"/>
                <w:sz w:val="18"/>
              </w:rPr>
              <w:t>Fluid Loop</w:t>
            </w:r>
          </w:p>
        </w:tc>
        <w:tc>
          <w:tcPr>
            <w:tcW w:type="dxa" w:w="1560"/>
            <w:vAlign w:val="top"/>
          </w:tcPr>
          <w:p>
            <w:pPr/>
            <w:r>
              <w:rPr>
                <w:sz w:val="18"/>
              </w:rPr>
            </w:r>
            <w:r>
              <w:rPr>
                <w:b w:val="0"/>
                <w:sz w:val="18"/>
              </w:rPr>
              <w:t>fluid_name</w:t>
            </w:r>
          </w:p>
        </w:tc>
        <w:tc>
          <w:tcPr>
            <w:tcW w:type="dxa" w:w="1560"/>
            <w:vAlign w:val="top"/>
          </w:tcPr>
          <w:p>
            <w:pPr/>
            <w:r>
              <w:rPr>
                <w:sz w:val="18"/>
              </w:rPr>
            </w:r>
            <w:r>
              <w:rPr>
                <w:b w:val="0"/>
                <w:sz w:val="18"/>
              </w:rPr>
              <w:t>Heat transfer fluid identity (must map to property dataset)</w:t>
            </w:r>
          </w:p>
        </w:tc>
        <w:tc>
          <w:tcPr>
            <w:tcW w:type="dxa" w:w="1560"/>
            <w:vAlign w:val="top"/>
          </w:tcPr>
          <w:p>
            <w:pPr/>
            <w:r>
              <w:rPr>
                <w:sz w:val="18"/>
              </w:rPr>
            </w:r>
            <w:r>
              <w:rPr>
                <w:b w:val="0"/>
                <w:sz w:val="18"/>
              </w:rPr>
              <w:t>enum</w:t>
            </w:r>
          </w:p>
        </w:tc>
        <w:tc>
          <w:tcPr>
            <w:tcW w:type="dxa" w:w="1560"/>
            <w:vAlign w:val="top"/>
          </w:tcPr>
          <w:p>
            <w:pPr/>
            <w:r>
              <w:rPr>
                <w:sz w:val="18"/>
              </w:rPr>
            </w:r>
            <w:r>
              <w:rPr>
                <w:b w:val="0"/>
                <w:sz w:val="18"/>
              </w:rPr>
              <w:t>static</w:t>
            </w:r>
          </w:p>
        </w:tc>
        <w:tc>
          <w:tcPr>
            <w:tcW w:type="dxa" w:w="1560"/>
            <w:vAlign w:val="top"/>
          </w:tcPr>
          <w:p>
            <w:pPr/>
            <w:r>
              <w:rPr>
                <w:sz w:val="18"/>
              </w:rPr>
            </w:r>
            <w:r>
              <w:rPr>
                <w:b w:val="0"/>
                <w:sz w:val="18"/>
              </w:rPr>
              <w:t>Asset metadata</w:t>
            </w:r>
          </w:p>
        </w:tc>
      </w:tr>
      <w:tr>
        <w:tc>
          <w:tcPr>
            <w:tcW w:type="dxa" w:w="1560"/>
            <w:vAlign w:val="top"/>
          </w:tcPr>
          <w:p>
            <w:pPr/>
            <w:r>
              <w:rPr>
                <w:sz w:val="18"/>
              </w:rPr>
            </w:r>
            <w:r>
              <w:rPr>
                <w:b w:val="0"/>
                <w:sz w:val="18"/>
              </w:rPr>
              <w:t>Fluid Loop</w:t>
            </w:r>
          </w:p>
        </w:tc>
        <w:tc>
          <w:tcPr>
            <w:tcW w:type="dxa" w:w="1560"/>
            <w:vAlign w:val="top"/>
          </w:tcPr>
          <w:p>
            <w:pPr/>
            <w:r>
              <w:rPr>
                <w:sz w:val="18"/>
              </w:rPr>
            </w:r>
            <w:r>
              <w:rPr>
                <w:b w:val="0"/>
                <w:sz w:val="18"/>
              </w:rPr>
              <w:t>T_supply</w:t>
            </w:r>
          </w:p>
        </w:tc>
        <w:tc>
          <w:tcPr>
            <w:tcW w:type="dxa" w:w="1560"/>
            <w:vAlign w:val="top"/>
          </w:tcPr>
          <w:p>
            <w:pPr/>
            <w:r>
              <w:rPr>
                <w:sz w:val="18"/>
              </w:rPr>
            </w:r>
            <w:r>
              <w:rPr>
                <w:b w:val="0"/>
                <w:sz w:val="18"/>
              </w:rPr>
              <w:t>Fluid supply temperature</w:t>
            </w:r>
          </w:p>
        </w:tc>
        <w:tc>
          <w:tcPr>
            <w:tcW w:type="dxa" w:w="1560"/>
            <w:vAlign w:val="top"/>
          </w:tcPr>
          <w:p>
            <w:pPr/>
            <w:r>
              <w:rPr>
                <w:sz w:val="18"/>
              </w:rPr>
            </w:r>
            <w:r>
              <w:rPr>
                <w:b w:val="0"/>
                <w:sz w:val="18"/>
              </w:rPr>
              <w:t>°C</w:t>
            </w:r>
          </w:p>
        </w:tc>
        <w:tc>
          <w:tcPr>
            <w:tcW w:type="dxa" w:w="1560"/>
            <w:vAlign w:val="top"/>
          </w:tcPr>
          <w:p>
            <w:pPr/>
            <w:r>
              <w:rPr>
                <w:sz w:val="18"/>
              </w:rPr>
            </w:r>
            <w:r>
              <w:rPr>
                <w:b w:val="0"/>
                <w:sz w:val="18"/>
              </w:rPr>
              <w:t>≥1/min</w:t>
            </w:r>
          </w:p>
        </w:tc>
        <w:tc>
          <w:tcPr>
            <w:tcW w:type="dxa" w:w="1560"/>
            <w:vAlign w:val="top"/>
          </w:tcPr>
          <w:p>
            <w:pPr/>
            <w:r>
              <w:rPr>
                <w:sz w:val="18"/>
              </w:rPr>
            </w:r>
            <w:r>
              <w:rPr>
                <w:b w:val="0"/>
                <w:sz w:val="18"/>
              </w:rPr>
              <w:t>RTD/TC</w:t>
            </w:r>
          </w:p>
        </w:tc>
      </w:tr>
      <w:tr>
        <w:tc>
          <w:tcPr>
            <w:tcW w:type="dxa" w:w="1560"/>
            <w:vAlign w:val="top"/>
          </w:tcPr>
          <w:p>
            <w:pPr/>
            <w:r>
              <w:rPr>
                <w:sz w:val="18"/>
              </w:rPr>
            </w:r>
            <w:r>
              <w:rPr>
                <w:b w:val="0"/>
                <w:sz w:val="18"/>
              </w:rPr>
              <w:t>Fluid Loop</w:t>
            </w:r>
          </w:p>
        </w:tc>
        <w:tc>
          <w:tcPr>
            <w:tcW w:type="dxa" w:w="1560"/>
            <w:vAlign w:val="top"/>
          </w:tcPr>
          <w:p>
            <w:pPr/>
            <w:r>
              <w:rPr>
                <w:sz w:val="18"/>
              </w:rPr>
            </w:r>
            <w:r>
              <w:rPr>
                <w:b w:val="0"/>
                <w:sz w:val="18"/>
              </w:rPr>
              <w:t>T_return</w:t>
            </w:r>
          </w:p>
        </w:tc>
        <w:tc>
          <w:tcPr>
            <w:tcW w:type="dxa" w:w="1560"/>
            <w:vAlign w:val="top"/>
          </w:tcPr>
          <w:p>
            <w:pPr/>
            <w:r>
              <w:rPr>
                <w:sz w:val="18"/>
              </w:rPr>
            </w:r>
            <w:r>
              <w:rPr>
                <w:b w:val="0"/>
                <w:sz w:val="18"/>
              </w:rPr>
              <w:t>Fluid return temperature</w:t>
            </w:r>
          </w:p>
        </w:tc>
        <w:tc>
          <w:tcPr>
            <w:tcW w:type="dxa" w:w="1560"/>
            <w:vAlign w:val="top"/>
          </w:tcPr>
          <w:p>
            <w:pPr/>
            <w:r>
              <w:rPr>
                <w:sz w:val="18"/>
              </w:rPr>
            </w:r>
            <w:r>
              <w:rPr>
                <w:b w:val="0"/>
                <w:sz w:val="18"/>
              </w:rPr>
              <w:t>°C</w:t>
            </w:r>
          </w:p>
        </w:tc>
        <w:tc>
          <w:tcPr>
            <w:tcW w:type="dxa" w:w="1560"/>
            <w:vAlign w:val="top"/>
          </w:tcPr>
          <w:p>
            <w:pPr/>
            <w:r>
              <w:rPr>
                <w:sz w:val="18"/>
              </w:rPr>
            </w:r>
            <w:r>
              <w:rPr>
                <w:b w:val="0"/>
                <w:sz w:val="18"/>
              </w:rPr>
              <w:t>≥1/min</w:t>
            </w:r>
          </w:p>
        </w:tc>
        <w:tc>
          <w:tcPr>
            <w:tcW w:type="dxa" w:w="1560"/>
            <w:vAlign w:val="top"/>
          </w:tcPr>
          <w:p>
            <w:pPr/>
            <w:r>
              <w:rPr>
                <w:sz w:val="18"/>
              </w:rPr>
            </w:r>
            <w:r>
              <w:rPr>
                <w:b w:val="0"/>
                <w:sz w:val="18"/>
              </w:rPr>
              <w:t>RTD/TC</w:t>
            </w:r>
          </w:p>
        </w:tc>
      </w:tr>
      <w:tr>
        <w:tc>
          <w:tcPr>
            <w:tcW w:type="dxa" w:w="1560"/>
            <w:vAlign w:val="top"/>
          </w:tcPr>
          <w:p>
            <w:pPr/>
            <w:r>
              <w:rPr>
                <w:sz w:val="18"/>
              </w:rPr>
            </w:r>
            <w:r>
              <w:rPr>
                <w:b w:val="0"/>
                <w:sz w:val="18"/>
              </w:rPr>
              <w:t>Fluid Loop</w:t>
            </w:r>
          </w:p>
        </w:tc>
        <w:tc>
          <w:tcPr>
            <w:tcW w:type="dxa" w:w="1560"/>
            <w:vAlign w:val="top"/>
          </w:tcPr>
          <w:p>
            <w:pPr/>
            <w:r>
              <w:rPr>
                <w:sz w:val="18"/>
              </w:rPr>
            </w:r>
            <w:r>
              <w:rPr>
                <w:b w:val="0"/>
                <w:sz w:val="18"/>
              </w:rPr>
              <w:t>P_loop</w:t>
            </w:r>
          </w:p>
        </w:tc>
        <w:tc>
          <w:tcPr>
            <w:tcW w:type="dxa" w:w="1560"/>
            <w:vAlign w:val="top"/>
          </w:tcPr>
          <w:p>
            <w:pPr/>
            <w:r>
              <w:rPr>
                <w:sz w:val="18"/>
              </w:rPr>
            </w:r>
            <w:r>
              <w:rPr>
                <w:b w:val="0"/>
                <w:sz w:val="18"/>
              </w:rPr>
              <w:t>Loop pressure (or pressure at reference point)</w:t>
            </w:r>
          </w:p>
        </w:tc>
        <w:tc>
          <w:tcPr>
            <w:tcW w:type="dxa" w:w="1560"/>
            <w:vAlign w:val="top"/>
          </w:tcPr>
          <w:p>
            <w:pPr/>
            <w:r>
              <w:rPr>
                <w:sz w:val="18"/>
              </w:rPr>
            </w:r>
            <w:r>
              <w:rPr>
                <w:b w:val="0"/>
                <w:sz w:val="18"/>
              </w:rPr>
              <w:t>kPa</w:t>
            </w:r>
          </w:p>
        </w:tc>
        <w:tc>
          <w:tcPr>
            <w:tcW w:type="dxa" w:w="1560"/>
            <w:vAlign w:val="top"/>
          </w:tcPr>
          <w:p>
            <w:pPr/>
            <w:r>
              <w:rPr>
                <w:sz w:val="18"/>
              </w:rPr>
            </w:r>
            <w:r>
              <w:rPr>
                <w:b w:val="0"/>
                <w:sz w:val="18"/>
              </w:rPr>
              <w:t>≥1/min</w:t>
            </w:r>
          </w:p>
        </w:tc>
        <w:tc>
          <w:tcPr>
            <w:tcW w:type="dxa" w:w="1560"/>
            <w:vAlign w:val="top"/>
          </w:tcPr>
          <w:p>
            <w:pPr/>
            <w:r>
              <w:rPr>
                <w:sz w:val="18"/>
              </w:rPr>
            </w:r>
            <w:r>
              <w:rPr>
                <w:b w:val="0"/>
                <w:sz w:val="18"/>
              </w:rPr>
              <w:t>Pressure transmitter</w:t>
            </w:r>
          </w:p>
        </w:tc>
      </w:tr>
      <w:tr>
        <w:tc>
          <w:tcPr>
            <w:tcW w:type="dxa" w:w="1560"/>
            <w:vAlign w:val="top"/>
          </w:tcPr>
          <w:p>
            <w:pPr/>
            <w:r>
              <w:rPr>
                <w:sz w:val="18"/>
              </w:rPr>
            </w:r>
            <w:r>
              <w:rPr>
                <w:b w:val="0"/>
                <w:sz w:val="18"/>
              </w:rPr>
              <w:t>Fluid Loop</w:t>
            </w:r>
          </w:p>
        </w:tc>
        <w:tc>
          <w:tcPr>
            <w:tcW w:type="dxa" w:w="1560"/>
            <w:vAlign w:val="top"/>
          </w:tcPr>
          <w:p>
            <w:pPr/>
            <w:r>
              <w:rPr>
                <w:sz w:val="18"/>
              </w:rPr>
            </w:r>
            <w:r>
              <w:rPr>
                <w:b w:val="0"/>
                <w:sz w:val="18"/>
              </w:rPr>
              <w:t>flow_rate</w:t>
            </w:r>
          </w:p>
        </w:tc>
        <w:tc>
          <w:tcPr>
            <w:tcW w:type="dxa" w:w="1560"/>
            <w:vAlign w:val="top"/>
          </w:tcPr>
          <w:p>
            <w:pPr/>
            <w:r>
              <w:rPr>
                <w:sz w:val="18"/>
              </w:rPr>
            </w:r>
            <w:r>
              <w:rPr>
                <w:b w:val="0"/>
                <w:sz w:val="18"/>
              </w:rPr>
              <w:t>Mass flow or volumetric flow (with density for conversion)</w:t>
            </w:r>
          </w:p>
        </w:tc>
        <w:tc>
          <w:tcPr>
            <w:tcW w:type="dxa" w:w="1560"/>
            <w:vAlign w:val="top"/>
          </w:tcPr>
          <w:p>
            <w:pPr/>
            <w:r>
              <w:rPr>
                <w:sz w:val="18"/>
              </w:rPr>
            </w:r>
            <w:r>
              <w:rPr>
                <w:b w:val="0"/>
                <w:sz w:val="18"/>
              </w:rPr>
              <w:t>kg/s or m³/s</w:t>
            </w:r>
          </w:p>
        </w:tc>
        <w:tc>
          <w:tcPr>
            <w:tcW w:type="dxa" w:w="1560"/>
            <w:vAlign w:val="top"/>
          </w:tcPr>
          <w:p>
            <w:pPr/>
            <w:r>
              <w:rPr>
                <w:sz w:val="18"/>
              </w:rPr>
            </w:r>
            <w:r>
              <w:rPr>
                <w:b w:val="0"/>
                <w:sz w:val="18"/>
              </w:rPr>
              <w:t>≥1/min</w:t>
            </w:r>
          </w:p>
        </w:tc>
        <w:tc>
          <w:tcPr>
            <w:tcW w:type="dxa" w:w="1560"/>
            <w:vAlign w:val="top"/>
          </w:tcPr>
          <w:p>
            <w:pPr/>
            <w:r>
              <w:rPr>
                <w:sz w:val="18"/>
              </w:rPr>
            </w:r>
            <w:r>
              <w:rPr>
                <w:b w:val="0"/>
                <w:sz w:val="18"/>
              </w:rPr>
              <w:t>Flow meter</w:t>
            </w:r>
          </w:p>
        </w:tc>
      </w:tr>
      <w:tr>
        <w:tc>
          <w:tcPr>
            <w:tcW w:type="dxa" w:w="1560"/>
            <w:vAlign w:val="top"/>
          </w:tcPr>
          <w:p>
            <w:pPr/>
            <w:r>
              <w:rPr>
                <w:sz w:val="18"/>
              </w:rPr>
            </w:r>
            <w:r>
              <w:rPr>
                <w:b w:val="0"/>
                <w:sz w:val="18"/>
              </w:rPr>
              <w:t>Fluid Loop</w:t>
            </w:r>
          </w:p>
        </w:tc>
        <w:tc>
          <w:tcPr>
            <w:tcW w:type="dxa" w:w="1560"/>
            <w:vAlign w:val="top"/>
          </w:tcPr>
          <w:p>
            <w:pPr/>
            <w:r>
              <w:rPr>
                <w:sz w:val="18"/>
              </w:rPr>
            </w:r>
            <w:r>
              <w:rPr>
                <w:b w:val="0"/>
                <w:sz w:val="18"/>
              </w:rPr>
              <w:t>deltaP</w:t>
            </w:r>
          </w:p>
        </w:tc>
        <w:tc>
          <w:tcPr>
            <w:tcW w:type="dxa" w:w="1560"/>
            <w:vAlign w:val="top"/>
          </w:tcPr>
          <w:p>
            <w:pPr/>
            <w:r>
              <w:rPr>
                <w:sz w:val="18"/>
              </w:rPr>
            </w:r>
            <w:r>
              <w:rPr>
                <w:b w:val="0"/>
                <w:sz w:val="18"/>
              </w:rPr>
              <w:t>Differential pressure across loop/heat exchanger (pumping analysis)</w:t>
            </w:r>
          </w:p>
        </w:tc>
        <w:tc>
          <w:tcPr>
            <w:tcW w:type="dxa" w:w="1560"/>
            <w:vAlign w:val="top"/>
          </w:tcPr>
          <w:p>
            <w:pPr/>
            <w:r>
              <w:rPr>
                <w:sz w:val="18"/>
              </w:rPr>
            </w:r>
            <w:r>
              <w:rPr>
                <w:b w:val="0"/>
                <w:sz w:val="18"/>
              </w:rPr>
              <w:t>kPa</w:t>
            </w:r>
          </w:p>
        </w:tc>
        <w:tc>
          <w:tcPr>
            <w:tcW w:type="dxa" w:w="1560"/>
            <w:vAlign w:val="top"/>
          </w:tcPr>
          <w:p>
            <w:pPr/>
            <w:r>
              <w:rPr>
                <w:sz w:val="18"/>
              </w:rPr>
            </w:r>
            <w:r>
              <w:rPr>
                <w:b w:val="0"/>
                <w:sz w:val="18"/>
              </w:rPr>
              <w:t>≥1/min</w:t>
            </w:r>
          </w:p>
        </w:tc>
        <w:tc>
          <w:tcPr>
            <w:tcW w:type="dxa" w:w="1560"/>
            <w:vAlign w:val="top"/>
          </w:tcPr>
          <w:p>
            <w:pPr/>
            <w:r>
              <w:rPr>
                <w:sz w:val="18"/>
              </w:rPr>
            </w:r>
            <w:r>
              <w:rPr>
                <w:b w:val="0"/>
                <w:sz w:val="18"/>
              </w:rPr>
              <w:t>DP transmitter</w:t>
            </w:r>
          </w:p>
        </w:tc>
      </w:tr>
      <w:tr>
        <w:tc>
          <w:tcPr>
            <w:tcW w:type="dxa" w:w="1560"/>
            <w:vAlign w:val="top"/>
          </w:tcPr>
          <w:p>
            <w:pPr/>
            <w:r>
              <w:rPr>
                <w:sz w:val="18"/>
              </w:rPr>
            </w:r>
            <w:r>
              <w:rPr>
                <w:b w:val="0"/>
                <w:sz w:val="18"/>
              </w:rPr>
              <w:t>Equipment</w:t>
            </w:r>
          </w:p>
        </w:tc>
        <w:tc>
          <w:tcPr>
            <w:tcW w:type="dxa" w:w="1560"/>
            <w:vAlign w:val="top"/>
          </w:tcPr>
          <w:p>
            <w:pPr/>
            <w:r>
              <w:rPr>
                <w:sz w:val="18"/>
              </w:rPr>
            </w:r>
            <w:r>
              <w:rPr>
                <w:b w:val="0"/>
                <w:sz w:val="18"/>
              </w:rPr>
              <w:t>pump_efficiency</w:t>
            </w:r>
          </w:p>
        </w:tc>
        <w:tc>
          <w:tcPr>
            <w:tcW w:type="dxa" w:w="1560"/>
            <w:vAlign w:val="top"/>
          </w:tcPr>
          <w:p>
            <w:pPr/>
            <w:r>
              <w:rPr>
                <w:sz w:val="18"/>
              </w:rPr>
            </w:r>
            <w:r>
              <w:rPr>
                <w:b w:val="0"/>
                <w:sz w:val="18"/>
              </w:rPr>
              <w:t>Pump efficiency (curve or scalar)</w:t>
            </w:r>
          </w:p>
        </w:tc>
        <w:tc>
          <w:tcPr>
            <w:tcW w:type="dxa" w:w="1560"/>
            <w:vAlign w:val="top"/>
          </w:tcPr>
          <w:p>
            <w:pPr/>
            <w:r>
              <w:rPr>
                <w:sz w:val="18"/>
              </w:rPr>
            </w:r>
            <w:r>
              <w:rPr>
                <w:b w:val="0"/>
                <w:sz w:val="18"/>
              </w:rPr>
              <w:t>%</w:t>
            </w:r>
          </w:p>
        </w:tc>
        <w:tc>
          <w:tcPr>
            <w:tcW w:type="dxa" w:w="1560"/>
            <w:vAlign w:val="top"/>
          </w:tcPr>
          <w:p>
            <w:pPr/>
            <w:r>
              <w:rPr>
                <w:sz w:val="18"/>
              </w:rPr>
            </w:r>
            <w:r>
              <w:rPr>
                <w:b w:val="0"/>
                <w:sz w:val="18"/>
              </w:rPr>
              <w:t>static</w:t>
            </w:r>
          </w:p>
        </w:tc>
        <w:tc>
          <w:tcPr>
            <w:tcW w:type="dxa" w:w="1560"/>
            <w:vAlign w:val="top"/>
          </w:tcPr>
          <w:p>
            <w:pPr/>
            <w:r>
              <w:rPr>
                <w:sz w:val="18"/>
              </w:rPr>
            </w:r>
            <w:r>
              <w:rPr>
                <w:b w:val="0"/>
                <w:sz w:val="18"/>
              </w:rPr>
              <w:t>Spec sheet</w:t>
            </w:r>
          </w:p>
        </w:tc>
      </w:tr>
      <w:tr>
        <w:tc>
          <w:tcPr>
            <w:tcW w:type="dxa" w:w="1560"/>
            <w:vAlign w:val="top"/>
          </w:tcPr>
          <w:p>
            <w:pPr/>
            <w:r>
              <w:rPr>
                <w:sz w:val="18"/>
              </w:rPr>
            </w:r>
            <w:r>
              <w:rPr>
                <w:b w:val="0"/>
                <w:sz w:val="18"/>
              </w:rPr>
              <w:t>Equipment</w:t>
            </w:r>
          </w:p>
        </w:tc>
        <w:tc>
          <w:tcPr>
            <w:tcW w:type="dxa" w:w="1560"/>
            <w:vAlign w:val="top"/>
          </w:tcPr>
          <w:p>
            <w:pPr/>
            <w:r>
              <w:rPr>
                <w:sz w:val="18"/>
              </w:rPr>
            </w:r>
            <w:r>
              <w:rPr>
                <w:b w:val="0"/>
                <w:sz w:val="18"/>
              </w:rPr>
              <w:t>heater_rated_capacity</w:t>
            </w:r>
          </w:p>
        </w:tc>
        <w:tc>
          <w:tcPr>
            <w:tcW w:type="dxa" w:w="1560"/>
            <w:vAlign w:val="top"/>
          </w:tcPr>
          <w:p>
            <w:pPr/>
            <w:r>
              <w:rPr>
                <w:sz w:val="18"/>
              </w:rPr>
            </w:r>
            <w:r>
              <w:rPr>
                <w:b w:val="0"/>
                <w:sz w:val="18"/>
              </w:rPr>
              <w:t>Rated thermal output of heater/boiler</w:t>
            </w:r>
          </w:p>
        </w:tc>
        <w:tc>
          <w:tcPr>
            <w:tcW w:type="dxa" w:w="1560"/>
            <w:vAlign w:val="top"/>
          </w:tcPr>
          <w:p>
            <w:pPr/>
            <w:r>
              <w:rPr>
                <w:sz w:val="18"/>
              </w:rPr>
            </w:r>
            <w:r>
              <w:rPr>
                <w:b w:val="0"/>
                <w:sz w:val="18"/>
              </w:rPr>
              <w:t>kW</w:t>
            </w:r>
          </w:p>
        </w:tc>
        <w:tc>
          <w:tcPr>
            <w:tcW w:type="dxa" w:w="1560"/>
            <w:vAlign w:val="top"/>
          </w:tcPr>
          <w:p>
            <w:pPr/>
            <w:r>
              <w:rPr>
                <w:sz w:val="18"/>
              </w:rPr>
            </w:r>
            <w:r>
              <w:rPr>
                <w:b w:val="0"/>
                <w:sz w:val="18"/>
              </w:rPr>
              <w:t>static</w:t>
            </w:r>
          </w:p>
        </w:tc>
        <w:tc>
          <w:tcPr>
            <w:tcW w:type="dxa" w:w="1560"/>
            <w:vAlign w:val="top"/>
          </w:tcPr>
          <w:p>
            <w:pPr/>
            <w:r>
              <w:rPr>
                <w:sz w:val="18"/>
              </w:rPr>
            </w:r>
            <w:r>
              <w:rPr>
                <w:b w:val="0"/>
                <w:sz w:val="18"/>
              </w:rPr>
              <w:t>Spec sheet</w:t>
            </w:r>
          </w:p>
        </w:tc>
      </w:tr>
    </w:tbl>
    <w:p>
      <w:pPr>
        <w:pStyle w:val="Heading2"/>
      </w:pPr>
      <w:r>
        <w:t>6.3 Data Quality and Validation Rules</w:t>
      </w:r>
    </w:p>
    <w:p>
      <w:pPr>
        <w:pStyle w:val="ListBullet"/>
      </w:pPr>
      <w:r>
        <w:t>Unit normalization: all inputs converted to internal canonical units (SI) using an explicit unit registry; store original units for traceability.</w:t>
      </w:r>
    </w:p>
    <w:p>
      <w:pPr>
        <w:pStyle w:val="ListBullet"/>
      </w:pPr>
      <w:r>
        <w:t>Time alignment: align signals to a common timestamp or window average; record window definition used for each computation.</w:t>
      </w:r>
    </w:p>
    <w:p>
      <w:pPr>
        <w:pStyle w:val="ListBullet"/>
      </w:pPr>
      <w:r>
        <w:t>Range checks: enforce physical plausibility (e.g., T_supply &gt; T_return for heating duty unless explicitly configured).</w:t>
      </w:r>
    </w:p>
    <w:p>
      <w:pPr>
        <w:pStyle w:val="ListBullet"/>
      </w:pPr>
      <w:r>
        <w:t>Missing data: define per-signal handling (drop, interpolate, carry-forward, or fail). For deterministic reporting, default is fail-fast unless policy allows imputation.</w:t>
      </w:r>
    </w:p>
    <w:p>
      <w:pPr>
        <w:pStyle w:val="ListBullet"/>
      </w:pPr>
      <w:r>
        <w:t>Sensor QA flags: honor historian quality bits; exclude bad-quality points from averages; propagate data quality to uncertainty outputs.</w:t>
      </w:r>
    </w:p>
    <w:p>
      <w:pPr>
        <w:pStyle w:val="ListBullet"/>
      </w:pPr>
      <w:r>
        <w:t>Auditability: persist the exact raw values (or a cryptographic hash) used for each run, plus property dataset version and library version.</w:t>
      </w:r>
    </w:p>
    <w:p>
      <w:pPr>
        <w:pStyle w:val="Heading2"/>
      </w:pPr>
      <w:r>
        <w:t>6.4 Uncertainty Inputs (Required for Uncertainty Analysis Mode)</w:t>
      </w:r>
    </w:p>
    <w:p>
      <w:r>
        <w:t>To produce uncertainty intervals, the system must receive uncertainty for each measured input (e.g., ±% of reading, ± absolute, or a standard deviation). If not provided, ThermalIQ must either use a configurable default library by sensor type or report 'uncertainty unavailable'.</w:t>
      </w:r>
    </w:p>
    <w:p>
      <w:r>
        <w:t>Recommended schema for uncertainties:</w:t>
      </w:r>
    </w:p>
    <w:p>
      <w:pPr>
        <w:pStyle w:val="CodeBlock"/>
      </w:pPr>
      <w:r>
        <w:t>{</w:t>
        <w:br/>
        <w:t xml:space="preserve">  "signal": "T_supply",</w:t>
        <w:br/>
        <w:t xml:space="preserve">  "distribution": "normal",</w:t>
        <w:br/>
        <w:t xml:space="preserve">  "sigma": 0.2,</w:t>
        <w:br/>
        <w:t xml:space="preserve">  "units": "degC",</w:t>
        <w:br/>
        <w:t xml:space="preserve">  "source": "sensor_spec"</w:t>
        <w:br/>
        <w:t>}</w:t>
      </w:r>
    </w:p>
    <w:p>
      <w:r>
        <w:br w:type="page"/>
      </w:r>
    </w:p>
    <w:p>
      <w:pPr>
        <w:pStyle w:val="Heading1"/>
      </w:pPr>
      <w:r>
        <w:t>7. Thermodynamics and Mathematics Requirements</w:t>
      </w:r>
    </w:p>
    <w:p>
      <w:pPr>
        <w:pStyle w:val="Heading2"/>
      </w:pPr>
      <w:r>
        <w:t>7.1 Canonical Definitions</w:t>
      </w:r>
    </w:p>
    <w:p>
      <w:pPr>
        <w:pStyle w:val="ListBullet"/>
      </w:pPr>
      <w:r>
        <w:t>Reference environment: T0 = ambient temperature (default: measured ambient). P0 = ambient pressure (default: 101.325 kPa unless measured).</w:t>
      </w:r>
    </w:p>
    <w:p>
      <w:pPr>
        <w:pStyle w:val="ListBullet"/>
      </w:pPr>
      <w:r>
        <w:t>Sign conventions: define Q_in &gt; 0 as heat/energy entering the system boundary; Q_out &gt; 0 leaving. Losses are treated as Q_out terms.</w:t>
      </w:r>
    </w:p>
    <w:p>
      <w:pPr>
        <w:pStyle w:val="ListBullet"/>
      </w:pPr>
      <w:r>
        <w:t>Steady-state default: dU/dt = 0 unless time-window mode explicitly models storage.</w:t>
      </w:r>
    </w:p>
    <w:p>
      <w:pPr>
        <w:pStyle w:val="ListBullet"/>
      </w:pPr>
      <w:r>
        <w:t>Fluid states: define state points consistently (supply, return, inlet/outlet of heat exchanger).</w:t>
      </w:r>
    </w:p>
    <w:p>
      <w:pPr>
        <w:pStyle w:val="Heading2"/>
      </w:pPr>
      <w:r>
        <w:t>7.2 Energy Balance and Thermal Efficiency</w:t>
      </w:r>
    </w:p>
    <w:p>
      <w:r>
        <w:t>At the chosen system boundary, the energy balance (steady-state) is:</w:t>
      </w:r>
    </w:p>
    <w:p>
      <w:pPr>
        <w:pStyle w:val="CodeBlock"/>
      </w:pPr>
      <w:r>
        <w:t>Q_in + W_in = Q_useful + ΣQ_losses + W_out</w:t>
      </w:r>
    </w:p>
    <w:p>
      <w:r>
        <w:t>Thermal efficiency for a heater/boiler boundary is computed as:</w:t>
      </w:r>
    </w:p>
    <w:p>
      <w:pPr>
        <w:pStyle w:val="CodeBlock"/>
      </w:pPr>
      <w:r>
        <w:t>η_thermal = Q_useful / Q_in</w:t>
      </w:r>
    </w:p>
    <w:p>
      <w:r>
        <w:t>Useful heat delivered in a liquid loop may be computed from mass flow and enthalpy rise:</w:t>
      </w:r>
    </w:p>
    <w:p>
      <w:pPr>
        <w:pStyle w:val="CodeBlock"/>
      </w:pPr>
      <w:r>
        <w:t>Q_useful = ṁ · (h_return − h_supply)</w:t>
      </w:r>
    </w:p>
    <w:p>
      <w:r>
        <w:t>If an incompressible approximation is configured, enthalpy rise may be approximated as:</w:t>
      </w:r>
    </w:p>
    <w:p>
      <w:pPr>
        <w:pStyle w:val="CodeBlock"/>
      </w:pPr>
      <w:r>
        <w:t>Δh ≈ ∫_{T_supply}^{T_return} c_p(T) dT  (often approximated as c_p·ΔT over small ranges)</w:t>
      </w:r>
    </w:p>
    <w:p>
      <w:pPr>
        <w:pStyle w:val="Heading2"/>
      </w:pPr>
      <w:r>
        <w:t>7.3 Thermophysical Property Calculations (25+ Fluids)</w:t>
      </w:r>
    </w:p>
    <w:p>
      <w:r>
        <w:t>The shared property service must provide the following properties as functions of temperature (and pressure when relevant):</w:t>
      </w:r>
    </w:p>
    <w:p>
      <w:pPr>
        <w:pStyle w:val="ListBullet"/>
      </w:pPr>
      <w:r>
        <w:t>Density ρ(T,P)</w:t>
      </w:r>
    </w:p>
    <w:p>
      <w:pPr>
        <w:pStyle w:val="ListBullet"/>
      </w:pPr>
      <w:r>
        <w:t>Specific heat capacity c_p(T,P)</w:t>
      </w:r>
    </w:p>
    <w:p>
      <w:pPr>
        <w:pStyle w:val="ListBullet"/>
      </w:pPr>
      <w:r>
        <w:t>Dynamic viscosity μ(T,P)</w:t>
      </w:r>
    </w:p>
    <w:p>
      <w:pPr>
        <w:pStyle w:val="ListBullet"/>
      </w:pPr>
      <w:r>
        <w:t>Thermal conductivity k(T,P)</w:t>
      </w:r>
    </w:p>
    <w:p>
      <w:pPr>
        <w:pStyle w:val="ListBullet"/>
      </w:pPr>
      <w:r>
        <w:t>Vapor pressure P_vap(T) / boiling point constraints</w:t>
      </w:r>
    </w:p>
    <w:p>
      <w:pPr>
        <w:pStyle w:val="ListBullet"/>
      </w:pPr>
      <w:r>
        <w:t>Freezing point / pour point constraints</w:t>
      </w:r>
    </w:p>
    <w:p>
      <w:pPr>
        <w:pStyle w:val="ListBullet"/>
      </w:pPr>
      <w:r>
        <w:t>Enthalpy h(T,P) and entropy s(T,P) (or consistent proxies for incompressible liquids)</w:t>
      </w:r>
    </w:p>
    <w:p>
      <w:pPr>
        <w:pStyle w:val="ListBullet"/>
      </w:pPr>
      <w:r>
        <w:t>Optional derived values: Prandtl number Pr, Reynolds number Re, Nusselt correlations inputs, bulk modulus (for hydraulic transients if ever needed).</w:t>
      </w:r>
    </w:p>
    <w:p>
      <w:r>
        <w:t>Each fluid entry must include validity ranges (T_min, T_max, P_max), recommended operating limits (e.g., film temperature limit), and a confidence/quality rating. Property values must be generated from: (a) published correlations, (b) vendor datasheets with interpolation, or (c) validated reference tables. The dataset must be versioned and immutable per release.</w:t>
      </w:r>
    </w:p>
    <w:p>
      <w:pPr>
        <w:pStyle w:val="Heading2"/>
      </w:pPr>
      <w:r>
        <w:t>7.4 Exergy Analysis (Core Requirement)</w:t>
      </w:r>
    </w:p>
    <w:p>
      <w:r>
        <w:t>ThermalIQ must compute physical (thermomechanical) exergy and exergy destruction, and report a breakdown by component and loss mechanism.</w:t>
      </w:r>
    </w:p>
    <w:p>
      <w:r>
        <w:t>Flow (specific) physical exergy for a stream (neglecting kinetic/potential terms unless configured):</w:t>
      </w:r>
    </w:p>
    <w:p>
      <w:pPr>
        <w:pStyle w:val="CodeBlock"/>
      </w:pPr>
      <w:r>
        <w:t>e = (h − h0) − T0·(s − s0)</w:t>
      </w:r>
    </w:p>
    <w:p>
      <w:r>
        <w:t>Exergy associated with heat transfer at boundary temperature T_b (constant temperature approximation):</w:t>
      </w:r>
    </w:p>
    <w:p>
      <w:pPr>
        <w:pStyle w:val="CodeBlock"/>
      </w:pPr>
      <w:r>
        <w:t>X_Q = Q · (1 − T0 / T_b)</w:t>
      </w:r>
    </w:p>
    <w:p>
      <w:r>
        <w:t>For heat transfer across a temperature range, the implementation must support integration or a segmented approximation:</w:t>
      </w:r>
    </w:p>
    <w:p>
      <w:pPr>
        <w:pStyle w:val="CodeBlock"/>
      </w:pPr>
      <w:r>
        <w:t>X_Q ≈ Σ [ Q_i · (1 − T0 / T_i) ]  over segments i</w:t>
      </w:r>
    </w:p>
    <w:p>
      <w:r>
        <w:t>Exergy destruction is computed from entropy generation:</w:t>
      </w:r>
    </w:p>
    <w:p>
      <w:pPr>
        <w:pStyle w:val="CodeBlock"/>
      </w:pPr>
      <w:r>
        <w:t>X_dest = T0 · S_gen</w:t>
      </w:r>
    </w:p>
    <w:p>
      <w:r>
        <w:t>Equivalent balance form (useful for audits):</w:t>
      </w:r>
    </w:p>
    <w:p>
      <w:pPr>
        <w:pStyle w:val="CodeBlock"/>
      </w:pPr>
      <w:r>
        <w:t>X_in + ΣX_Q,in + W_in = X_out + ΣX_Q,out + W_out + X_dest</w:t>
      </w:r>
    </w:p>
    <w:p>
      <w:pPr>
        <w:pStyle w:val="Heading2"/>
      </w:pPr>
      <w:r>
        <w:t>7.5 Component Models (Minimum Set)</w:t>
      </w:r>
    </w:p>
    <w:p>
      <w:r>
        <w:t>ThermalIQ should support a modular set of component models so that exergy destruction and losses can be attributed. Minimum component set for MVP:</w:t>
      </w:r>
    </w:p>
    <w:p>
      <w:pPr>
        <w:pStyle w:val="ListBullet"/>
      </w:pPr>
      <w:r>
        <w:t>Heat source (boiler/heater/electric heater): fuel/electric input → useful heat + losses; optional stack loss model.</w:t>
      </w:r>
    </w:p>
    <w:p>
      <w:pPr>
        <w:pStyle w:val="ListBullet"/>
      </w:pPr>
      <w:r>
        <w:t>Heat exchanger/load: temperature approach; optional UA/effectiveness; exergy destruction due to finite ΔT.</w:t>
      </w:r>
    </w:p>
    <w:p>
      <w:pPr>
        <w:pStyle w:val="ListBullet"/>
      </w:pPr>
      <w:r>
        <w:t>Pumps: electrical input → hydraulic work; efficiency; optional pump power calculation from ΔP and flow.</w:t>
      </w:r>
    </w:p>
    <w:p>
      <w:pPr>
        <w:pStyle w:val="ListBullet"/>
      </w:pPr>
      <w:r>
        <w:t>Distribution losses: pipe losses, insulation losses (can be lumped).</w:t>
      </w:r>
    </w:p>
    <w:p>
      <w:pPr>
        <w:pStyle w:val="Heading2"/>
      </w:pPr>
      <w:r>
        <w:t>7.6 Uncertainty Propagation (Deterministic + Quantified)</w:t>
      </w:r>
    </w:p>
    <w:p>
      <w:r>
        <w:t>Uncertainty analysis must be deterministic given the same random seed and configuration. Two supported approaches are required:</w:t>
      </w:r>
    </w:p>
    <w:p>
      <w:pPr>
        <w:pStyle w:val="ListBullet"/>
      </w:pPr>
      <w:r>
        <w:t>Analytical/linear propagation: compute Jacobian sensitivities and propagate covariance (fast, approximate).</w:t>
      </w:r>
    </w:p>
    <w:p>
      <w:pPr>
        <w:pStyle w:val="ListBullet"/>
      </w:pPr>
      <w:r>
        <w:t>Monte Carlo: sample input distributions; compute output distributions; return confidence intervals and sensitivity measures.</w:t>
      </w:r>
    </w:p>
    <w:p>
      <w:r>
        <w:t>Linear propagation (scalar output y = f(x)):</w:t>
      </w:r>
    </w:p>
    <w:p>
      <w:pPr>
        <w:pStyle w:val="CodeBlock"/>
      </w:pPr>
      <w:r>
        <w:t>Var(y) ≈ J · Cov(x) · Jᵀ  where J = [∂y/∂x_i]</w:t>
      </w:r>
    </w:p>
    <w:p>
      <w:r>
        <w:t>Monte Carlo must use: fixed RNG seed per run + recorded seed in the audit log.</w:t>
      </w:r>
    </w:p>
    <w:p>
      <w:r>
        <w:br w:type="page"/>
      </w:r>
    </w:p>
    <w:p>
      <w:pPr>
        <w:pStyle w:val="Heading1"/>
      </w:pPr>
      <w:r>
        <w:t>8. Software Architecture and Engineering Requirements</w:t>
      </w:r>
    </w:p>
    <w:p>
      <w:pPr>
        <w:pStyle w:val="Heading2"/>
      </w:pPr>
      <w:r>
        <w:t>8.1 Reference Architecture</w:t>
      </w:r>
    </w:p>
    <w:p>
      <w:r>
        <w:t>The implementation should follow the modular architecture below (illustrative):</w:t>
      </w:r>
    </w:p>
    <w:p>
      <w:r>
        <w:drawing>
          <wp:inline xmlns:a="http://schemas.openxmlformats.org/drawingml/2006/main" xmlns:pic="http://schemas.openxmlformats.org/drawingml/2006/picture">
            <wp:extent cx="5943600" cy="1667138"/>
            <wp:docPr id="1" name="Picture 1"/>
            <wp:cNvGraphicFramePr>
              <a:graphicFrameLocks noChangeAspect="1"/>
            </wp:cNvGraphicFramePr>
            <a:graphic>
              <a:graphicData uri="http://schemas.openxmlformats.org/drawingml/2006/picture">
                <pic:pic>
                  <pic:nvPicPr>
                    <pic:cNvPr id="0" name="gl009_architecture.png"/>
                    <pic:cNvPicPr/>
                  </pic:nvPicPr>
                  <pic:blipFill>
                    <a:blip r:embed="rId9"/>
                    <a:stretch>
                      <a:fillRect/>
                    </a:stretch>
                  </pic:blipFill>
                  <pic:spPr>
                    <a:xfrm>
                      <a:off x="0" y="0"/>
                      <a:ext cx="5943600" cy="1667138"/>
                    </a:xfrm>
                    <a:prstGeom prst="rect"/>
                  </pic:spPr>
                </pic:pic>
              </a:graphicData>
            </a:graphic>
          </wp:inline>
        </w:drawing>
      </w:r>
    </w:p>
    <w:p>
      <w:pPr>
        <w:pStyle w:val="Heading2"/>
      </w:pPr>
      <w:r>
        <w:t>8.2 Shared Calculation Library (gl-thermo-core)</w:t>
      </w:r>
    </w:p>
    <w:p>
      <w:r>
        <w:t>ThermalIQ depends on a shared calculation library that must be usable both as an in-process library and as a standalone service. Key engineering requirements:</w:t>
      </w:r>
    </w:p>
    <w:p>
      <w:pPr>
        <w:pStyle w:val="ListBullet"/>
      </w:pPr>
      <w:r>
        <w:t>Pure functions where possible: calculations should be referentially transparent (same inputs → same outputs).</w:t>
      </w:r>
    </w:p>
    <w:p>
      <w:pPr>
        <w:pStyle w:val="ListBullet"/>
      </w:pPr>
      <w:r>
        <w:t>Strict unit handling: all public APIs accept units or use typed quantities; internal canonical SI representation.</w:t>
      </w:r>
    </w:p>
    <w:p>
      <w:pPr>
        <w:pStyle w:val="ListBullet"/>
      </w:pPr>
      <w:r>
        <w:t>Versioned thermophysical datasets: dataset version ID always included in outputs.</w:t>
      </w:r>
    </w:p>
    <w:p>
      <w:pPr>
        <w:pStyle w:val="ListBullet"/>
      </w:pPr>
      <w:r>
        <w:t>Configurable reference environment: T0/P0 and reference states are explicit parameters (not hidden globals).</w:t>
      </w:r>
    </w:p>
    <w:p>
      <w:pPr>
        <w:pStyle w:val="ListBullet"/>
      </w:pPr>
      <w:r>
        <w:t>Numerical stability: handle edge cases (near phase boundaries, extreme viscosities) with clear errors rather than silent extrapolation.</w:t>
      </w:r>
    </w:p>
    <w:p>
      <w:pPr>
        <w:pStyle w:val="ListBullet"/>
      </w:pPr>
      <w:r>
        <w:t>Testability: every public function has unit tests and golden regression cases.</w:t>
      </w:r>
    </w:p>
    <w:p>
      <w:pPr>
        <w:pStyle w:val="Heading2"/>
      </w:pPr>
      <w:r>
        <w:t>8.3 Determinism and Zero-Hallucination Compliance</w:t>
      </w:r>
    </w:p>
    <w:p>
      <w:r>
        <w:t>Because GL-009 is a Calculator agent, numeric correctness and determinism are non-negotiable. The following controls are required:</w:t>
      </w:r>
    </w:p>
    <w:p>
      <w:pPr>
        <w:pStyle w:val="ListBullet"/>
      </w:pPr>
      <w:r>
        <w:t>All numeric values in outputs must originate from deterministic computation or from explicitly provided input values (never from a language model).</w:t>
      </w:r>
    </w:p>
    <w:p>
      <w:pPr>
        <w:pStyle w:val="ListBullet"/>
      </w:pPr>
      <w:r>
        <w:t>If an LLM is used for narrative explanation, it must receive numbers only from the computed results object and must be constrained to cite those values verbatim.</w:t>
      </w:r>
    </w:p>
    <w:p>
      <w:pPr>
        <w:pStyle w:val="ListBullet"/>
      </w:pPr>
      <w:r>
        <w:t>Set LLM randomness to deterministic mode (temperature = 0, top_p = 1) when generating any text that includes numbers.</w:t>
      </w:r>
    </w:p>
    <w:p>
      <w:pPr>
        <w:pStyle w:val="ListBullet"/>
      </w:pPr>
      <w:r>
        <w:t>Every run must produce an audit bundle: input hash, configuration, library version, property dataset version, timestamp, and optional RNG seed.</w:t>
      </w:r>
    </w:p>
    <w:p>
      <w:pPr>
        <w:pStyle w:val="ListBullet"/>
      </w:pPr>
      <w:r>
        <w:t>Hard fail on missing required signals unless an imputation policy is explicitly enabled and disclosed in the report.</w:t>
      </w:r>
    </w:p>
    <w:p>
      <w:pPr>
        <w:pStyle w:val="ListBullet"/>
      </w:pPr>
      <w:r>
        <w:t>Implement 'no silent defaults': any default assumptions (e.g., P0 = 101.325 kPa) must be displayed in the output report and stored in the audit log.</w:t>
      </w:r>
    </w:p>
    <w:p>
      <w:pPr>
        <w:pStyle w:val="Heading2"/>
      </w:pPr>
      <w:r>
        <w:t>8.4 API and Integration Requirements</w:t>
      </w:r>
    </w:p>
    <w:p>
      <w:r>
        <w:t>ThermalIQ must support both industrial data ingestion and modern API consumption.</w:t>
      </w:r>
    </w:p>
    <w:p>
      <w:r>
        <w:t>Required integration patterns:</w:t>
      </w:r>
    </w:p>
    <w:p>
      <w:pPr>
        <w:pStyle w:val="ListBullet"/>
      </w:pPr>
      <w:r>
        <w:t>OPC-UA: map tag names to canonical signal IDs; support quality bits and timestamp retrieval.</w:t>
      </w:r>
    </w:p>
    <w:p>
      <w:pPr>
        <w:pStyle w:val="ListBullet"/>
      </w:pPr>
      <w:r>
        <w:t>Process historians: PI/other historian via existing enterprise connector patterns; pull by tag list and time window.</w:t>
      </w:r>
    </w:p>
    <w:p>
      <w:pPr>
        <w:pStyle w:val="ListBullet"/>
      </w:pPr>
      <w:r>
        <w:t>GraphQL service: provide a stable schema for invoking calculations and fetching results; return strongly typed outputs.</w:t>
      </w:r>
    </w:p>
    <w:p>
      <w:r>
        <w:t>API design rules:</w:t>
      </w:r>
    </w:p>
    <w:p>
      <w:pPr>
        <w:pStyle w:val="ListBullet"/>
      </w:pPr>
      <w:r>
        <w:t>Inputs and outputs must be strongly typed (JSON schema / GraphQL types).</w:t>
      </w:r>
    </w:p>
    <w:p>
      <w:pPr>
        <w:pStyle w:val="ListBullet"/>
      </w:pPr>
      <w:r>
        <w:t>All requests must be idempotent with respect to a 'calculation_id' or deterministic hash.</w:t>
      </w:r>
    </w:p>
    <w:p>
      <w:pPr>
        <w:pStyle w:val="ListBullet"/>
      </w:pPr>
      <w:r>
        <w:t>Support both synchronous (single-shot) and batch (time-window) evaluation modes.</w:t>
      </w:r>
    </w:p>
    <w:p>
      <w:pPr>
        <w:pStyle w:val="ListBullet"/>
      </w:pPr>
      <w:r>
        <w:t>Return both human-readable summaries and machine-readable structured results.</w:t>
      </w:r>
    </w:p>
    <w:p>
      <w:pPr>
        <w:pStyle w:val="Heading2"/>
      </w:pPr>
      <w:r>
        <w:t>8.5 Observability, Security, and Governance</w:t>
      </w:r>
    </w:p>
    <w:p>
      <w:pPr>
        <w:pStyle w:val="ListBullet"/>
      </w:pPr>
      <w:r>
        <w:t>Observability: structured logs, metrics (latency, error rate, missing-signal rate), and traces per calculation.</w:t>
      </w:r>
    </w:p>
    <w:p>
      <w:pPr>
        <w:pStyle w:val="ListBullet"/>
      </w:pPr>
      <w:r>
        <w:t>Security: encryption in transit; RBAC; least privilege for historian/OPC credentials; secrets managed via standard platform tooling.</w:t>
      </w:r>
    </w:p>
    <w:p>
      <w:pPr>
        <w:pStyle w:val="ListBullet"/>
      </w:pPr>
      <w:r>
        <w:t>Data governance: classify input signals (operational vs sensitive); define retention for raw data vs aggregated results; support deletion workflows where required.</w:t>
      </w:r>
    </w:p>
    <w:p>
      <w:pPr>
        <w:pStyle w:val="ListBullet"/>
      </w:pPr>
      <w:r>
        <w:t>Model governance (if ML recommendation is used): dataset lineage, training version, evaluation reports, and drift monitoring.</w:t>
      </w:r>
    </w:p>
    <w:p>
      <w:r>
        <w:br w:type="page"/>
      </w:r>
    </w:p>
    <w:p>
      <w:pPr>
        <w:pStyle w:val="Heading1"/>
      </w:pPr>
      <w:r>
        <w:t>9. Explainability and Traceability</w:t>
      </w:r>
    </w:p>
    <w:p>
      <w:pPr>
        <w:pStyle w:val="Heading2"/>
      </w:pPr>
      <w:r>
        <w:t>9.1 What Must Be Explainable</w:t>
      </w:r>
    </w:p>
    <w:p>
      <w:pPr>
        <w:pStyle w:val="ListBullet"/>
      </w:pPr>
      <w:r>
        <w:t>Fluid recommendation ranking: why Fluid A is recommended over Fluid B for the provided conditions.</w:t>
      </w:r>
    </w:p>
    <w:p>
      <w:pPr>
        <w:pStyle w:val="ListBullet"/>
      </w:pPr>
      <w:r>
        <w:t>Key drivers of thermal efficiency and exergy destruction for the specific run (e.g., which losses dominate).</w:t>
      </w:r>
    </w:p>
    <w:p>
      <w:pPr>
        <w:pStyle w:val="ListBullet"/>
      </w:pPr>
      <w:r>
        <w:t>Uncertainty drivers: which sensors/inputs contribute most to output uncertainty.</w:t>
      </w:r>
    </w:p>
    <w:p>
      <w:pPr>
        <w:pStyle w:val="Heading2"/>
      </w:pPr>
      <w:r>
        <w:t>9.2 SHAP/LIME for Recommendation Models</w:t>
      </w:r>
    </w:p>
    <w:p>
      <w:r>
        <w:t>SHAP and/or LIME must be used to explain the recommendation model when the recommendation engine uses a learned model (e.g., gradient-boosted tree, random forest, or neural net surrogate). Requirements:</w:t>
      </w:r>
    </w:p>
    <w:p>
      <w:pPr>
        <w:pStyle w:val="ListBullet"/>
      </w:pPr>
      <w:r>
        <w:t>Provide per-recommendation feature attribution: top positive/negative contributors to the score.</w:t>
      </w:r>
    </w:p>
    <w:p>
      <w:pPr>
        <w:pStyle w:val="ListBullet"/>
      </w:pPr>
      <w:r>
        <w:t>Use stable feature engineering: avoid features that cannot be reconstructed during inference (training-serving skew).</w:t>
      </w:r>
    </w:p>
    <w:p>
      <w:pPr>
        <w:pStyle w:val="ListBullet"/>
      </w:pPr>
      <w:r>
        <w:t>Persist explainability artifacts (SHAP values / LIME local surrogate coefficients) alongside the recommendation outputs.</w:t>
      </w:r>
    </w:p>
    <w:p>
      <w:pPr>
        <w:pStyle w:val="ListBullet"/>
      </w:pPr>
      <w:r>
        <w:t>Expose explanations in both structured form (JSON) and a human-readable narrative.</w:t>
      </w:r>
    </w:p>
    <w:p>
      <w:pPr>
        <w:pStyle w:val="Heading2"/>
      </w:pPr>
      <w:r>
        <w:t>9.3 Sensitivity Analysis for Deterministic Calculations</w:t>
      </w:r>
    </w:p>
    <w:p>
      <w:r>
        <w:t>For deterministic energy/exergy calculations, explainability should be implemented as sensitivity analysis. Minimum outputs:</w:t>
      </w:r>
    </w:p>
    <w:p>
      <w:pPr>
        <w:pStyle w:val="ListBullet"/>
      </w:pPr>
      <w:r>
        <w:t>Normalized sensitivities for key outputs (η_thermal, X_dest) with respect to key inputs (T_supply, T_return, ṁ, Q_in, etc.).</w:t>
      </w:r>
    </w:p>
    <w:p>
      <w:pPr>
        <w:pStyle w:val="ListBullet"/>
      </w:pPr>
      <w:r>
        <w:t>Tornado-style ranking (top drivers) computed deterministically from partial derivatives or finite differences.</w:t>
      </w:r>
    </w:p>
    <w:p>
      <w:pPr>
        <w:pStyle w:val="ListBullet"/>
      </w:pPr>
      <w:r>
        <w:t>A decomposition of exergy destruction by component (heater, heat exchanger, distribution, pump).</w:t>
      </w:r>
    </w:p>
    <w:p>
      <w:pPr>
        <w:pStyle w:val="Heading2"/>
      </w:pPr>
      <w:r>
        <w:t>9.4 Explainability Report Template (Minimum Sections)</w:t>
      </w:r>
    </w:p>
    <w:p>
      <w:pPr>
        <w:pStyle w:val="ListBullet"/>
      </w:pPr>
      <w:r>
        <w:t>Run summary: calculation ID, time window, asset boundary, reference environment (T0/P0).</w:t>
      </w:r>
    </w:p>
    <w:p>
      <w:pPr>
        <w:pStyle w:val="ListBullet"/>
      </w:pPr>
      <w:r>
        <w:t>Energy balance: totals and residual; dominant losses.</w:t>
      </w:r>
    </w:p>
    <w:p>
      <w:pPr>
        <w:pStyle w:val="ListBullet"/>
      </w:pPr>
      <w:r>
        <w:t>Exergy balance: totals, exergy destruction breakdown, dominant irreversibilities.</w:t>
      </w:r>
    </w:p>
    <w:p>
      <w:pPr>
        <w:pStyle w:val="ListBullet"/>
      </w:pPr>
      <w:r>
        <w:t>Fluid recommendation: ranked list + constraints and trade-offs.</w:t>
      </w:r>
    </w:p>
    <w:p>
      <w:pPr>
        <w:pStyle w:val="ListBullet"/>
      </w:pPr>
      <w:r>
        <w:t>Explainability: SHAP/LIME attributions (if applicable) + sensitivity rankings.</w:t>
      </w:r>
    </w:p>
    <w:p>
      <w:pPr>
        <w:pStyle w:val="ListBullet"/>
      </w:pPr>
      <w:r>
        <w:t>Uncertainty: intervals for key outputs + top uncertainty contributors.</w:t>
      </w:r>
    </w:p>
    <w:p>
      <w:pPr>
        <w:pStyle w:val="ListBullet"/>
      </w:pPr>
      <w:r>
        <w:t>Assumptions and data gaps: explicit list of defaults, imputations, and missing signals.</w:t>
      </w:r>
    </w:p>
    <w:p>
      <w:r>
        <w:br w:type="page"/>
      </w:r>
    </w:p>
    <w:p>
      <w:pPr>
        <w:pStyle w:val="Heading1"/>
      </w:pPr>
      <w:r>
        <w:t>10. Fluid Recommendation Engine (25+ Heat Transfer Fluids)</w:t>
      </w:r>
    </w:p>
    <w:p>
      <w:pPr>
        <w:pStyle w:val="Heading2"/>
      </w:pPr>
      <w:r>
        <w:t>10.1 Recommendation Objective</w:t>
      </w:r>
    </w:p>
    <w:p>
      <w:r>
        <w:t>The recommendation engine proposes alternative heat transfer fluids that are feasible for the operating envelope and improve one or more targets such as thermal efficiency, exergy efficiency, pumping power, safety margin, or environmental profile.</w:t>
      </w:r>
    </w:p>
    <w:p>
      <w:pPr>
        <w:pStyle w:val="Heading2"/>
      </w:pPr>
      <w:r>
        <w:t>10.2 Feasibility Constraints (Hard Rules)</w:t>
      </w:r>
    </w:p>
    <w:p>
      <w:pPr>
        <w:pStyle w:val="ListBullet"/>
      </w:pPr>
      <w:r>
        <w:t>Temperature constraints: T_min_operating &lt; min(T) with safety margin; T_max_operating &gt; max(T) with safety margin; film temperature limits observed.</w:t>
      </w:r>
    </w:p>
    <w:p>
      <w:pPr>
        <w:pStyle w:val="ListBullet"/>
      </w:pPr>
      <w:r>
        <w:t>Phase constraints: vapor pressure at operating temperature must be below system pressure with margin; avoid two-phase operation unless explicitly supported.</w:t>
      </w:r>
    </w:p>
    <w:p>
      <w:pPr>
        <w:pStyle w:val="ListBullet"/>
      </w:pPr>
      <w:r>
        <w:t>Freezing/pour point: must be below minimum ambient/startup temperature with margin.</w:t>
      </w:r>
    </w:p>
    <w:p>
      <w:pPr>
        <w:pStyle w:val="ListBullet"/>
      </w:pPr>
      <w:r>
        <w:t>Compatibility constraints: materials compatibility and seal compatibility flags (if available) must be satisfied or flagged.</w:t>
      </w:r>
    </w:p>
    <w:p>
      <w:pPr>
        <w:pStyle w:val="ListBullet"/>
      </w:pPr>
      <w:r>
        <w:t>Safety constraints: flash point / fire point / toxicity categories must meet site policy; otherwise the fluid is excluded.</w:t>
      </w:r>
    </w:p>
    <w:p>
      <w:pPr>
        <w:pStyle w:val="Heading2"/>
      </w:pPr>
      <w:r>
        <w:t>10.3 Performance Scoring (Soft Optimization)</w:t>
      </w:r>
    </w:p>
    <w:p>
      <w:r>
        <w:t>After feasibility filtering, candidate fluids are scored using a transparent, configurable multi-criteria scoring function.</w:t>
      </w:r>
    </w:p>
    <w:p>
      <w:pPr>
        <w:pStyle w:val="CodeBlock"/>
      </w:pPr>
      <w:r>
        <w:t>Example weighted scoring (illustrative):</w:t>
      </w:r>
    </w:p>
    <w:p>
      <w:pPr>
        <w:pStyle w:val="CodeBlock"/>
      </w:pPr>
      <w:r>
        <w:t>Score = w1·Δη_thermal + w2·(−ΔPumpPower) + w3·(−RiskIndex) + w4·(−CostIndex) + w5·ΔHeatTransferIndex</w:t>
      </w:r>
    </w:p>
    <w:p>
      <w:pPr>
        <w:pStyle w:val="ListBullet"/>
      </w:pPr>
      <w:r>
        <w:t>Δη_thermal: expected change in thermal efficiency given cp, viscosity, and heat-transfer correlations under the same operating conditions.</w:t>
      </w:r>
    </w:p>
    <w:p>
      <w:pPr>
        <w:pStyle w:val="ListBullet"/>
      </w:pPr>
      <w:r>
        <w:t>ΔPumpPower: change in pumping power from viscosity/density impacts on ΔP and pump efficiency.</w:t>
      </w:r>
    </w:p>
    <w:p>
      <w:pPr>
        <w:pStyle w:val="ListBullet"/>
      </w:pPr>
      <w:r>
        <w:t>RiskIndex: derived from safety (flammability/toxicity) and operational stability margins.</w:t>
      </w:r>
    </w:p>
    <w:p>
      <w:pPr>
        <w:pStyle w:val="ListBullet"/>
      </w:pPr>
      <w:r>
        <w:t>CostIndex: optional if pricing data is provided; otherwise omitted.</w:t>
      </w:r>
    </w:p>
    <w:p>
      <w:pPr>
        <w:pStyle w:val="ListBullet"/>
      </w:pPr>
      <w:r>
        <w:t>HeatTransferIndex: proxy metric derived from k, μ, cp and standard correlations (e.g., influences on h and Nu).</w:t>
      </w:r>
    </w:p>
    <w:p>
      <w:pPr>
        <w:pStyle w:val="Heading2"/>
      </w:pPr>
      <w:r>
        <w:t>10.4 Explainability Requirements for Recommendations</w:t>
      </w:r>
    </w:p>
    <w:p>
      <w:pPr>
        <w:pStyle w:val="ListBullet"/>
      </w:pPr>
      <w:r>
        <w:t>For each recommended fluid: show which constraints it passed, and where its margins sit relative to limits.</w:t>
      </w:r>
    </w:p>
    <w:p>
      <w:pPr>
        <w:pStyle w:val="ListBullet"/>
      </w:pPr>
      <w:r>
        <w:t>Show key property differences at the operating temperature(s): cp, μ, ρ, k, vapor pressure, freezing point.</w:t>
      </w:r>
    </w:p>
    <w:p>
      <w:pPr>
        <w:pStyle w:val="ListBullet"/>
      </w:pPr>
      <w:r>
        <w:t>Provide SHAP/LIME attributions if a learned scoring model is used, otherwise provide deterministic contribution breakdown by criterion.</w:t>
      </w:r>
    </w:p>
    <w:p>
      <w:pPr>
        <w:pStyle w:val="Heading2"/>
      </w:pPr>
      <w:r>
        <w:t>10.5 Climate Intelligence Hooks</w:t>
      </w:r>
    </w:p>
    <w:p>
      <w:r>
        <w:t>The climate intelligence team should provide emissions factors and reporting mappings so that ThermalIQ can translate energy efficiency improvements into avoided emissions metrics. At minimum, define:</w:t>
      </w:r>
    </w:p>
    <w:p>
      <w:pPr>
        <w:pStyle w:val="ListBullet"/>
      </w:pPr>
      <w:r>
        <w:t>Electricity emissions factor (kgCO₂e/kWh) by site/grid and time basis (average vs marginal).</w:t>
      </w:r>
    </w:p>
    <w:p>
      <w:pPr>
        <w:pStyle w:val="ListBullet"/>
      </w:pPr>
      <w:r>
        <w:t>Fuel emissions factors (kgCO₂e per unit fuel) for each fuel type in the dataset.</w:t>
      </w:r>
    </w:p>
    <w:p>
      <w:pPr>
        <w:pStyle w:val="ListBullet"/>
      </w:pPr>
      <w:r>
        <w:t>Reporting boundaries (Scope 1 vs Scope 2) and how thermal energy savings map to ESG reporting.</w:t>
      </w:r>
    </w:p>
    <w:p>
      <w:r>
        <w:br w:type="page"/>
      </w:r>
    </w:p>
    <w:p>
      <w:pPr>
        <w:pStyle w:val="Heading1"/>
      </w:pPr>
      <w:r>
        <w:t>11. Sankey Diagram Generation Requirements</w:t>
      </w:r>
    </w:p>
    <w:p>
      <w:pPr>
        <w:pStyle w:val="Heading2"/>
      </w:pPr>
      <w:r>
        <w:t>11.1 Purpose and Rules</w:t>
      </w:r>
    </w:p>
    <w:p>
      <w:pPr>
        <w:pStyle w:val="ListBullet"/>
      </w:pPr>
      <w:r>
        <w:t>Energy Sankey: visualize energy in → useful heat + losses + storage/residual.</w:t>
      </w:r>
    </w:p>
    <w:p>
      <w:pPr>
        <w:pStyle w:val="ListBullet"/>
      </w:pPr>
      <w:r>
        <w:t>Exergy Sankey: visualize exergy in (fuel/electric + exergy of heat) → useful exergy + exergy destruction + exergy losses.</w:t>
      </w:r>
    </w:p>
    <w:p>
      <w:pPr>
        <w:pStyle w:val="ListBullet"/>
      </w:pPr>
      <w:r>
        <w:t>Balance requirement: Sankey flows must numerically balance within a configurable tolerance; otherwise show a 'residual' flow explicitly.</w:t>
      </w:r>
    </w:p>
    <w:p>
      <w:pPr>
        <w:pStyle w:val="ListBullet"/>
      </w:pPr>
      <w:r>
        <w:t>Deterministic rendering: given the same dataset, the diagram must render identically (stable node ordering and labeling).</w:t>
      </w:r>
    </w:p>
    <w:p>
      <w:pPr>
        <w:pStyle w:val="Heading2"/>
      </w:pPr>
      <w:r>
        <w:t>11.2 Sankey Data Contract (Node/Link Schema)</w:t>
      </w:r>
    </w:p>
    <w:p>
      <w:r>
        <w:t>Sankey datasets must be returned as machine-readable tables for downstream UI rendering. Suggested schema:</w:t>
      </w:r>
    </w:p>
    <w:p>
      <w:pPr>
        <w:pStyle w:val="CodeBlock"/>
      </w:pPr>
      <w:r>
        <w:t>{</w:t>
        <w:br/>
        <w:t xml:space="preserve">  "nodes": [</w:t>
        <w:br/>
        <w:t xml:space="preserve">    {"id": "energy_in", "label": "Energy In"},</w:t>
        <w:br/>
        <w:t xml:space="preserve">    {"id": "useful_heat", "label": "Useful Heat"},</w:t>
        <w:br/>
        <w:t xml:space="preserve">    {"id": "loss_stack", "label": "Stack Loss"},</w:t>
        <w:br/>
        <w:t xml:space="preserve">    {"id": "loss_radiation", "label": "Radiation/Convection Loss"},</w:t>
        <w:br/>
        <w:t xml:space="preserve">    {"id": "residual", "label": "Residual/Unaccounted"}</w:t>
        <w:br/>
        <w:t xml:space="preserve">  ],</w:t>
        <w:br/>
        <w:t xml:space="preserve">  "links": [</w:t>
        <w:br/>
        <w:t xml:space="preserve">    {"source": "energy_in", "target": "useful_heat", "value_kw": 720},</w:t>
        <w:br/>
        <w:t xml:space="preserve">    {"source": "energy_in", "target": "loss_stack", "value_kw": 180},</w:t>
        <w:br/>
        <w:t xml:space="preserve">    {"source": "energy_in", "target": "residual", "value_kw": 100}</w:t>
        <w:br/>
        <w:t xml:space="preserve">  ],</w:t>
        <w:br/>
        <w:t xml:space="preserve">  "tolerance_kw": 0.5</w:t>
        <w:br/>
        <w:t>}</w:t>
      </w:r>
    </w:p>
    <w:p>
      <w:pPr>
        <w:pStyle w:val="Heading2"/>
      </w:pPr>
      <w:r>
        <w:t>11.3 Example (Illustrative)</w:t>
      </w:r>
    </w:p>
    <w:p>
      <w:r>
        <w:drawing>
          <wp:inline xmlns:a="http://schemas.openxmlformats.org/drawingml/2006/main" xmlns:pic="http://schemas.openxmlformats.org/drawingml/2006/picture">
            <wp:extent cx="5303520" cy="3370425"/>
            <wp:docPr id="2" name="Picture 2"/>
            <wp:cNvGraphicFramePr>
              <a:graphicFrameLocks noChangeAspect="1"/>
            </wp:cNvGraphicFramePr>
            <a:graphic>
              <a:graphicData uri="http://schemas.openxmlformats.org/drawingml/2006/picture">
                <pic:pic>
                  <pic:nvPicPr>
                    <pic:cNvPr id="0" name="gl009_sankey_example.png"/>
                    <pic:cNvPicPr/>
                  </pic:nvPicPr>
                  <pic:blipFill>
                    <a:blip r:embed="rId10"/>
                    <a:stretch>
                      <a:fillRect/>
                    </a:stretch>
                  </pic:blipFill>
                  <pic:spPr>
                    <a:xfrm>
                      <a:off x="0" y="0"/>
                      <a:ext cx="5303520" cy="3370425"/>
                    </a:xfrm>
                    <a:prstGeom prst="rect"/>
                  </pic:spPr>
                </pic:pic>
              </a:graphicData>
            </a:graphic>
          </wp:inline>
        </w:drawing>
      </w:r>
    </w:p>
    <w:p>
      <w:r>
        <w:t>Note: values above are illustrative only; production diagrams must be generated from computed balances.</w:t>
      </w:r>
    </w:p>
    <w:p>
      <w:pPr>
        <w:pStyle w:val="Heading2"/>
      </w:pPr>
      <w:r>
        <w:t>11.4 Engineering Implementation Notes</w:t>
      </w:r>
    </w:p>
    <w:p>
      <w:pPr>
        <w:pStyle w:val="ListBullet"/>
      </w:pPr>
      <w:r>
        <w:t>Provide both diagram data (nodes/links) and a rendered image (SVG/PNG) when requested.</w:t>
      </w:r>
    </w:p>
    <w:p>
      <w:pPr>
        <w:pStyle w:val="ListBullet"/>
      </w:pPr>
      <w:r>
        <w:t>Ensure labels include units and basis (kW, MJ/h, etc.) and specify the averaging window.</w:t>
      </w:r>
    </w:p>
    <w:p>
      <w:pPr>
        <w:pStyle w:val="ListBullet"/>
      </w:pPr>
      <w:r>
        <w:t>For batch/time-window mode, provide a Sankey per period or an aggregate Sankey with percentile bands as separate outputs.</w:t>
      </w:r>
    </w:p>
    <w:p>
      <w:r>
        <w:br w:type="page"/>
      </w:r>
    </w:p>
    <w:p>
      <w:pPr>
        <w:pStyle w:val="Heading1"/>
      </w:pPr>
      <w:r>
        <w:t>12. Verification, Validation, and Acceptance Criteria</w:t>
      </w:r>
    </w:p>
    <w:p>
      <w:pPr>
        <w:pStyle w:val="Heading2"/>
      </w:pPr>
      <w:r>
        <w:t>12.1 Verification Strategy</w:t>
      </w:r>
    </w:p>
    <w:p>
      <w:pPr>
        <w:pStyle w:val="ListBullet"/>
      </w:pPr>
      <w:r>
        <w:t>Unit tests: each formula and helper function (units, interpolation, integration) has deterministic unit tests.</w:t>
      </w:r>
    </w:p>
    <w:p>
      <w:pPr>
        <w:pStyle w:val="ListBullet"/>
      </w:pPr>
      <w:r>
        <w:t>Golden regression tests: store canonical input datasets and expected outputs (hash + numeric values) per library version.</w:t>
      </w:r>
    </w:p>
    <w:p>
      <w:pPr>
        <w:pStyle w:val="ListBullet"/>
      </w:pPr>
      <w:r>
        <w:t>Property validation: compare computed properties against trusted reference tables within tolerance across the validity range.</w:t>
      </w:r>
    </w:p>
    <w:p>
      <w:pPr>
        <w:pStyle w:val="ListBullet"/>
      </w:pPr>
      <w:r>
        <w:t>Energy/exergy balance checks: residuals computed and reported; must fall within tolerance for 'pass' status.</w:t>
      </w:r>
    </w:p>
    <w:p>
      <w:pPr>
        <w:pStyle w:val="ListBullet"/>
      </w:pPr>
      <w:r>
        <w:t>Integration tests: OPC-UA tag mapping, historian pull, and GraphQL requests exercised in CI using mocks and at least one staging integration.</w:t>
      </w:r>
    </w:p>
    <w:p>
      <w:pPr>
        <w:pStyle w:val="Heading2"/>
      </w:pPr>
      <w:r>
        <w:t>12.2 Determinism Tests (Mandatory)</w:t>
      </w:r>
    </w:p>
    <w:p>
      <w:pPr>
        <w:pStyle w:val="ListBullet"/>
      </w:pPr>
      <w:r>
        <w:t>Same inputs (including timestamps, dataset versions, and configuration) must yield identical numeric outputs bit-for-bit where feasible (or within a defined floating-point tolerance).</w:t>
      </w:r>
    </w:p>
    <w:p>
      <w:pPr>
        <w:pStyle w:val="ListBullet"/>
      </w:pPr>
      <w:r>
        <w:t>Monte Carlo mode must be reproducible with a recorded RNG seed; repeating the run with the same seed yields identical distributions.</w:t>
      </w:r>
    </w:p>
    <w:p>
      <w:pPr>
        <w:pStyle w:val="ListBullet"/>
      </w:pPr>
      <w:r>
        <w:t>Sankey node/link ordering must be deterministic (stable sorting).</w:t>
      </w:r>
    </w:p>
    <w:p>
      <w:pPr>
        <w:pStyle w:val="Heading2"/>
      </w:pPr>
      <w:r>
        <w:t>12.3 Acceptance Criteria (P1 Release Gate)</w:t>
      </w:r>
    </w:p>
    <w:p>
      <w:pPr>
        <w:pStyle w:val="ListBullet"/>
      </w:pPr>
      <w:r>
        <w:t>All required input signals validated or explicitly flagged as missing with clear error codes.</w:t>
      </w:r>
    </w:p>
    <w:p>
      <w:pPr>
        <w:pStyle w:val="ListBullet"/>
      </w:pPr>
      <w:r>
        <w:t>Thermal efficiency computed and reconciles with energy balance within tolerance.</w:t>
      </w:r>
    </w:p>
    <w:p>
      <w:pPr>
        <w:pStyle w:val="ListBullet"/>
      </w:pPr>
      <w:r>
        <w:t>Exergy destruction computed and reconciles with exergy balance within tolerance.</w:t>
      </w:r>
    </w:p>
    <w:p>
      <w:pPr>
        <w:pStyle w:val="ListBullet"/>
      </w:pPr>
      <w:r>
        <w:t>Property tables generated for the chosen fluid at the operating conditions, including validity warnings when near limits.</w:t>
      </w:r>
    </w:p>
    <w:p>
      <w:pPr>
        <w:pStyle w:val="ListBullet"/>
      </w:pPr>
      <w:r>
        <w:t>Sankey datasets + rendered diagrams generated and balance (or show residual explicitly).</w:t>
      </w:r>
    </w:p>
    <w:p>
      <w:pPr>
        <w:pStyle w:val="ListBullet"/>
      </w:pPr>
      <w:r>
        <w:t>Fluid recommendation returns at least N candidates (configurable) when feasible; otherwise returns an explainable 'no feasible fluids' result.</w:t>
      </w:r>
    </w:p>
    <w:p>
      <w:pPr>
        <w:pStyle w:val="ListBullet"/>
      </w:pPr>
      <w:r>
        <w:t>Explainability report generated (SHAP/LIME for recommendation model or deterministic breakdown), including top drivers and constraints.</w:t>
      </w:r>
    </w:p>
    <w:p>
      <w:pPr>
        <w:pStyle w:val="ListBullet"/>
      </w:pPr>
      <w:r>
        <w:t>Uncertainty analysis returns intervals and top contributors when uncertainty inputs are provided.</w:t>
      </w:r>
    </w:p>
    <w:p>
      <w:pPr>
        <w:pStyle w:val="ListBullet"/>
      </w:pPr>
      <w:r>
        <w:t>Full audit bundle is persisted for every run: input hash, config, library version, property dataset version, and timestamps.</w:t>
      </w:r>
    </w:p>
    <w:p>
      <w:r>
        <w:br w:type="page"/>
      </w:r>
    </w:p>
    <w:p>
      <w:pPr>
        <w:pStyle w:val="Heading1"/>
      </w:pPr>
      <w:r>
        <w:t>13. Deployment and Operations</w:t>
      </w:r>
    </w:p>
    <w:p>
      <w:pPr>
        <w:pStyle w:val="Heading2"/>
      </w:pPr>
      <w:r>
        <w:t>13.1 Packaging and Runtime</w:t>
      </w:r>
    </w:p>
    <w:p>
      <w:pPr>
        <w:pStyle w:val="ListBullet"/>
      </w:pPr>
      <w:r>
        <w:t>Package the shared calculation library as a versioned artifact (e.g., PyPI package, internal artifact registry) and optionally as a microservice.</w:t>
      </w:r>
    </w:p>
    <w:p>
      <w:pPr>
        <w:pStyle w:val="ListBullet"/>
      </w:pPr>
      <w:r>
        <w:t>Containerize the service with pinned dependency versions to ensure reproducibility.</w:t>
      </w:r>
    </w:p>
    <w:p>
      <w:pPr>
        <w:pStyle w:val="ListBullet"/>
      </w:pPr>
      <w:r>
        <w:t>Use explicit configuration management (no environment-dependent defaults that change outputs).</w:t>
      </w:r>
    </w:p>
    <w:p>
      <w:pPr>
        <w:pStyle w:val="Heading2"/>
      </w:pPr>
      <w:r>
        <w:t>13.2 Performance Targets (Guidance)</w:t>
      </w:r>
    </w:p>
    <w:p>
      <w:pPr>
        <w:pStyle w:val="ListBullet"/>
      </w:pPr>
      <w:r>
        <w:t>Single snapshot calculation: sub-second to a few seconds depending on property evaluation and uncertainty mode.</w:t>
      </w:r>
    </w:p>
    <w:p>
      <w:pPr>
        <w:pStyle w:val="ListBullet"/>
      </w:pPr>
      <w:r>
        <w:t>Batch/time-window calculation: bounded by window length; support parallelization by time slice and by fluid candidate in recommendation mode.</w:t>
      </w:r>
    </w:p>
    <w:p>
      <w:pPr>
        <w:pStyle w:val="ListBullet"/>
      </w:pPr>
      <w:r>
        <w:t>Caching: cache property evaluations and interpolations by (fluid_id, T, P, version) to reduce repeated compute.</w:t>
      </w:r>
    </w:p>
    <w:p>
      <w:pPr>
        <w:pStyle w:val="Heading2"/>
      </w:pPr>
      <w:r>
        <w:t>13.3 Operational Monitoring</w:t>
      </w:r>
    </w:p>
    <w:p>
      <w:pPr>
        <w:pStyle w:val="ListBullet"/>
      </w:pPr>
      <w:r>
        <w:t>Monitor missing-signal rates and invalid-data rates per asset (often the root cause of low-quality analytics).</w:t>
      </w:r>
    </w:p>
    <w:p>
      <w:pPr>
        <w:pStyle w:val="ListBullet"/>
      </w:pPr>
      <w:r>
        <w:t>Monitor balance residuals: rising residuals may indicate sensor drift or unmodeled losses.</w:t>
      </w:r>
    </w:p>
    <w:p>
      <w:pPr>
        <w:pStyle w:val="ListBullet"/>
      </w:pPr>
      <w:r>
        <w:t>Track recommendation outcomes and 'no feasible fluids' frequency for dataset gaps.</w:t>
      </w:r>
    </w:p>
    <w:p>
      <w:pPr>
        <w:pStyle w:val="ListBullet"/>
      </w:pPr>
      <w:r>
        <w:t>Capture user feedback and override actions to improve future recommendation logic and dataset coverage.</w:t>
      </w:r>
    </w:p>
    <w:p>
      <w:r>
        <w:br w:type="page"/>
      </w:r>
    </w:p>
    <w:p>
      <w:pPr>
        <w:pStyle w:val="Heading1"/>
      </w:pPr>
      <w:r>
        <w:t>Appendix A. Proposed Input/Output Schemas (JSON)</w:t>
      </w:r>
    </w:p>
    <w:p>
      <w:pPr>
        <w:pStyle w:val="Heading2"/>
      </w:pPr>
      <w:r>
        <w:t>A.1 Calculation Request (Snapshot)</w:t>
      </w:r>
    </w:p>
    <w:p>
      <w:pPr>
        <w:pStyle w:val="CodeBlock"/>
      </w:pPr>
      <w:r>
        <w:t>{</w:t>
        <w:br/>
        <w:t xml:space="preserve">  "calculation_id": "optional-idempotency-key",</w:t>
        <w:br/>
        <w:t xml:space="preserve">  "asset": {</w:t>
        <w:br/>
        <w:t xml:space="preserve">    "site_id": "SITE-001",</w:t>
        <w:br/>
        <w:t xml:space="preserve">    "asset_id": "HTF-LOOP-01",</w:t>
        <w:br/>
        <w:t xml:space="preserve">    "boundary": "heater+loop+load"</w:t>
        <w:br/>
        <w:t xml:space="preserve">  },</w:t>
        <w:br/>
        <w:t xml:space="preserve">  "time_window": {</w:t>
        <w:br/>
        <w:t xml:space="preserve">    "start": "2025-12-18T10:00:00Z",</w:t>
        <w:br/>
        <w:t xml:space="preserve">    "end": "2025-12-18T10:15:00Z",</w:t>
        <w:br/>
        <w:t xml:space="preserve">    "aggregation": "average"</w:t>
        <w:br/>
        <w:t xml:space="preserve">  },</w:t>
        <w:br/>
        <w:t xml:space="preserve">  "reference_environment": {</w:t>
        <w:br/>
        <w:t xml:space="preserve">    "T0_degC": 25.0,</w:t>
        <w:br/>
        <w:t xml:space="preserve">    "P0_kPa": 101.325</w:t>
        <w:br/>
        <w:t xml:space="preserve">  },</w:t>
        <w:br/>
        <w:t xml:space="preserve">  "signals": {</w:t>
        <w:br/>
        <w:t xml:space="preserve">    "fuel_flow": {"value": 0.12, "units": "kg/s"},</w:t>
        <w:br/>
        <w:t xml:space="preserve">    "fuel_LHV": {"value": 42.7, "units": "MJ/kg"},</w:t>
        <w:br/>
        <w:t xml:space="preserve">    "electric_power_in": {"value": 15.0, "units": "kW"},</w:t>
        <w:br/>
        <w:t xml:space="preserve">    "T_supply": {"value": 180.0, "units": "degC"},</w:t>
        <w:br/>
        <w:t xml:space="preserve">    "T_return": {"value": 160.0, "units": "degC"},</w:t>
        <w:br/>
        <w:t xml:space="preserve">    "flow_rate": {"value": 8.0, "units": "kg/s"},</w:t>
        <w:br/>
        <w:t xml:space="preserve">    "ambient_temp": {"value": 25.0, "units": "degC"}</w:t>
        <w:br/>
        <w:t xml:space="preserve">  },</w:t>
        <w:br/>
        <w:t xml:space="preserve">  "equipment": {</w:t>
        <w:br/>
        <w:t xml:space="preserve">    "heater_rated_capacity_kw": 1200,</w:t>
        <w:br/>
        <w:t xml:space="preserve">    "pump_efficiency_pct": 72</w:t>
        <w:br/>
        <w:t xml:space="preserve">  },</w:t>
        <w:br/>
        <w:t xml:space="preserve">  "options": {</w:t>
        <w:br/>
        <w:t xml:space="preserve">    "mode": "steady_state",</w:t>
        <w:br/>
        <w:t xml:space="preserve">    "compute_uncertainty": true,</w:t>
        <w:br/>
        <w:t xml:space="preserve">    "recommend_fluids": true,</w:t>
        <w:br/>
        <w:t xml:space="preserve">    "render_sankey": true</w:t>
        <w:br/>
        <w:t xml:space="preserve">  }</w:t>
        <w:br/>
        <w:t>}</w:t>
      </w:r>
    </w:p>
    <w:p>
      <w:pPr>
        <w:pStyle w:val="Heading2"/>
      </w:pPr>
      <w:r>
        <w:t>A.2 Calculation Response (Snapshot)</w:t>
      </w:r>
    </w:p>
    <w:p>
      <w:pPr>
        <w:pStyle w:val="CodeBlock"/>
      </w:pPr>
      <w:r>
        <w:t>{</w:t>
        <w:br/>
        <w:t xml:space="preserve">  "calculation_id": "resolved-id",</w:t>
        <w:br/>
        <w:t xml:space="preserve">  "status": "ok",</w:t>
        <w:br/>
        <w:t xml:space="preserve">  "audit": {</w:t>
        <w:br/>
        <w:t xml:space="preserve">    "input_hash": "sha256:...",</w:t>
        <w:br/>
        <w:t xml:space="preserve">    "library_version": "gl-thermo-core@1.3.0",</w:t>
        <w:br/>
        <w:t xml:space="preserve">    "property_dataset_version": "htf-dataset@2026.01",</w:t>
        <w:br/>
        <w:t xml:space="preserve">    "timestamp_utc": "2025-12-18T10:16:02Z",</w:t>
        <w:br/>
        <w:t xml:space="preserve">    "rng_seed": 12345</w:t>
        <w:br/>
        <w:t xml:space="preserve">  },</w:t>
        <w:br/>
        <w:t xml:space="preserve">  "results": {</w:t>
        <w:br/>
        <w:t xml:space="preserve">    "thermal_efficiency_pct": 84.2,</w:t>
        <w:br/>
        <w:t xml:space="preserve">    "energy_balance_kw": {</w:t>
        <w:br/>
        <w:t xml:space="preserve">      "energy_in": 1000.0,</w:t>
        <w:br/>
        <w:t xml:space="preserve">      "useful_heat": 842.0,</w:t>
        <w:br/>
        <w:t xml:space="preserve">      "losses": {</w:t>
        <w:br/>
        <w:t xml:space="preserve">        "stack": 90.0,</w:t>
        <w:br/>
        <w:t xml:space="preserve">        "radiation_convection": 40.0,</w:t>
        <w:br/>
        <w:t xml:space="preserve">        "other": 28.0</w:t>
        <w:br/>
        <w:t xml:space="preserve">      },</w:t>
        <w:br/>
        <w:t xml:space="preserve">      "residual": 0.0</w:t>
        <w:br/>
        <w:t xml:space="preserve">    },</w:t>
        <w:br/>
        <w:t xml:space="preserve">    "exergy": {</w:t>
        <w:br/>
        <w:t xml:space="preserve">      "exergy_destruction_kw": 210.0,</w:t>
        <w:br/>
        <w:t xml:space="preserve">      "breakdown_kw": {</w:t>
        <w:br/>
        <w:t xml:space="preserve">        "heater": 120.0,</w:t>
        <w:br/>
        <w:t xml:space="preserve">        "heat_exchanger": 70.0,</w:t>
        <w:br/>
        <w:t xml:space="preserve">        "distribution": 20.0</w:t>
        <w:br/>
        <w:t xml:space="preserve">      }</w:t>
        <w:br/>
        <w:t xml:space="preserve">    },</w:t>
        <w:br/>
        <w:t xml:space="preserve">    "fluid_properties": {</w:t>
        <w:br/>
        <w:t xml:space="preserve">      "fluid": "synthetic_heat_transfer_oil_A",</w:t>
        <w:br/>
        <w:t xml:space="preserve">      "at_conditions": [</w:t>
        <w:br/>
        <w:t xml:space="preserve">        {"T_degC": 180, "rho_kg_m3": 800, "cp_kJ_kgK": 2.2, "mu_mPa_s": 2.5, "k_W_mK": 0.12}</w:t>
        <w:br/>
        <w:t xml:space="preserve">      ],</w:t>
        <w:br/>
        <w:t xml:space="preserve">      "validity": {"within_range": true, "warnings": []}</w:t>
        <w:br/>
        <w:t xml:space="preserve">    },</w:t>
        <w:br/>
        <w:t xml:space="preserve">    "sankey_energy": {"nodes": [], "links": []},</w:t>
        <w:br/>
        <w:t xml:space="preserve">    "fluid_recommendations": [</w:t>
        <w:br/>
        <w:t xml:space="preserve">      {"fluid": "candidate_fluid_1", "score": 0.82, "rationale": "…", "explainability": {"shap": []}}</w:t>
        <w:br/>
        <w:t xml:space="preserve">    ],</w:t>
        <w:br/>
        <w:t xml:space="preserve">    "uncertainty": {</w:t>
        <w:br/>
        <w:t xml:space="preserve">      "thermal_efficiency_pct": {"p05": 82.9, "p50": 84.2, "p95": 85.5},</w:t>
        <w:br/>
        <w:t xml:space="preserve">      "top_contributors": [{"signal": "fuel_flow", "contribution_pct": 35}]</w:t>
        <w:br/>
        <w:t xml:space="preserve">    }</w:t>
        <w:br/>
        <w:t xml:space="preserve">  }</w:t>
        <w:br/>
        <w:t>}</w:t>
      </w:r>
    </w:p>
    <w:p>
      <w:r>
        <w:br w:type="page"/>
      </w:r>
    </w:p>
    <w:p>
      <w:pPr>
        <w:pStyle w:val="Heading1"/>
      </w:pPr>
      <w:r>
        <w:t>Appendix B. Heat Transfer Fluid Coverage Requirements</w:t>
      </w:r>
    </w:p>
    <w:p>
      <w:r>
        <w:t>ThermalIQ must support 25+ heat transfer fluids. The table below is an example starter list; the final list is owned by Thermal Engineering and Data Engineering and must be backed by validated property sources and explicit validity ranges.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E2EFDA"/>
          </w:tcPr>
          <w:p>
            <w:pPr/>
            <w:r/>
            <w:r>
              <w:rPr>
                <w:b/>
              </w:rPr>
              <w:t>Fluid / Family</w:t>
            </w:r>
          </w:p>
        </w:tc>
        <w:tc>
          <w:tcPr>
            <w:tcW w:type="dxa" w:w="3120"/>
            <w:vAlign w:val="top"/>
            <w:shd w:fill="E2EFDA"/>
          </w:tcPr>
          <w:p>
            <w:pPr/>
            <w:r/>
            <w:r>
              <w:rPr>
                <w:b/>
              </w:rPr>
              <w:t>Category</w:t>
            </w:r>
          </w:p>
        </w:tc>
        <w:tc>
          <w:tcPr>
            <w:tcW w:type="dxa" w:w="3120"/>
            <w:vAlign w:val="top"/>
            <w:shd w:fill="E2EFDA"/>
          </w:tcPr>
          <w:p>
            <w:pPr/>
            <w:r/>
            <w:r>
              <w:rPr>
                <w:b/>
              </w:rPr>
              <w:t>Notes / Constraints</w:t>
            </w:r>
          </w:p>
        </w:tc>
      </w:tr>
      <w:tr>
        <w:tc>
          <w:tcPr>
            <w:tcW w:type="dxa" w:w="3120"/>
            <w:vAlign w:val="top"/>
          </w:tcPr>
          <w:p>
            <w:pPr/>
            <w:r>
              <w:rPr>
                <w:sz w:val="18"/>
              </w:rPr>
            </w:r>
            <w:r>
              <w:rPr>
                <w:b w:val="0"/>
                <w:sz w:val="18"/>
              </w:rPr>
              <w:t>Water (liquid)</w:t>
            </w:r>
          </w:p>
        </w:tc>
        <w:tc>
          <w:tcPr>
            <w:tcW w:type="dxa" w:w="3120"/>
            <w:vAlign w:val="top"/>
          </w:tcPr>
          <w:p>
            <w:pPr/>
            <w:r>
              <w:rPr>
                <w:sz w:val="18"/>
              </w:rPr>
            </w:r>
            <w:r>
              <w:rPr>
                <w:b w:val="0"/>
                <w:sz w:val="18"/>
              </w:rPr>
              <w:t>Aqueous</w:t>
            </w:r>
          </w:p>
        </w:tc>
        <w:tc>
          <w:tcPr>
            <w:tcW w:type="dxa" w:w="3120"/>
            <w:vAlign w:val="top"/>
          </w:tcPr>
          <w:p>
            <w:pPr/>
            <w:r>
              <w:rPr>
                <w:sz w:val="18"/>
              </w:rPr>
            </w:r>
            <w:r>
              <w:rPr>
                <w:b w:val="0"/>
                <w:sz w:val="18"/>
              </w:rPr>
              <w:t>General-purpose; high cp; freezing risk.</w:t>
            </w:r>
          </w:p>
        </w:tc>
      </w:tr>
      <w:tr>
        <w:tc>
          <w:tcPr>
            <w:tcW w:type="dxa" w:w="3120"/>
            <w:vAlign w:val="top"/>
          </w:tcPr>
          <w:p>
            <w:pPr/>
            <w:r>
              <w:rPr>
                <w:sz w:val="18"/>
              </w:rPr>
            </w:r>
            <w:r>
              <w:rPr>
                <w:b w:val="0"/>
                <w:sz w:val="18"/>
              </w:rPr>
              <w:t>Water/Steam (IF97)</w:t>
            </w:r>
          </w:p>
        </w:tc>
        <w:tc>
          <w:tcPr>
            <w:tcW w:type="dxa" w:w="3120"/>
            <w:vAlign w:val="top"/>
          </w:tcPr>
          <w:p>
            <w:pPr/>
            <w:r>
              <w:rPr>
                <w:sz w:val="18"/>
              </w:rPr>
            </w:r>
            <w:r>
              <w:rPr>
                <w:b w:val="0"/>
                <w:sz w:val="18"/>
              </w:rPr>
              <w:t>Water/Steam</w:t>
            </w:r>
          </w:p>
        </w:tc>
        <w:tc>
          <w:tcPr>
            <w:tcW w:type="dxa" w:w="3120"/>
            <w:vAlign w:val="top"/>
          </w:tcPr>
          <w:p>
            <w:pPr/>
            <w:r>
              <w:rPr>
                <w:sz w:val="18"/>
              </w:rPr>
            </w:r>
            <w:r>
              <w:rPr>
                <w:b w:val="0"/>
                <w:sz w:val="18"/>
              </w:rPr>
              <w:t>Use for boilers/steam systems; requires pressure-dependent properties.</w:t>
            </w:r>
          </w:p>
        </w:tc>
      </w:tr>
      <w:tr>
        <w:tc>
          <w:tcPr>
            <w:tcW w:type="dxa" w:w="3120"/>
            <w:vAlign w:val="top"/>
          </w:tcPr>
          <w:p>
            <w:pPr/>
            <w:r>
              <w:rPr>
                <w:sz w:val="18"/>
              </w:rPr>
            </w:r>
            <w:r>
              <w:rPr>
                <w:b w:val="0"/>
                <w:sz w:val="18"/>
              </w:rPr>
              <w:t>Ethylene glycol / water (30–60%)</w:t>
            </w:r>
          </w:p>
        </w:tc>
        <w:tc>
          <w:tcPr>
            <w:tcW w:type="dxa" w:w="3120"/>
            <w:vAlign w:val="top"/>
          </w:tcPr>
          <w:p>
            <w:pPr/>
            <w:r>
              <w:rPr>
                <w:sz w:val="18"/>
              </w:rPr>
            </w:r>
            <w:r>
              <w:rPr>
                <w:b w:val="0"/>
                <w:sz w:val="18"/>
              </w:rPr>
              <w:t>Aqueous glycols</w:t>
            </w:r>
          </w:p>
        </w:tc>
        <w:tc>
          <w:tcPr>
            <w:tcW w:type="dxa" w:w="3120"/>
            <w:vAlign w:val="top"/>
          </w:tcPr>
          <w:p>
            <w:pPr/>
            <w:r>
              <w:rPr>
                <w:sz w:val="18"/>
              </w:rPr>
            </w:r>
            <w:r>
              <w:rPr>
                <w:b w:val="0"/>
                <w:sz w:val="18"/>
              </w:rPr>
              <w:t>Freeze protection; higher viscosity.</w:t>
            </w:r>
          </w:p>
        </w:tc>
      </w:tr>
      <w:tr>
        <w:tc>
          <w:tcPr>
            <w:tcW w:type="dxa" w:w="3120"/>
            <w:vAlign w:val="top"/>
          </w:tcPr>
          <w:p>
            <w:pPr/>
            <w:r>
              <w:rPr>
                <w:sz w:val="18"/>
              </w:rPr>
            </w:r>
            <w:r>
              <w:rPr>
                <w:b w:val="0"/>
                <w:sz w:val="18"/>
              </w:rPr>
              <w:t>Propylene glycol / water (30–60%)</w:t>
            </w:r>
          </w:p>
        </w:tc>
        <w:tc>
          <w:tcPr>
            <w:tcW w:type="dxa" w:w="3120"/>
            <w:vAlign w:val="top"/>
          </w:tcPr>
          <w:p>
            <w:pPr/>
            <w:r>
              <w:rPr>
                <w:sz w:val="18"/>
              </w:rPr>
            </w:r>
            <w:r>
              <w:rPr>
                <w:b w:val="0"/>
                <w:sz w:val="18"/>
              </w:rPr>
              <w:t>Aqueous glycols</w:t>
            </w:r>
          </w:p>
        </w:tc>
        <w:tc>
          <w:tcPr>
            <w:tcW w:type="dxa" w:w="3120"/>
            <w:vAlign w:val="top"/>
          </w:tcPr>
          <w:p>
            <w:pPr/>
            <w:r>
              <w:rPr>
                <w:sz w:val="18"/>
              </w:rPr>
            </w:r>
            <w:r>
              <w:rPr>
                <w:b w:val="0"/>
                <w:sz w:val="18"/>
              </w:rPr>
              <w:t>Lower toxicity; higher viscosity.</w:t>
            </w:r>
          </w:p>
        </w:tc>
      </w:tr>
      <w:tr>
        <w:tc>
          <w:tcPr>
            <w:tcW w:type="dxa" w:w="3120"/>
            <w:vAlign w:val="top"/>
          </w:tcPr>
          <w:p>
            <w:pPr/>
            <w:r>
              <w:rPr>
                <w:sz w:val="18"/>
              </w:rPr>
            </w:r>
            <w:r>
              <w:rPr>
                <w:b w:val="0"/>
                <w:sz w:val="18"/>
              </w:rPr>
              <w:t>Brine (NaCl/CaCl2 solutions)</w:t>
            </w:r>
          </w:p>
        </w:tc>
        <w:tc>
          <w:tcPr>
            <w:tcW w:type="dxa" w:w="3120"/>
            <w:vAlign w:val="top"/>
          </w:tcPr>
          <w:p>
            <w:pPr/>
            <w:r>
              <w:rPr>
                <w:sz w:val="18"/>
              </w:rPr>
            </w:r>
            <w:r>
              <w:rPr>
                <w:b w:val="0"/>
                <w:sz w:val="18"/>
              </w:rPr>
              <w:t>Aqueous salts</w:t>
            </w:r>
          </w:p>
        </w:tc>
        <w:tc>
          <w:tcPr>
            <w:tcW w:type="dxa" w:w="3120"/>
            <w:vAlign w:val="top"/>
          </w:tcPr>
          <w:p>
            <w:pPr/>
            <w:r>
              <w:rPr>
                <w:sz w:val="18"/>
              </w:rPr>
            </w:r>
            <w:r>
              <w:rPr>
                <w:b w:val="0"/>
                <w:sz w:val="18"/>
              </w:rPr>
              <w:t>Freeze protection; corrosion considerations.</w:t>
            </w:r>
          </w:p>
        </w:tc>
      </w:tr>
      <w:tr>
        <w:tc>
          <w:tcPr>
            <w:tcW w:type="dxa" w:w="3120"/>
            <w:vAlign w:val="top"/>
          </w:tcPr>
          <w:p>
            <w:pPr/>
            <w:r>
              <w:rPr>
                <w:sz w:val="18"/>
              </w:rPr>
            </w:r>
            <w:r>
              <w:rPr>
                <w:b w:val="0"/>
                <w:sz w:val="18"/>
              </w:rPr>
              <w:t>Mineral thermal oil (low-temp)</w:t>
            </w:r>
          </w:p>
        </w:tc>
        <w:tc>
          <w:tcPr>
            <w:tcW w:type="dxa" w:w="3120"/>
            <w:vAlign w:val="top"/>
          </w:tcPr>
          <w:p>
            <w:pPr/>
            <w:r>
              <w:rPr>
                <w:sz w:val="18"/>
              </w:rPr>
            </w:r>
            <w:r>
              <w:rPr>
                <w:b w:val="0"/>
                <w:sz w:val="18"/>
              </w:rPr>
              <w:t>Thermal oil</w:t>
            </w:r>
          </w:p>
        </w:tc>
        <w:tc>
          <w:tcPr>
            <w:tcW w:type="dxa" w:w="3120"/>
            <w:vAlign w:val="top"/>
          </w:tcPr>
          <w:p>
            <w:pPr/>
            <w:r>
              <w:rPr>
                <w:sz w:val="18"/>
              </w:rPr>
            </w:r>
            <w:r>
              <w:rPr>
                <w:b w:val="0"/>
                <w:sz w:val="18"/>
              </w:rPr>
              <w:t>Moderate temperature loops; vendor-specific.</w:t>
            </w:r>
          </w:p>
        </w:tc>
      </w:tr>
      <w:tr>
        <w:tc>
          <w:tcPr>
            <w:tcW w:type="dxa" w:w="3120"/>
            <w:vAlign w:val="top"/>
          </w:tcPr>
          <w:p>
            <w:pPr/>
            <w:r>
              <w:rPr>
                <w:sz w:val="18"/>
              </w:rPr>
            </w:r>
            <w:r>
              <w:rPr>
                <w:b w:val="0"/>
                <w:sz w:val="18"/>
              </w:rPr>
              <w:t>Mineral thermal oil (mid-temp)</w:t>
            </w:r>
          </w:p>
        </w:tc>
        <w:tc>
          <w:tcPr>
            <w:tcW w:type="dxa" w:w="3120"/>
            <w:vAlign w:val="top"/>
          </w:tcPr>
          <w:p>
            <w:pPr/>
            <w:r>
              <w:rPr>
                <w:sz w:val="18"/>
              </w:rPr>
            </w:r>
            <w:r>
              <w:rPr>
                <w:b w:val="0"/>
                <w:sz w:val="18"/>
              </w:rPr>
              <w:t>Thermal oil</w:t>
            </w:r>
          </w:p>
        </w:tc>
        <w:tc>
          <w:tcPr>
            <w:tcW w:type="dxa" w:w="3120"/>
            <w:vAlign w:val="top"/>
          </w:tcPr>
          <w:p>
            <w:pPr/>
            <w:r>
              <w:rPr>
                <w:sz w:val="18"/>
              </w:rPr>
            </w:r>
            <w:r>
              <w:rPr>
                <w:b w:val="0"/>
                <w:sz w:val="18"/>
              </w:rPr>
              <w:t>Higher stability range; vendor-specific.</w:t>
            </w:r>
          </w:p>
        </w:tc>
      </w:tr>
      <w:tr>
        <w:tc>
          <w:tcPr>
            <w:tcW w:type="dxa" w:w="3120"/>
            <w:vAlign w:val="top"/>
          </w:tcPr>
          <w:p>
            <w:pPr/>
            <w:r>
              <w:rPr>
                <w:sz w:val="18"/>
              </w:rPr>
            </w:r>
            <w:r>
              <w:rPr>
                <w:b w:val="0"/>
                <w:sz w:val="18"/>
              </w:rPr>
              <w:t>Synthetic aromatic (biphenyl/diphenyl oxide)</w:t>
            </w:r>
          </w:p>
        </w:tc>
        <w:tc>
          <w:tcPr>
            <w:tcW w:type="dxa" w:w="3120"/>
            <w:vAlign w:val="top"/>
          </w:tcPr>
          <w:p>
            <w:pPr/>
            <w:r>
              <w:rPr>
                <w:sz w:val="18"/>
              </w:rPr>
            </w:r>
            <w:r>
              <w:rPr>
                <w:b w:val="0"/>
                <w:sz w:val="18"/>
              </w:rPr>
              <w:t>Synthetic</w:t>
            </w:r>
          </w:p>
        </w:tc>
        <w:tc>
          <w:tcPr>
            <w:tcW w:type="dxa" w:w="3120"/>
            <w:vAlign w:val="top"/>
          </w:tcPr>
          <w:p>
            <w:pPr/>
            <w:r>
              <w:rPr>
                <w:sz w:val="18"/>
              </w:rPr>
            </w:r>
            <w:r>
              <w:rPr>
                <w:b w:val="0"/>
                <w:sz w:val="18"/>
              </w:rPr>
              <w:t>High-temp; vapor-phase possible; requires careful limits.</w:t>
            </w:r>
          </w:p>
        </w:tc>
      </w:tr>
      <w:tr>
        <w:tc>
          <w:tcPr>
            <w:tcW w:type="dxa" w:w="3120"/>
            <w:vAlign w:val="top"/>
          </w:tcPr>
          <w:p>
            <w:pPr/>
            <w:r>
              <w:rPr>
                <w:sz w:val="18"/>
              </w:rPr>
            </w:r>
            <w:r>
              <w:rPr>
                <w:b w:val="0"/>
                <w:sz w:val="18"/>
              </w:rPr>
              <w:t>Synthetic hydrocarbon (PAO)</w:t>
            </w:r>
          </w:p>
        </w:tc>
        <w:tc>
          <w:tcPr>
            <w:tcW w:type="dxa" w:w="3120"/>
            <w:vAlign w:val="top"/>
          </w:tcPr>
          <w:p>
            <w:pPr/>
            <w:r>
              <w:rPr>
                <w:sz w:val="18"/>
              </w:rPr>
            </w:r>
            <w:r>
              <w:rPr>
                <w:b w:val="0"/>
                <w:sz w:val="18"/>
              </w:rPr>
              <w:t>Synthetic</w:t>
            </w:r>
          </w:p>
        </w:tc>
        <w:tc>
          <w:tcPr>
            <w:tcW w:type="dxa" w:w="3120"/>
            <w:vAlign w:val="top"/>
          </w:tcPr>
          <w:p>
            <w:pPr/>
            <w:r>
              <w:rPr>
                <w:sz w:val="18"/>
              </w:rPr>
            </w:r>
            <w:r>
              <w:rPr>
                <w:b w:val="0"/>
                <w:sz w:val="18"/>
              </w:rPr>
              <w:t>Good low-temp viscosity; stability varies.</w:t>
            </w:r>
          </w:p>
        </w:tc>
      </w:tr>
      <w:tr>
        <w:tc>
          <w:tcPr>
            <w:tcW w:type="dxa" w:w="3120"/>
            <w:vAlign w:val="top"/>
          </w:tcPr>
          <w:p>
            <w:pPr/>
            <w:r>
              <w:rPr>
                <w:sz w:val="18"/>
              </w:rPr>
            </w:r>
            <w:r>
              <w:rPr>
                <w:b w:val="0"/>
                <w:sz w:val="18"/>
              </w:rPr>
              <w:t>Alkylated aromatic</w:t>
            </w:r>
          </w:p>
        </w:tc>
        <w:tc>
          <w:tcPr>
            <w:tcW w:type="dxa" w:w="3120"/>
            <w:vAlign w:val="top"/>
          </w:tcPr>
          <w:p>
            <w:pPr/>
            <w:r>
              <w:rPr>
                <w:sz w:val="18"/>
              </w:rPr>
            </w:r>
            <w:r>
              <w:rPr>
                <w:b w:val="0"/>
                <w:sz w:val="18"/>
              </w:rPr>
              <w:t>Synthetic</w:t>
            </w:r>
          </w:p>
        </w:tc>
        <w:tc>
          <w:tcPr>
            <w:tcW w:type="dxa" w:w="3120"/>
            <w:vAlign w:val="top"/>
          </w:tcPr>
          <w:p>
            <w:pPr/>
            <w:r>
              <w:rPr>
                <w:sz w:val="18"/>
              </w:rPr>
            </w:r>
            <w:r>
              <w:rPr>
                <w:b w:val="0"/>
                <w:sz w:val="18"/>
              </w:rPr>
              <w:t>High-temp stability; common in industrial HTF.</w:t>
            </w:r>
          </w:p>
        </w:tc>
      </w:tr>
      <w:tr>
        <w:tc>
          <w:tcPr>
            <w:tcW w:type="dxa" w:w="3120"/>
            <w:vAlign w:val="top"/>
          </w:tcPr>
          <w:p>
            <w:pPr/>
            <w:r>
              <w:rPr>
                <w:sz w:val="18"/>
              </w:rPr>
            </w:r>
            <w:r>
              <w:rPr>
                <w:b w:val="0"/>
                <w:sz w:val="18"/>
              </w:rPr>
              <w:t>Silicone oil (dimethyl)</w:t>
            </w:r>
          </w:p>
        </w:tc>
        <w:tc>
          <w:tcPr>
            <w:tcW w:type="dxa" w:w="3120"/>
            <w:vAlign w:val="top"/>
          </w:tcPr>
          <w:p>
            <w:pPr/>
            <w:r>
              <w:rPr>
                <w:sz w:val="18"/>
              </w:rPr>
            </w:r>
            <w:r>
              <w:rPr>
                <w:b w:val="0"/>
                <w:sz w:val="18"/>
              </w:rPr>
              <w:t>Silicone</w:t>
            </w:r>
          </w:p>
        </w:tc>
        <w:tc>
          <w:tcPr>
            <w:tcW w:type="dxa" w:w="3120"/>
            <w:vAlign w:val="top"/>
          </w:tcPr>
          <w:p>
            <w:pPr/>
            <w:r>
              <w:rPr>
                <w:sz w:val="18"/>
              </w:rPr>
            </w:r>
            <w:r>
              <w:rPr>
                <w:b w:val="0"/>
                <w:sz w:val="18"/>
              </w:rPr>
              <w:t>Wide temperature range; cost considerations.</w:t>
            </w:r>
          </w:p>
        </w:tc>
      </w:tr>
      <w:tr>
        <w:tc>
          <w:tcPr>
            <w:tcW w:type="dxa" w:w="3120"/>
            <w:vAlign w:val="top"/>
          </w:tcPr>
          <w:p>
            <w:pPr/>
            <w:r>
              <w:rPr>
                <w:sz w:val="18"/>
              </w:rPr>
            </w:r>
            <w:r>
              <w:rPr>
                <w:b w:val="0"/>
                <w:sz w:val="18"/>
              </w:rPr>
              <w:t>Silicone oil (phenyl)</w:t>
            </w:r>
          </w:p>
        </w:tc>
        <w:tc>
          <w:tcPr>
            <w:tcW w:type="dxa" w:w="3120"/>
            <w:vAlign w:val="top"/>
          </w:tcPr>
          <w:p>
            <w:pPr/>
            <w:r>
              <w:rPr>
                <w:sz w:val="18"/>
              </w:rPr>
            </w:r>
            <w:r>
              <w:rPr>
                <w:b w:val="0"/>
                <w:sz w:val="18"/>
              </w:rPr>
              <w:t>Silicone</w:t>
            </w:r>
          </w:p>
        </w:tc>
        <w:tc>
          <w:tcPr>
            <w:tcW w:type="dxa" w:w="3120"/>
            <w:vAlign w:val="top"/>
          </w:tcPr>
          <w:p>
            <w:pPr/>
            <w:r>
              <w:rPr>
                <w:sz w:val="18"/>
              </w:rPr>
            </w:r>
            <w:r>
              <w:rPr>
                <w:b w:val="0"/>
                <w:sz w:val="18"/>
              </w:rPr>
              <w:t>Higher temp capability; cost considerations.</w:t>
            </w:r>
          </w:p>
        </w:tc>
      </w:tr>
      <w:tr>
        <w:tc>
          <w:tcPr>
            <w:tcW w:type="dxa" w:w="3120"/>
            <w:vAlign w:val="top"/>
          </w:tcPr>
          <w:p>
            <w:pPr/>
            <w:r>
              <w:rPr>
                <w:sz w:val="18"/>
              </w:rPr>
            </w:r>
            <w:r>
              <w:rPr>
                <w:b w:val="0"/>
                <w:sz w:val="18"/>
              </w:rPr>
              <w:t>Ester-based HTF</w:t>
            </w:r>
          </w:p>
        </w:tc>
        <w:tc>
          <w:tcPr>
            <w:tcW w:type="dxa" w:w="3120"/>
            <w:vAlign w:val="top"/>
          </w:tcPr>
          <w:p>
            <w:pPr/>
            <w:r>
              <w:rPr>
                <w:sz w:val="18"/>
              </w:rPr>
            </w:r>
            <w:r>
              <w:rPr>
                <w:b w:val="0"/>
                <w:sz w:val="18"/>
              </w:rPr>
              <w:t>Synthetic ester</w:t>
            </w:r>
          </w:p>
        </w:tc>
        <w:tc>
          <w:tcPr>
            <w:tcW w:type="dxa" w:w="3120"/>
            <w:vAlign w:val="top"/>
          </w:tcPr>
          <w:p>
            <w:pPr/>
            <w:r>
              <w:rPr>
                <w:sz w:val="18"/>
              </w:rPr>
            </w:r>
            <w:r>
              <w:rPr>
                <w:b w:val="0"/>
                <w:sz w:val="18"/>
              </w:rPr>
              <w:t>Biodegradability options; hydrolysis risk.</w:t>
            </w:r>
          </w:p>
        </w:tc>
      </w:tr>
      <w:tr>
        <w:tc>
          <w:tcPr>
            <w:tcW w:type="dxa" w:w="3120"/>
            <w:vAlign w:val="top"/>
          </w:tcPr>
          <w:p>
            <w:pPr/>
            <w:r>
              <w:rPr>
                <w:sz w:val="18"/>
              </w:rPr>
            </w:r>
            <w:r>
              <w:rPr>
                <w:b w:val="0"/>
                <w:sz w:val="18"/>
              </w:rPr>
              <w:t>Glycol ether</w:t>
            </w:r>
          </w:p>
        </w:tc>
        <w:tc>
          <w:tcPr>
            <w:tcW w:type="dxa" w:w="3120"/>
            <w:vAlign w:val="top"/>
          </w:tcPr>
          <w:p>
            <w:pPr/>
            <w:r>
              <w:rPr>
                <w:sz w:val="18"/>
              </w:rPr>
            </w:r>
            <w:r>
              <w:rPr>
                <w:b w:val="0"/>
                <w:sz w:val="18"/>
              </w:rPr>
              <w:t>Organic</w:t>
            </w:r>
          </w:p>
        </w:tc>
        <w:tc>
          <w:tcPr>
            <w:tcW w:type="dxa" w:w="3120"/>
            <w:vAlign w:val="top"/>
          </w:tcPr>
          <w:p>
            <w:pPr/>
            <w:r>
              <w:rPr>
                <w:sz w:val="18"/>
              </w:rPr>
            </w:r>
            <w:r>
              <w:rPr>
                <w:b w:val="0"/>
                <w:sz w:val="18"/>
              </w:rPr>
              <w:t>Specialty applications; safety review needed.</w:t>
            </w:r>
          </w:p>
        </w:tc>
      </w:tr>
      <w:tr>
        <w:tc>
          <w:tcPr>
            <w:tcW w:type="dxa" w:w="3120"/>
            <w:vAlign w:val="top"/>
          </w:tcPr>
          <w:p>
            <w:pPr/>
            <w:r>
              <w:rPr>
                <w:sz w:val="18"/>
              </w:rPr>
            </w:r>
            <w:r>
              <w:rPr>
                <w:b w:val="0"/>
                <w:sz w:val="18"/>
              </w:rPr>
              <w:t>Methanol</w:t>
            </w:r>
          </w:p>
        </w:tc>
        <w:tc>
          <w:tcPr>
            <w:tcW w:type="dxa" w:w="3120"/>
            <w:vAlign w:val="top"/>
          </w:tcPr>
          <w:p>
            <w:pPr/>
            <w:r>
              <w:rPr>
                <w:sz w:val="18"/>
              </w:rPr>
            </w:r>
            <w:r>
              <w:rPr>
                <w:b w:val="0"/>
                <w:sz w:val="18"/>
              </w:rPr>
              <w:t>Alcohol</w:t>
            </w:r>
          </w:p>
        </w:tc>
        <w:tc>
          <w:tcPr>
            <w:tcW w:type="dxa" w:w="3120"/>
            <w:vAlign w:val="top"/>
          </w:tcPr>
          <w:p>
            <w:pPr/>
            <w:r>
              <w:rPr>
                <w:sz w:val="18"/>
              </w:rPr>
            </w:r>
            <w:r>
              <w:rPr>
                <w:b w:val="0"/>
                <w:sz w:val="18"/>
              </w:rPr>
              <w:t>Low-temp; flammability risks.</w:t>
            </w:r>
          </w:p>
        </w:tc>
      </w:tr>
      <w:tr>
        <w:tc>
          <w:tcPr>
            <w:tcW w:type="dxa" w:w="3120"/>
            <w:vAlign w:val="top"/>
          </w:tcPr>
          <w:p>
            <w:pPr/>
            <w:r>
              <w:rPr>
                <w:sz w:val="18"/>
              </w:rPr>
            </w:r>
            <w:r>
              <w:rPr>
                <w:b w:val="0"/>
                <w:sz w:val="18"/>
              </w:rPr>
              <w:t>Ethanol</w:t>
            </w:r>
          </w:p>
        </w:tc>
        <w:tc>
          <w:tcPr>
            <w:tcW w:type="dxa" w:w="3120"/>
            <w:vAlign w:val="top"/>
          </w:tcPr>
          <w:p>
            <w:pPr/>
            <w:r>
              <w:rPr>
                <w:sz w:val="18"/>
              </w:rPr>
            </w:r>
            <w:r>
              <w:rPr>
                <w:b w:val="0"/>
                <w:sz w:val="18"/>
              </w:rPr>
              <w:t>Alcohol</w:t>
            </w:r>
          </w:p>
        </w:tc>
        <w:tc>
          <w:tcPr>
            <w:tcW w:type="dxa" w:w="3120"/>
            <w:vAlign w:val="top"/>
          </w:tcPr>
          <w:p>
            <w:pPr/>
            <w:r>
              <w:rPr>
                <w:sz w:val="18"/>
              </w:rPr>
            </w:r>
            <w:r>
              <w:rPr>
                <w:b w:val="0"/>
                <w:sz w:val="18"/>
              </w:rPr>
              <w:t>Low-temp; flammability risks.</w:t>
            </w:r>
          </w:p>
        </w:tc>
      </w:tr>
      <w:tr>
        <w:tc>
          <w:tcPr>
            <w:tcW w:type="dxa" w:w="3120"/>
            <w:vAlign w:val="top"/>
          </w:tcPr>
          <w:p>
            <w:pPr/>
            <w:r>
              <w:rPr>
                <w:sz w:val="18"/>
              </w:rPr>
            </w:r>
            <w:r>
              <w:rPr>
                <w:b w:val="0"/>
                <w:sz w:val="18"/>
              </w:rPr>
              <w:t>Isopropanol</w:t>
            </w:r>
          </w:p>
        </w:tc>
        <w:tc>
          <w:tcPr>
            <w:tcW w:type="dxa" w:w="3120"/>
            <w:vAlign w:val="top"/>
          </w:tcPr>
          <w:p>
            <w:pPr/>
            <w:r>
              <w:rPr>
                <w:sz w:val="18"/>
              </w:rPr>
            </w:r>
            <w:r>
              <w:rPr>
                <w:b w:val="0"/>
                <w:sz w:val="18"/>
              </w:rPr>
              <w:t>Alcohol</w:t>
            </w:r>
          </w:p>
        </w:tc>
        <w:tc>
          <w:tcPr>
            <w:tcW w:type="dxa" w:w="3120"/>
            <w:vAlign w:val="top"/>
          </w:tcPr>
          <w:p>
            <w:pPr/>
            <w:r>
              <w:rPr>
                <w:sz w:val="18"/>
              </w:rPr>
            </w:r>
            <w:r>
              <w:rPr>
                <w:b w:val="0"/>
                <w:sz w:val="18"/>
              </w:rPr>
              <w:t>Low-temp; flammability risks.</w:t>
            </w:r>
          </w:p>
        </w:tc>
      </w:tr>
      <w:tr>
        <w:tc>
          <w:tcPr>
            <w:tcW w:type="dxa" w:w="3120"/>
            <w:vAlign w:val="top"/>
          </w:tcPr>
          <w:p>
            <w:pPr/>
            <w:r>
              <w:rPr>
                <w:sz w:val="18"/>
              </w:rPr>
            </w:r>
            <w:r>
              <w:rPr>
                <w:b w:val="0"/>
                <w:sz w:val="18"/>
              </w:rPr>
              <w:t>Ammonia (as refrigerant)</w:t>
            </w:r>
          </w:p>
        </w:tc>
        <w:tc>
          <w:tcPr>
            <w:tcW w:type="dxa" w:w="3120"/>
            <w:vAlign w:val="top"/>
          </w:tcPr>
          <w:p>
            <w:pPr/>
            <w:r>
              <w:rPr>
                <w:sz w:val="18"/>
              </w:rPr>
            </w:r>
            <w:r>
              <w:rPr>
                <w:b w:val="0"/>
                <w:sz w:val="18"/>
              </w:rPr>
              <w:t>Refrigerant</w:t>
            </w:r>
          </w:p>
        </w:tc>
        <w:tc>
          <w:tcPr>
            <w:tcW w:type="dxa" w:w="3120"/>
            <w:vAlign w:val="top"/>
          </w:tcPr>
          <w:p>
            <w:pPr/>
            <w:r>
              <w:rPr>
                <w:sz w:val="18"/>
              </w:rPr>
            </w:r>
            <w:r>
              <w:rPr>
                <w:b w:val="0"/>
                <w:sz w:val="18"/>
              </w:rPr>
              <w:t>If refrigeration integration needed; safety constraints.</w:t>
            </w:r>
          </w:p>
        </w:tc>
      </w:tr>
      <w:tr>
        <w:tc>
          <w:tcPr>
            <w:tcW w:type="dxa" w:w="3120"/>
            <w:vAlign w:val="top"/>
          </w:tcPr>
          <w:p>
            <w:pPr/>
            <w:r>
              <w:rPr>
                <w:sz w:val="18"/>
              </w:rPr>
            </w:r>
            <w:r>
              <w:rPr>
                <w:b w:val="0"/>
                <w:sz w:val="18"/>
              </w:rPr>
              <w:t>R134a (legacy)</w:t>
            </w:r>
          </w:p>
        </w:tc>
        <w:tc>
          <w:tcPr>
            <w:tcW w:type="dxa" w:w="3120"/>
            <w:vAlign w:val="top"/>
          </w:tcPr>
          <w:p>
            <w:pPr/>
            <w:r>
              <w:rPr>
                <w:sz w:val="18"/>
              </w:rPr>
            </w:r>
            <w:r>
              <w:rPr>
                <w:b w:val="0"/>
                <w:sz w:val="18"/>
              </w:rPr>
              <w:t>Refrigerant</w:t>
            </w:r>
          </w:p>
        </w:tc>
        <w:tc>
          <w:tcPr>
            <w:tcW w:type="dxa" w:w="3120"/>
            <w:vAlign w:val="top"/>
          </w:tcPr>
          <w:p>
            <w:pPr/>
            <w:r>
              <w:rPr>
                <w:sz w:val="18"/>
              </w:rPr>
            </w:r>
            <w:r>
              <w:rPr>
                <w:b w:val="0"/>
                <w:sz w:val="18"/>
              </w:rPr>
              <w:t>Only if policy allows; environmental constraints.</w:t>
            </w:r>
          </w:p>
        </w:tc>
      </w:tr>
      <w:tr>
        <w:tc>
          <w:tcPr>
            <w:tcW w:type="dxa" w:w="3120"/>
            <w:vAlign w:val="top"/>
          </w:tcPr>
          <w:p>
            <w:pPr/>
            <w:r>
              <w:rPr>
                <w:sz w:val="18"/>
              </w:rPr>
            </w:r>
            <w:r>
              <w:rPr>
                <w:b w:val="0"/>
                <w:sz w:val="18"/>
              </w:rPr>
              <w:t>R1234yf</w:t>
            </w:r>
          </w:p>
        </w:tc>
        <w:tc>
          <w:tcPr>
            <w:tcW w:type="dxa" w:w="3120"/>
            <w:vAlign w:val="top"/>
          </w:tcPr>
          <w:p>
            <w:pPr/>
            <w:r>
              <w:rPr>
                <w:sz w:val="18"/>
              </w:rPr>
            </w:r>
            <w:r>
              <w:rPr>
                <w:b w:val="0"/>
                <w:sz w:val="18"/>
              </w:rPr>
              <w:t>Refrigerant</w:t>
            </w:r>
          </w:p>
        </w:tc>
        <w:tc>
          <w:tcPr>
            <w:tcW w:type="dxa" w:w="3120"/>
            <w:vAlign w:val="top"/>
          </w:tcPr>
          <w:p>
            <w:pPr/>
            <w:r>
              <w:rPr>
                <w:sz w:val="18"/>
              </w:rPr>
            </w:r>
            <w:r>
              <w:rPr>
                <w:b w:val="0"/>
                <w:sz w:val="18"/>
              </w:rPr>
              <w:t>Lower GWP; if refrigeration integration needed.</w:t>
            </w:r>
          </w:p>
        </w:tc>
      </w:tr>
      <w:tr>
        <w:tc>
          <w:tcPr>
            <w:tcW w:type="dxa" w:w="3120"/>
            <w:vAlign w:val="top"/>
          </w:tcPr>
          <w:p>
            <w:pPr/>
            <w:r>
              <w:rPr>
                <w:sz w:val="18"/>
              </w:rPr>
            </w:r>
            <w:r>
              <w:rPr>
                <w:b w:val="0"/>
                <w:sz w:val="18"/>
              </w:rPr>
              <w:t>CO₂ (R744)</w:t>
            </w:r>
          </w:p>
        </w:tc>
        <w:tc>
          <w:tcPr>
            <w:tcW w:type="dxa" w:w="3120"/>
            <w:vAlign w:val="top"/>
          </w:tcPr>
          <w:p>
            <w:pPr/>
            <w:r>
              <w:rPr>
                <w:sz w:val="18"/>
              </w:rPr>
            </w:r>
            <w:r>
              <w:rPr>
                <w:b w:val="0"/>
                <w:sz w:val="18"/>
              </w:rPr>
              <w:t>Refrigerant</w:t>
            </w:r>
          </w:p>
        </w:tc>
        <w:tc>
          <w:tcPr>
            <w:tcW w:type="dxa" w:w="3120"/>
            <w:vAlign w:val="top"/>
          </w:tcPr>
          <w:p>
            <w:pPr/>
            <w:r>
              <w:rPr>
                <w:sz w:val="18"/>
              </w:rPr>
            </w:r>
            <w:r>
              <w:rPr>
                <w:b w:val="0"/>
                <w:sz w:val="18"/>
              </w:rPr>
              <w:t>High pressure; specialized.</w:t>
            </w:r>
          </w:p>
        </w:tc>
      </w:tr>
      <w:tr>
        <w:tc>
          <w:tcPr>
            <w:tcW w:type="dxa" w:w="3120"/>
            <w:vAlign w:val="top"/>
          </w:tcPr>
          <w:p>
            <w:pPr/>
            <w:r>
              <w:rPr>
                <w:sz w:val="18"/>
              </w:rPr>
            </w:r>
            <w:r>
              <w:rPr>
                <w:b w:val="0"/>
                <w:sz w:val="18"/>
              </w:rPr>
              <w:t>Air</w:t>
            </w:r>
          </w:p>
        </w:tc>
        <w:tc>
          <w:tcPr>
            <w:tcW w:type="dxa" w:w="3120"/>
            <w:vAlign w:val="top"/>
          </w:tcPr>
          <w:p>
            <w:pPr/>
            <w:r>
              <w:rPr>
                <w:sz w:val="18"/>
              </w:rPr>
            </w:r>
            <w:r>
              <w:rPr>
                <w:b w:val="0"/>
                <w:sz w:val="18"/>
              </w:rPr>
              <w:t>Gas</w:t>
            </w:r>
          </w:p>
        </w:tc>
        <w:tc>
          <w:tcPr>
            <w:tcW w:type="dxa" w:w="3120"/>
            <w:vAlign w:val="top"/>
          </w:tcPr>
          <w:p>
            <w:pPr/>
            <w:r>
              <w:rPr>
                <w:sz w:val="18"/>
              </w:rPr>
            </w:r>
            <w:r>
              <w:rPr>
                <w:b w:val="0"/>
                <w:sz w:val="18"/>
              </w:rPr>
              <w:t>Hot air systems; low cp; convection constraints.</w:t>
            </w:r>
          </w:p>
        </w:tc>
      </w:tr>
      <w:tr>
        <w:tc>
          <w:tcPr>
            <w:tcW w:type="dxa" w:w="3120"/>
            <w:vAlign w:val="top"/>
          </w:tcPr>
          <w:p>
            <w:pPr/>
            <w:r>
              <w:rPr>
                <w:sz w:val="18"/>
              </w:rPr>
            </w:r>
            <w:r>
              <w:rPr>
                <w:b w:val="0"/>
                <w:sz w:val="18"/>
              </w:rPr>
              <w:t>Nitrogen</w:t>
            </w:r>
          </w:p>
        </w:tc>
        <w:tc>
          <w:tcPr>
            <w:tcW w:type="dxa" w:w="3120"/>
            <w:vAlign w:val="top"/>
          </w:tcPr>
          <w:p>
            <w:pPr/>
            <w:r>
              <w:rPr>
                <w:sz w:val="18"/>
              </w:rPr>
            </w:r>
            <w:r>
              <w:rPr>
                <w:b w:val="0"/>
                <w:sz w:val="18"/>
              </w:rPr>
              <w:t>Gas</w:t>
            </w:r>
          </w:p>
        </w:tc>
        <w:tc>
          <w:tcPr>
            <w:tcW w:type="dxa" w:w="3120"/>
            <w:vAlign w:val="top"/>
          </w:tcPr>
          <w:p>
            <w:pPr/>
            <w:r>
              <w:rPr>
                <w:sz w:val="18"/>
              </w:rPr>
            </w:r>
            <w:r>
              <w:rPr>
                <w:b w:val="0"/>
                <w:sz w:val="18"/>
              </w:rPr>
              <w:t>Inert hot gas loops.</w:t>
            </w:r>
          </w:p>
        </w:tc>
      </w:tr>
      <w:tr>
        <w:tc>
          <w:tcPr>
            <w:tcW w:type="dxa" w:w="3120"/>
            <w:vAlign w:val="top"/>
          </w:tcPr>
          <w:p>
            <w:pPr/>
            <w:r>
              <w:rPr>
                <w:sz w:val="18"/>
              </w:rPr>
            </w:r>
            <w:r>
              <w:rPr>
                <w:b w:val="0"/>
                <w:sz w:val="18"/>
              </w:rPr>
              <w:t>Molten salt (nitrate/nitrite)</w:t>
            </w:r>
          </w:p>
        </w:tc>
        <w:tc>
          <w:tcPr>
            <w:tcW w:type="dxa" w:w="3120"/>
            <w:vAlign w:val="top"/>
          </w:tcPr>
          <w:p>
            <w:pPr/>
            <w:r>
              <w:rPr>
                <w:sz w:val="18"/>
              </w:rPr>
            </w:r>
            <w:r>
              <w:rPr>
                <w:b w:val="0"/>
                <w:sz w:val="18"/>
              </w:rPr>
              <w:t>Molten salt</w:t>
            </w:r>
          </w:p>
        </w:tc>
        <w:tc>
          <w:tcPr>
            <w:tcW w:type="dxa" w:w="3120"/>
            <w:vAlign w:val="top"/>
          </w:tcPr>
          <w:p>
            <w:pPr/>
            <w:r>
              <w:rPr>
                <w:sz w:val="18"/>
              </w:rPr>
            </w:r>
            <w:r>
              <w:rPr>
                <w:b w:val="0"/>
                <w:sz w:val="18"/>
              </w:rPr>
              <w:t>Very high temp; freeze risk; corrosion.</w:t>
            </w:r>
          </w:p>
        </w:tc>
      </w:tr>
      <w:tr>
        <w:tc>
          <w:tcPr>
            <w:tcW w:type="dxa" w:w="3120"/>
            <w:vAlign w:val="top"/>
          </w:tcPr>
          <w:p>
            <w:pPr/>
            <w:r>
              <w:rPr>
                <w:sz w:val="18"/>
              </w:rPr>
            </w:r>
            <w:r>
              <w:rPr>
                <w:b w:val="0"/>
                <w:sz w:val="18"/>
              </w:rPr>
              <w:t>Liquid sodium (specialized)</w:t>
            </w:r>
          </w:p>
        </w:tc>
        <w:tc>
          <w:tcPr>
            <w:tcW w:type="dxa" w:w="3120"/>
            <w:vAlign w:val="top"/>
          </w:tcPr>
          <w:p>
            <w:pPr/>
            <w:r>
              <w:rPr>
                <w:sz w:val="18"/>
              </w:rPr>
            </w:r>
            <w:r>
              <w:rPr>
                <w:b w:val="0"/>
                <w:sz w:val="18"/>
              </w:rPr>
              <w:t>Liquid metal</w:t>
            </w:r>
          </w:p>
        </w:tc>
        <w:tc>
          <w:tcPr>
            <w:tcW w:type="dxa" w:w="3120"/>
            <w:vAlign w:val="top"/>
          </w:tcPr>
          <w:p>
            <w:pPr/>
            <w:r>
              <w:rPr>
                <w:sz w:val="18"/>
              </w:rPr>
            </w:r>
            <w:r>
              <w:rPr>
                <w:b w:val="0"/>
                <w:sz w:val="18"/>
              </w:rPr>
              <w:t>Very high heat transfer; extreme safety constraints.</w:t>
            </w:r>
          </w:p>
        </w:tc>
      </w:tr>
      <w:tr>
        <w:tc>
          <w:tcPr>
            <w:tcW w:type="dxa" w:w="3120"/>
            <w:vAlign w:val="top"/>
          </w:tcPr>
          <w:p>
            <w:pPr/>
            <w:r>
              <w:rPr>
                <w:sz w:val="18"/>
              </w:rPr>
            </w:r>
            <w:r>
              <w:rPr>
                <w:b w:val="0"/>
                <w:sz w:val="18"/>
              </w:rPr>
              <w:t>Thermal paste/PCM (if modeled)</w:t>
            </w:r>
          </w:p>
        </w:tc>
        <w:tc>
          <w:tcPr>
            <w:tcW w:type="dxa" w:w="3120"/>
            <w:vAlign w:val="top"/>
          </w:tcPr>
          <w:p>
            <w:pPr/>
            <w:r>
              <w:rPr>
                <w:sz w:val="18"/>
              </w:rPr>
            </w:r>
            <w:r>
              <w:rPr>
                <w:b w:val="0"/>
                <w:sz w:val="18"/>
              </w:rPr>
              <w:t>PCM</w:t>
            </w:r>
          </w:p>
        </w:tc>
        <w:tc>
          <w:tcPr>
            <w:tcW w:type="dxa" w:w="3120"/>
            <w:vAlign w:val="top"/>
          </w:tcPr>
          <w:p>
            <w:pPr/>
            <w:r>
              <w:rPr>
                <w:sz w:val="18"/>
              </w:rPr>
            </w:r>
            <w:r>
              <w:rPr>
                <w:b w:val="0"/>
                <w:sz w:val="18"/>
              </w:rPr>
              <w:t>If storage is included; separate model class.</w:t>
            </w:r>
          </w:p>
        </w:tc>
      </w:tr>
      <w:tr>
        <w:tc>
          <w:tcPr>
            <w:tcW w:type="dxa" w:w="3120"/>
            <w:vAlign w:val="top"/>
          </w:tcPr>
          <w:p>
            <w:pPr/>
            <w:r>
              <w:rPr>
                <w:sz w:val="18"/>
              </w:rPr>
            </w:r>
            <w:r>
              <w:rPr>
                <w:b w:val="0"/>
                <w:sz w:val="18"/>
              </w:rPr>
              <w:t>Hydrogen (gas)</w:t>
            </w:r>
          </w:p>
        </w:tc>
        <w:tc>
          <w:tcPr>
            <w:tcW w:type="dxa" w:w="3120"/>
            <w:vAlign w:val="top"/>
          </w:tcPr>
          <w:p>
            <w:pPr/>
            <w:r>
              <w:rPr>
                <w:sz w:val="18"/>
              </w:rPr>
            </w:r>
            <w:r>
              <w:rPr>
                <w:b w:val="0"/>
                <w:sz w:val="18"/>
              </w:rPr>
              <w:t>Gas</w:t>
            </w:r>
          </w:p>
        </w:tc>
        <w:tc>
          <w:tcPr>
            <w:tcW w:type="dxa" w:w="3120"/>
            <w:vAlign w:val="top"/>
          </w:tcPr>
          <w:p>
            <w:pPr/>
            <w:r>
              <w:rPr>
                <w:sz w:val="18"/>
              </w:rPr>
            </w:r>
            <w:r>
              <w:rPr>
                <w:b w:val="0"/>
                <w:sz w:val="18"/>
              </w:rPr>
              <w:t>Specialized; safety constraints.</w:t>
            </w:r>
          </w:p>
        </w:tc>
      </w:tr>
      <w:tr>
        <w:tc>
          <w:tcPr>
            <w:tcW w:type="dxa" w:w="3120"/>
            <w:vAlign w:val="top"/>
          </w:tcPr>
          <w:p>
            <w:pPr/>
            <w:r>
              <w:rPr>
                <w:sz w:val="18"/>
              </w:rPr>
            </w:r>
            <w:r>
              <w:rPr>
                <w:b w:val="0"/>
                <w:sz w:val="18"/>
              </w:rPr>
              <w:t>Helium (gas)</w:t>
            </w:r>
          </w:p>
        </w:tc>
        <w:tc>
          <w:tcPr>
            <w:tcW w:type="dxa" w:w="3120"/>
            <w:vAlign w:val="top"/>
          </w:tcPr>
          <w:p>
            <w:pPr/>
            <w:r>
              <w:rPr>
                <w:sz w:val="18"/>
              </w:rPr>
            </w:r>
            <w:r>
              <w:rPr>
                <w:b w:val="0"/>
                <w:sz w:val="18"/>
              </w:rPr>
              <w:t>Gas</w:t>
            </w:r>
          </w:p>
        </w:tc>
        <w:tc>
          <w:tcPr>
            <w:tcW w:type="dxa" w:w="3120"/>
            <w:vAlign w:val="top"/>
          </w:tcPr>
          <w:p>
            <w:pPr/>
            <w:r>
              <w:rPr>
                <w:sz w:val="18"/>
              </w:rPr>
            </w:r>
            <w:r>
              <w:rPr>
                <w:b w:val="0"/>
                <w:sz w:val="18"/>
              </w:rPr>
              <w:t>Specialized high-temp gas cooling.</w:t>
            </w:r>
          </w:p>
        </w:tc>
      </w:tr>
      <w:tr>
        <w:tc>
          <w:tcPr>
            <w:tcW w:type="dxa" w:w="3120"/>
            <w:vAlign w:val="top"/>
          </w:tcPr>
          <w:p>
            <w:pPr/>
            <w:r>
              <w:rPr>
                <w:sz w:val="18"/>
              </w:rPr>
            </w:r>
            <w:r>
              <w:rPr>
                <w:b w:val="0"/>
                <w:sz w:val="18"/>
              </w:rPr>
              <w:t>Engine coolant (generic)</w:t>
            </w:r>
          </w:p>
        </w:tc>
        <w:tc>
          <w:tcPr>
            <w:tcW w:type="dxa" w:w="3120"/>
            <w:vAlign w:val="top"/>
          </w:tcPr>
          <w:p>
            <w:pPr/>
            <w:r>
              <w:rPr>
                <w:sz w:val="18"/>
              </w:rPr>
            </w:r>
            <w:r>
              <w:rPr>
                <w:b w:val="0"/>
                <w:sz w:val="18"/>
              </w:rPr>
              <w:t>Mixture</w:t>
            </w:r>
          </w:p>
        </w:tc>
        <w:tc>
          <w:tcPr>
            <w:tcW w:type="dxa" w:w="3120"/>
            <w:vAlign w:val="top"/>
          </w:tcPr>
          <w:p>
            <w:pPr/>
            <w:r>
              <w:rPr>
                <w:sz w:val="18"/>
              </w:rPr>
            </w:r>
            <w:r>
              <w:rPr>
                <w:b w:val="0"/>
                <w:sz w:val="18"/>
              </w:rPr>
              <w:t>Automotive/industrial packaged systems.</w:t>
            </w:r>
          </w:p>
        </w:tc>
      </w:tr>
      <w:tr>
        <w:tc>
          <w:tcPr>
            <w:tcW w:type="dxa" w:w="3120"/>
            <w:vAlign w:val="top"/>
          </w:tcPr>
          <w:p>
            <w:pPr/>
            <w:r>
              <w:rPr>
                <w:sz w:val="18"/>
              </w:rPr>
            </w:r>
            <w:r>
              <w:rPr>
                <w:b w:val="0"/>
                <w:sz w:val="18"/>
              </w:rPr>
              <w:t>Deionized water</w:t>
            </w:r>
          </w:p>
        </w:tc>
        <w:tc>
          <w:tcPr>
            <w:tcW w:type="dxa" w:w="3120"/>
            <w:vAlign w:val="top"/>
          </w:tcPr>
          <w:p>
            <w:pPr/>
            <w:r>
              <w:rPr>
                <w:sz w:val="18"/>
              </w:rPr>
            </w:r>
            <w:r>
              <w:rPr>
                <w:b w:val="0"/>
                <w:sz w:val="18"/>
              </w:rPr>
              <w:t>Aqueous</w:t>
            </w:r>
          </w:p>
        </w:tc>
        <w:tc>
          <w:tcPr>
            <w:tcW w:type="dxa" w:w="3120"/>
            <w:vAlign w:val="top"/>
          </w:tcPr>
          <w:p>
            <w:pPr/>
            <w:r>
              <w:rPr>
                <w:sz w:val="18"/>
              </w:rPr>
            </w:r>
            <w:r>
              <w:rPr>
                <w:b w:val="0"/>
                <w:sz w:val="18"/>
              </w:rPr>
              <w:t>Electrical systems; conductivity constraints.</w:t>
            </w:r>
          </w:p>
        </w:tc>
      </w:tr>
    </w:tbl>
    <w:p/>
    <w:p>
      <w:r>
        <w:t>Dataset requirement per fluid: provide ρ, c_p, μ, k, h, s (or consistent proxy), vapor pressure/boiling constraints, freezing/pour point, validity ranges, safety flags, and a citation/source reference in the dataset metadata.</w:t>
      </w:r>
    </w:p>
    <w:p>
      <w:r>
        <w:br w:type="page"/>
      </w:r>
    </w:p>
    <w:p>
      <w:pPr>
        <w:pStyle w:val="Heading1"/>
      </w:pPr>
      <w:r>
        <w:t>Appendix C. Glossary</w:t>
      </w:r>
    </w:p>
    <w:tbl>
      <w:tblPr>
        <w:tblStyle w:val="TableGrid"/>
        <w:tblW w:type="auto" w:w="0"/>
        <w:jc w:val="center"/>
        <w:tblLook w:firstColumn="1" w:firstRow="1" w:lastColumn="0" w:lastRow="0" w:noHBand="0" w:noVBand="1" w:val="04A0"/>
      </w:tblPr>
      <w:tblGrid>
        <w:gridCol w:w="4680"/>
        <w:gridCol w:w="4680"/>
      </w:tblGrid>
      <w:tr>
        <w:tc>
          <w:tcPr>
            <w:tcW w:type="dxa" w:w="4680"/>
            <w:vAlign w:val="top"/>
            <w:shd w:fill="D9E1F2"/>
          </w:tcPr>
          <w:p>
            <w:pPr/>
            <w:r/>
            <w:r>
              <w:rPr>
                <w:b/>
              </w:rPr>
              <w:t>Term</w:t>
            </w:r>
          </w:p>
        </w:tc>
        <w:tc>
          <w:tcPr>
            <w:tcW w:type="dxa" w:w="4680"/>
            <w:vAlign w:val="top"/>
            <w:shd w:fill="D9E1F2"/>
          </w:tcPr>
          <w:p>
            <w:pPr/>
            <w:r/>
            <w:r>
              <w:rPr>
                <w:b/>
              </w:rPr>
              <w:t>Definition</w:t>
            </w:r>
          </w:p>
        </w:tc>
      </w:tr>
      <w:tr>
        <w:tc>
          <w:tcPr>
            <w:tcW w:type="dxa" w:w="4680"/>
            <w:vAlign w:val="top"/>
          </w:tcPr>
          <w:p>
            <w:pPr/>
            <w:r/>
            <w:r>
              <w:rPr>
                <w:b/>
              </w:rPr>
              <w:t>Exergy</w:t>
            </w:r>
          </w:p>
        </w:tc>
        <w:tc>
          <w:tcPr>
            <w:tcW w:type="dxa" w:w="4680"/>
            <w:vAlign w:val="top"/>
          </w:tcPr>
          <w:p>
            <w:pPr/>
            <w:r/>
            <w:r>
              <w:rPr>
                <w:b w:val="0"/>
              </w:rPr>
              <w:t>Maximum useful work obtainable as a system comes to equilibrium with a reference environment (T0, P0).</w:t>
            </w:r>
          </w:p>
        </w:tc>
      </w:tr>
      <w:tr>
        <w:tc>
          <w:tcPr>
            <w:tcW w:type="dxa" w:w="4680"/>
            <w:vAlign w:val="top"/>
          </w:tcPr>
          <w:p>
            <w:pPr/>
            <w:r/>
            <w:r>
              <w:rPr>
                <w:b/>
              </w:rPr>
              <w:t>Exergy destruction</w:t>
            </w:r>
          </w:p>
        </w:tc>
        <w:tc>
          <w:tcPr>
            <w:tcW w:type="dxa" w:w="4680"/>
            <w:vAlign w:val="top"/>
          </w:tcPr>
          <w:p>
            <w:pPr/>
            <w:r/>
            <w:r>
              <w:rPr>
                <w:b w:val="0"/>
              </w:rPr>
              <w:t>Exergy lost due to irreversibility; equals T0·S_gen.</w:t>
            </w:r>
          </w:p>
        </w:tc>
      </w:tr>
      <w:tr>
        <w:tc>
          <w:tcPr>
            <w:tcW w:type="dxa" w:w="4680"/>
            <w:vAlign w:val="top"/>
          </w:tcPr>
          <w:p>
            <w:pPr/>
            <w:r/>
            <w:r>
              <w:rPr>
                <w:b/>
              </w:rPr>
              <w:t>Thermal efficiency</w:t>
            </w:r>
          </w:p>
        </w:tc>
        <w:tc>
          <w:tcPr>
            <w:tcW w:type="dxa" w:w="4680"/>
            <w:vAlign w:val="top"/>
          </w:tcPr>
          <w:p>
            <w:pPr/>
            <w:r/>
            <w:r>
              <w:rPr>
                <w:b w:val="0"/>
              </w:rPr>
              <w:t>Useful heat output divided by energy input at the defined boundary.</w:t>
            </w:r>
          </w:p>
        </w:tc>
      </w:tr>
      <w:tr>
        <w:tc>
          <w:tcPr>
            <w:tcW w:type="dxa" w:w="4680"/>
            <w:vAlign w:val="top"/>
          </w:tcPr>
          <w:p>
            <w:pPr/>
            <w:r/>
            <w:r>
              <w:rPr>
                <w:b/>
              </w:rPr>
              <w:t>Sankey diagram</w:t>
            </w:r>
          </w:p>
        </w:tc>
        <w:tc>
          <w:tcPr>
            <w:tcW w:type="dxa" w:w="4680"/>
            <w:vAlign w:val="top"/>
          </w:tcPr>
          <w:p>
            <w:pPr/>
            <w:r/>
            <w:r>
              <w:rPr>
                <w:b w:val="0"/>
              </w:rPr>
              <w:t>Flow diagram where link width is proportional to magnitude (energy/exergy flows here).</w:t>
            </w:r>
          </w:p>
        </w:tc>
      </w:tr>
      <w:tr>
        <w:tc>
          <w:tcPr>
            <w:tcW w:type="dxa" w:w="4680"/>
            <w:vAlign w:val="top"/>
          </w:tcPr>
          <w:p>
            <w:pPr/>
            <w:r/>
            <w:r>
              <w:rPr>
                <w:b/>
              </w:rPr>
              <w:t>SHAP</w:t>
            </w:r>
          </w:p>
        </w:tc>
        <w:tc>
          <w:tcPr>
            <w:tcW w:type="dxa" w:w="4680"/>
            <w:vAlign w:val="top"/>
          </w:tcPr>
          <w:p>
            <w:pPr/>
            <w:r/>
            <w:r>
              <w:rPr>
                <w:b w:val="0"/>
              </w:rPr>
              <w:t>SHapley Additive exPlanations; feature attribution method for ML model outputs.</w:t>
            </w:r>
          </w:p>
        </w:tc>
      </w:tr>
      <w:tr>
        <w:tc>
          <w:tcPr>
            <w:tcW w:type="dxa" w:w="4680"/>
            <w:vAlign w:val="top"/>
          </w:tcPr>
          <w:p>
            <w:pPr/>
            <w:r/>
            <w:r>
              <w:rPr>
                <w:b/>
              </w:rPr>
              <w:t>LIME</w:t>
            </w:r>
          </w:p>
        </w:tc>
        <w:tc>
          <w:tcPr>
            <w:tcW w:type="dxa" w:w="4680"/>
            <w:vAlign w:val="top"/>
          </w:tcPr>
          <w:p>
            <w:pPr/>
            <w:r/>
            <w:r>
              <w:rPr>
                <w:b w:val="0"/>
              </w:rPr>
              <w:t>Local Interpretable Model-agnostic Explanations; local surrogate model for interpretability.</w:t>
            </w:r>
          </w:p>
        </w:tc>
      </w:tr>
      <w:tr>
        <w:tc>
          <w:tcPr>
            <w:tcW w:type="dxa" w:w="4680"/>
            <w:vAlign w:val="top"/>
          </w:tcPr>
          <w:p>
            <w:pPr/>
            <w:r/>
            <w:r>
              <w:rPr>
                <w:b/>
              </w:rPr>
              <w:t>HTF</w:t>
            </w:r>
          </w:p>
        </w:tc>
        <w:tc>
          <w:tcPr>
            <w:tcW w:type="dxa" w:w="4680"/>
            <w:vAlign w:val="top"/>
          </w:tcPr>
          <w:p>
            <w:pPr/>
            <w:r/>
            <w:r>
              <w:rPr>
                <w:b w:val="0"/>
              </w:rPr>
              <w:t>Heat transfer fluid.</w:t>
            </w:r>
          </w:p>
        </w:tc>
      </w:tr>
      <w:tr>
        <w:tc>
          <w:tcPr>
            <w:tcW w:type="dxa" w:w="4680"/>
            <w:vAlign w:val="top"/>
          </w:tcPr>
          <w:p>
            <w:pPr/>
            <w:r/>
            <w:r>
              <w:rPr>
                <w:b/>
              </w:rPr>
              <w:t>T0 / P0</w:t>
            </w:r>
          </w:p>
        </w:tc>
        <w:tc>
          <w:tcPr>
            <w:tcW w:type="dxa" w:w="4680"/>
            <w:vAlign w:val="top"/>
          </w:tcPr>
          <w:p>
            <w:pPr/>
            <w:r/>
            <w:r>
              <w:rPr>
                <w:b w:val="0"/>
              </w:rPr>
              <w:t>Reference environment temperature and pressure used for exergy calculations.</w:t>
            </w:r>
          </w:p>
        </w:tc>
      </w:tr>
    </w:tbl>
    <w:p/>
    <w:p>
      <w:r>
        <w:t>End of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Calibri"/>
      <w:sz w:val="22"/>
    </w:rPr>
  </w:style>
  <w:style w:type="character" w:customStyle="1" w:styleId="HeaderChar">
    <w:name w:val="Header Char"/>
    <w:basedOn w:val="DefaultParagraphFont"/>
    <w:link w:val="Header"/>
    <w:uiPriority w:val="99"/>
    <w:rsid w:val="00E618BF"/>
    <w:rPr>
      <w:rFonts w:ascii="Calibri" w:hAnsi="Calibri" w:eastAsia="Calibri"/>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Calibri"/>
      <w:sz w:val="22"/>
    </w:rPr>
  </w:style>
  <w:style w:type="character" w:customStyle="1" w:styleId="FooterChar">
    <w:name w:val="Footer Char"/>
    <w:basedOn w:val="DefaultParagraphFont"/>
    <w:link w:val="Footer"/>
    <w:uiPriority w:val="99"/>
    <w:rsid w:val="00E618BF"/>
    <w:rPr>
      <w:rFonts w:ascii="Calibri" w:hAnsi="Calibri" w:eastAsia="Calibri"/>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eastAsia="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eastAsia="Calibri"/>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eastAsia="Calibr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eastAsia="Calibri"/>
      <w:i/>
      <w:iCs/>
      <w:color w:val="404040" w:themeColor="text1" w:themeTint="BF"/>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eastAsia="Calibri"/>
      <w:color w:val="4F81BD" w:themeColor="accent1"/>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eastAsia="Calibri"/>
      <w:i/>
      <w:iCs/>
      <w:color w:val="404040" w:themeColor="text1" w:themeTint="BF"/>
      <w:sz w:val="22"/>
      <w:szCs w:val="20"/>
    </w:rPr>
  </w:style>
  <w:style w:type="character" w:default="1" w:styleId="DefaultParagraphFont">
    <w:name w:val="Default Paragraph Font"/>
    <w:uiPriority w:val="1"/>
    <w:semiHidden/>
    <w:unhideWhenUsed/>
    <w:rPr>
      <w:rFonts w:ascii="Calibri" w:hAnsi="Calibri" w:eastAsia="Calibri"/>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eastAsia="Calibri"/>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eastAsia="Calibri"/>
      <w:b/>
      <w:bCs/>
      <w:color w:val="365F91" w:themeColor="accent1" w:themeShade="BF"/>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eastAsia="Calibri"/>
      <w:b/>
      <w:bCs/>
      <w:color w:val="4F81BD" w:themeColor="accent1"/>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eastAsia="Calibri"/>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eastAsia="Calibri"/>
      <w:color w:val="17365D" w:themeColor="text2" w:themeShade="BF"/>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eastAsia="Calibri"/>
      <w:i/>
      <w:iCs/>
      <w:color w:val="4F81BD" w:themeColor="accent1"/>
      <w:spacing w:val="15"/>
      <w:sz w:val="22"/>
      <w:szCs w:val="24"/>
    </w:rPr>
  </w:style>
  <w:style w:type="paragraph" w:styleId="ListParagraph">
    <w:name w:val="List Paragraph"/>
    <w:basedOn w:val="Normal"/>
    <w:uiPriority w:val="34"/>
    <w:qFormat/>
    <w:rsid w:val="00FC693F"/>
    <w:pPr>
      <w:ind w:left="720"/>
      <w:contextualSpacing/>
    </w:pPr>
    <w:rPr>
      <w:rFonts w:ascii="Calibri" w:hAnsi="Calibri" w:eastAsia="Calibri"/>
      <w:sz w:val="22"/>
    </w:rPr>
  </w:style>
  <w:style w:type="paragraph" w:styleId="BodyText">
    <w:name w:val="Body Text"/>
    <w:basedOn w:val="Normal"/>
    <w:link w:val="BodyTextChar"/>
    <w:uiPriority w:val="99"/>
    <w:unhideWhenUsed/>
    <w:rsid w:val="00AA1D8D"/>
    <w:pPr>
      <w:spacing w:after="120"/>
    </w:pPr>
    <w:rPr>
      <w:rFonts w:ascii="Calibri" w:hAnsi="Calibri" w:eastAsia="Calibri"/>
      <w:sz w:val="22"/>
    </w:rPr>
  </w:style>
  <w:style w:type="character" w:customStyle="1" w:styleId="BodyTextChar">
    <w:name w:val="Body Text Char"/>
    <w:basedOn w:val="DefaultParagraphFont"/>
    <w:link w:val="BodyText"/>
    <w:uiPriority w:val="99"/>
    <w:rsid w:val="00AA1D8D"/>
    <w:rPr>
      <w:rFonts w:ascii="Calibri" w:hAnsi="Calibri" w:eastAsia="Calibri"/>
      <w:sz w:val="22"/>
    </w:rPr>
  </w:style>
  <w:style w:type="paragraph" w:styleId="BodyText2">
    <w:name w:val="Body Text 2"/>
    <w:basedOn w:val="Normal"/>
    <w:link w:val="BodyText2Char"/>
    <w:uiPriority w:val="99"/>
    <w:unhideWhenUsed/>
    <w:rsid w:val="00AA1D8D"/>
    <w:pPr>
      <w:spacing w:after="120" w:line="480" w:lineRule="auto"/>
    </w:pPr>
    <w:rPr>
      <w:rFonts w:ascii="Calibri" w:hAnsi="Calibri" w:eastAsia="Calibri"/>
      <w:sz w:val="22"/>
    </w:rPr>
  </w:style>
  <w:style w:type="character" w:customStyle="1" w:styleId="BodyText2Char">
    <w:name w:val="Body Text 2 Char"/>
    <w:basedOn w:val="DefaultParagraphFont"/>
    <w:link w:val="BodyText2"/>
    <w:uiPriority w:val="99"/>
    <w:rsid w:val="00AA1D8D"/>
    <w:rPr>
      <w:rFonts w:ascii="Calibri" w:hAnsi="Calibri" w:eastAsia="Calibri"/>
      <w:sz w:val="22"/>
    </w:rPr>
  </w:style>
  <w:style w:type="paragraph" w:styleId="BodyText3">
    <w:name w:val="Body Text 3"/>
    <w:basedOn w:val="Normal"/>
    <w:link w:val="BodyText3Char"/>
    <w:uiPriority w:val="99"/>
    <w:unhideWhenUsed/>
    <w:rsid w:val="00AA1D8D"/>
    <w:pPr>
      <w:spacing w:after="120"/>
    </w:pPr>
    <w:rPr>
      <w:rFonts w:ascii="Calibri" w:hAnsi="Calibri" w:eastAsia="Calibri"/>
      <w:sz w:val="22"/>
      <w:szCs w:val="16"/>
    </w:rPr>
  </w:style>
  <w:style w:type="character" w:customStyle="1" w:styleId="BodyText3Char">
    <w:name w:val="Body Text 3 Char"/>
    <w:basedOn w:val="DefaultParagraphFont"/>
    <w:link w:val="BodyText3"/>
    <w:uiPriority w:val="99"/>
    <w:rsid w:val="00AA1D8D"/>
    <w:rPr>
      <w:rFonts w:ascii="Calibri" w:hAnsi="Calibri" w:eastAsia="Calibri"/>
      <w:sz w:val="22"/>
      <w:szCs w:val="16"/>
    </w:rPr>
  </w:style>
  <w:style w:type="paragraph" w:styleId="List">
    <w:name w:val="List"/>
    <w:basedOn w:val="Normal"/>
    <w:uiPriority w:val="99"/>
    <w:unhideWhenUsed/>
    <w:rsid w:val="00AA1D8D"/>
    <w:pPr>
      <w:ind w:left="360" w:hanging="360"/>
      <w:contextualSpacing/>
    </w:pPr>
    <w:rPr>
      <w:rFonts w:ascii="Calibri" w:hAnsi="Calibri" w:eastAsia="Calibri"/>
      <w:sz w:val="22"/>
    </w:rPr>
  </w:style>
  <w:style w:type="paragraph" w:styleId="List2">
    <w:name w:val="List 2"/>
    <w:basedOn w:val="Normal"/>
    <w:uiPriority w:val="99"/>
    <w:unhideWhenUsed/>
    <w:rsid w:val="00326F90"/>
    <w:pPr>
      <w:ind w:left="720" w:hanging="360"/>
      <w:contextualSpacing/>
    </w:pPr>
    <w:rPr>
      <w:rFonts w:ascii="Calibri" w:hAnsi="Calibri" w:eastAsia="Calibri"/>
      <w:sz w:val="22"/>
    </w:rPr>
  </w:style>
  <w:style w:type="paragraph" w:styleId="List3">
    <w:name w:val="List 3"/>
    <w:basedOn w:val="Normal"/>
    <w:uiPriority w:val="99"/>
    <w:unhideWhenUsed/>
    <w:rsid w:val="00326F90"/>
    <w:pPr>
      <w:ind w:left="1080" w:hanging="360"/>
      <w:contextualSpacing/>
    </w:pPr>
    <w:rPr>
      <w:rFonts w:ascii="Calibri" w:hAnsi="Calibri" w:eastAsia="Calibri"/>
      <w:sz w:val="22"/>
    </w:rPr>
  </w:style>
  <w:style w:type="paragraph" w:styleId="ListBullet">
    <w:name w:val="List Bullet"/>
    <w:basedOn w:val="Normal"/>
    <w:uiPriority w:val="99"/>
    <w:unhideWhenUsed/>
    <w:rsid w:val="00326F90"/>
    <w:pPr>
      <w:numPr>
        <w:numId w:val="1"/>
      </w:numPr>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rPr>
      <w:rFonts w:ascii="Calibri" w:hAnsi="Calibri" w:eastAsia="Calibri"/>
      <w:sz w:val="22"/>
    </w:rPr>
  </w:style>
  <w:style w:type="paragraph" w:styleId="ListBullet3">
    <w:name w:val="List Bullet 3"/>
    <w:basedOn w:val="Normal"/>
    <w:uiPriority w:val="99"/>
    <w:unhideWhenUsed/>
    <w:rsid w:val="00326F90"/>
    <w:pPr>
      <w:numPr>
        <w:numId w:val="3"/>
      </w:numPr>
      <w:contextualSpacing/>
    </w:pPr>
    <w:rPr>
      <w:rFonts w:ascii="Calibri" w:hAnsi="Calibri" w:eastAsia="Calibri"/>
      <w:sz w:val="22"/>
    </w:rPr>
  </w:style>
  <w:style w:type="paragraph" w:styleId="ListNumber">
    <w:name w:val="List Number"/>
    <w:basedOn w:val="Normal"/>
    <w:uiPriority w:val="99"/>
    <w:unhideWhenUsed/>
    <w:rsid w:val="00326F90"/>
    <w:pPr>
      <w:numPr>
        <w:numId w:val="5"/>
      </w:numPr>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rPr>
      <w:rFonts w:ascii="Calibri" w:hAnsi="Calibri" w:eastAsia="Calibri"/>
      <w:sz w:val="22"/>
    </w:rPr>
  </w:style>
  <w:style w:type="paragraph" w:styleId="ListNumber3">
    <w:name w:val="List Number 3"/>
    <w:basedOn w:val="Normal"/>
    <w:uiPriority w:val="99"/>
    <w:unhideWhenUsed/>
    <w:rsid w:val="0029639D"/>
    <w:pPr>
      <w:numPr>
        <w:numId w:val="7"/>
      </w:numPr>
      <w:contextualSpacing/>
    </w:pPr>
    <w:rPr>
      <w:rFonts w:ascii="Calibri" w:hAnsi="Calibri" w:eastAsia="Calibri"/>
      <w:sz w:val="22"/>
    </w:rPr>
  </w:style>
  <w:style w:type="paragraph" w:styleId="ListContinue">
    <w:name w:val="List Continue"/>
    <w:basedOn w:val="Normal"/>
    <w:uiPriority w:val="99"/>
    <w:unhideWhenUsed/>
    <w:rsid w:val="0029639D"/>
    <w:pPr>
      <w:spacing w:after="120"/>
      <w:ind w:left="360"/>
      <w:contextualSpacing/>
    </w:pPr>
    <w:rPr>
      <w:rFonts w:ascii="Calibri" w:hAnsi="Calibri" w:eastAsia="Calibri"/>
      <w:sz w:val="22"/>
    </w:rPr>
  </w:style>
  <w:style w:type="paragraph" w:styleId="ListContinue2">
    <w:name w:val="List Continue 2"/>
    <w:basedOn w:val="Normal"/>
    <w:uiPriority w:val="99"/>
    <w:unhideWhenUsed/>
    <w:rsid w:val="0029639D"/>
    <w:pPr>
      <w:spacing w:after="120"/>
      <w:ind w:left="720"/>
      <w:contextualSpacing/>
    </w:pPr>
    <w:rPr>
      <w:rFonts w:ascii="Calibri" w:hAnsi="Calibri" w:eastAsia="Calibri"/>
      <w:sz w:val="22"/>
    </w:rPr>
  </w:style>
  <w:style w:type="paragraph" w:styleId="ListContinue3">
    <w:name w:val="List Continue 3"/>
    <w:basedOn w:val="Normal"/>
    <w:uiPriority w:val="99"/>
    <w:unhideWhenUsed/>
    <w:rsid w:val="0029639D"/>
    <w:pPr>
      <w:spacing w:after="120"/>
      <w:ind w:left="1080"/>
      <w:contextualSpacing/>
    </w:pPr>
    <w:rPr>
      <w:rFonts w:ascii="Calibri" w:hAnsi="Calibri" w:eastAsia="Calibri"/>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eastAsia="Calibri"/>
      <w:sz w:val="22"/>
      <w:szCs w:val="20"/>
    </w:rPr>
  </w:style>
  <w:style w:type="character" w:customStyle="1" w:styleId="MacroTextChar">
    <w:name w:val="Macro Text Char"/>
    <w:basedOn w:val="DefaultParagraphFont"/>
    <w:link w:val="MacroText"/>
    <w:uiPriority w:val="99"/>
    <w:rsid w:val="0029639D"/>
    <w:rPr>
      <w:rFonts w:ascii="Calibri" w:hAnsi="Calibri" w:eastAsia="Calibri"/>
      <w:sz w:val="22"/>
      <w:szCs w:val="20"/>
    </w:rPr>
  </w:style>
  <w:style w:type="paragraph" w:styleId="Quote">
    <w:name w:val="Quote"/>
    <w:basedOn w:val="Normal"/>
    <w:next w:val="Normal"/>
    <w:link w:val="QuoteChar"/>
    <w:uiPriority w:val="29"/>
    <w:qFormat/>
    <w:rsid w:val="00FC693F"/>
    <w:rPr>
      <w:rFonts w:ascii="Calibri" w:hAnsi="Calibri" w:eastAsia="Calibri"/>
      <w:i/>
      <w:iCs/>
      <w:color w:val="000000" w:themeColor="text1"/>
      <w:sz w:val="22"/>
    </w:rPr>
  </w:style>
  <w:style w:type="character" w:customStyle="1" w:styleId="QuoteChar">
    <w:name w:val="Quote Char"/>
    <w:basedOn w:val="DefaultParagraphFont"/>
    <w:link w:val="Quote"/>
    <w:uiPriority w:val="29"/>
    <w:rsid w:val="00FC693F"/>
    <w:rPr>
      <w:rFonts w:ascii="Calibri" w:hAnsi="Calibri" w:eastAsia="Calibri"/>
      <w:i/>
      <w:iCs/>
      <w:color w:val="000000" w:themeColor="text1"/>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eastAsia="Calibri"/>
      <w:b/>
      <w:bCs/>
      <w:i/>
      <w:iCs/>
      <w:color w:val="4F81BD" w:themeColor="accent1"/>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eastAsia="Calibri"/>
      <w:color w:val="243F60" w:themeColor="accent1" w:themeShade="7F"/>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eastAsia="Calibri"/>
      <w:i/>
      <w:iCs/>
      <w:color w:val="243F60" w:themeColor="accent1" w:themeShade="7F"/>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eastAsia="Calibri"/>
      <w:i/>
      <w:iCs/>
      <w:color w:val="404040" w:themeColor="text1" w:themeTint="BF"/>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eastAsia="Calibri"/>
      <w:color w:val="4F81BD" w:themeColor="accent1"/>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eastAsia="Calibri"/>
      <w:i/>
      <w:iCs/>
      <w:color w:val="404040" w:themeColor="text1" w:themeTint="BF"/>
      <w:sz w:val="22"/>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color w:val="4F81BD" w:themeColor="accent1"/>
      <w:sz w:val="22"/>
      <w:szCs w:val="18"/>
    </w:rPr>
  </w:style>
  <w:style w:type="character" w:styleId="Strong">
    <w:name w:val="Strong"/>
    <w:basedOn w:val="DefaultParagraphFont"/>
    <w:uiPriority w:val="22"/>
    <w:qFormat/>
    <w:rsid w:val="00FC693F"/>
    <w:rPr>
      <w:rFonts w:ascii="Calibri" w:hAnsi="Calibri" w:eastAsia="Calibri"/>
      <w:b/>
      <w:bCs/>
      <w:sz w:val="22"/>
    </w:rPr>
  </w:style>
  <w:style w:type="character" w:styleId="Emphasis">
    <w:name w:val="Emphasis"/>
    <w:basedOn w:val="DefaultParagraphFont"/>
    <w:uiPriority w:val="20"/>
    <w:qFormat/>
    <w:rsid w:val="00FC693F"/>
    <w:rPr>
      <w:rFonts w:ascii="Calibri" w:hAnsi="Calibri" w:eastAsia="Calibri"/>
      <w:i/>
      <w:iCs/>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eastAsia="Calibri"/>
      <w:b/>
      <w:bCs/>
      <w:i/>
      <w:iCs/>
      <w:color w:val="4F81BD" w:themeColor="accent1"/>
      <w:sz w:val="22"/>
    </w:rPr>
  </w:style>
  <w:style w:type="character" w:customStyle="1" w:styleId="IntenseQuoteChar">
    <w:name w:val="Intense Quote Char"/>
    <w:basedOn w:val="DefaultParagraphFont"/>
    <w:link w:val="IntenseQuote"/>
    <w:uiPriority w:val="30"/>
    <w:rsid w:val="00FC693F"/>
    <w:rPr>
      <w:rFonts w:ascii="Calibri" w:hAnsi="Calibri" w:eastAsia="Calibri"/>
      <w:b/>
      <w:bCs/>
      <w:i/>
      <w:iCs/>
      <w:color w:val="4F81BD" w:themeColor="accent1"/>
      <w:sz w:val="22"/>
    </w:rPr>
  </w:style>
  <w:style w:type="character" w:styleId="SubtleEmphasis">
    <w:name w:val="Subtle Emphasis"/>
    <w:basedOn w:val="DefaultParagraphFont"/>
    <w:uiPriority w:val="19"/>
    <w:qFormat/>
    <w:rsid w:val="00FC693F"/>
    <w:rPr>
      <w:rFonts w:ascii="Calibri" w:hAnsi="Calibri" w:eastAsia="Calibri"/>
      <w:i/>
      <w:iCs/>
      <w:color w:val="808080" w:themeColor="text1" w:themeTint="7F"/>
      <w:sz w:val="22"/>
    </w:rPr>
  </w:style>
  <w:style w:type="character" w:styleId="IntenseEmphasis">
    <w:name w:val="Intense Emphasis"/>
    <w:basedOn w:val="DefaultParagraphFont"/>
    <w:uiPriority w:val="21"/>
    <w:qFormat/>
    <w:rsid w:val="00FC693F"/>
    <w:rPr>
      <w:rFonts w:ascii="Calibri" w:hAnsi="Calibri" w:eastAsia="Calibri"/>
      <w:b/>
      <w:bCs/>
      <w:i/>
      <w:iCs/>
      <w:color w:val="4F81BD" w:themeColor="accent1"/>
      <w:sz w:val="22"/>
    </w:rPr>
  </w:style>
  <w:style w:type="character" w:styleId="SubtleReference">
    <w:name w:val="Subtle Reference"/>
    <w:basedOn w:val="DefaultParagraphFont"/>
    <w:uiPriority w:val="31"/>
    <w:qFormat/>
    <w:rsid w:val="00FC693F"/>
    <w:rPr>
      <w:rFonts w:ascii="Calibri" w:hAnsi="Calibri" w:eastAsia="Calibri"/>
      <w:smallCaps/>
      <w:color w:val="C0504D" w:themeColor="accent2"/>
      <w:sz w:val="22"/>
      <w:u w:val="single"/>
    </w:rPr>
  </w:style>
  <w:style w:type="character" w:styleId="IntenseReference">
    <w:name w:val="Intense Reference"/>
    <w:basedOn w:val="DefaultParagraphFont"/>
    <w:uiPriority w:val="32"/>
    <w:qFormat/>
    <w:rsid w:val="00FC693F"/>
    <w:rPr>
      <w:rFonts w:ascii="Calibri" w:hAnsi="Calibri" w:eastAsia="Calibri"/>
      <w:b/>
      <w:bCs/>
      <w:smallCaps/>
      <w:color w:val="C0504D" w:themeColor="accent2"/>
      <w:spacing w:val="5"/>
      <w:sz w:val="22"/>
      <w:u w:val="single"/>
    </w:rPr>
  </w:style>
  <w:style w:type="character" w:styleId="BookTitle">
    <w:name w:val="Book Title"/>
    <w:basedOn w:val="DefaultParagraphFont"/>
    <w:uiPriority w:val="33"/>
    <w:qFormat/>
    <w:rsid w:val="00FC693F"/>
    <w:rPr>
      <w:rFonts w:ascii="Calibri" w:hAnsi="Calibri" w:eastAsia="Calibri"/>
      <w:b/>
      <w:bCs/>
      <w:smallCaps/>
      <w:spacing w:val="5"/>
      <w:sz w:val="22"/>
    </w:rPr>
  </w:style>
  <w:style w:type="paragraph" w:styleId="TOCHeading">
    <w:name w:val="TOC Heading"/>
    <w:basedOn w:val="Heading1"/>
    <w:next w:val="Normal"/>
    <w:uiPriority w:val="39"/>
    <w:semiHidden/>
    <w:unhideWhenUsed/>
    <w:qFormat/>
    <w:rsid w:val="00FC693F"/>
    <w:pPr>
      <w:outlineLvl w:val="9"/>
    </w:pPr>
    <w:rPr>
      <w:rFonts w:ascii="Calibri" w:hAnsi="Calibri" w:eastAsia="Calibri"/>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20" w:after="120"/>
      <w:ind w:left="36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