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GL-014 – EXCHANGERPRO</w:t>
        <w:br/>
        <w:t>HeatExchangerOptimizer</w:t>
        <w:br/>
      </w:r>
    </w:p>
    <w:p>
      <w:pPr>
        <w:jc w:val="center"/>
      </w:pPr>
      <w:r>
        <w:rPr>
          <w:sz w:val="24"/>
        </w:rPr>
        <w:t>Cross-functional build document for AI/ML, software, data, thermal engineering, operations, and</w:t>
        <w:br/>
        <w:t>climate intelligence teams</w:t>
      </w:r>
    </w:p>
    <w:p>
      <w:pPr>
        <w:jc w:val="center"/>
      </w:pPr>
      <w:r>
        <w:rPr>
          <w:i/>
        </w:rPr>
        <w:t>Version: 1.0</w:t>
        <w:br/>
        <w:t>Date: December 26, 2025</w:t>
        <w:br/>
        <w:t>Status: Implemented (design baseline)</w:t>
      </w:r>
    </w:p>
    <w:p/>
    <w:p>
      <w:pPr>
        <w:jc w:val="center"/>
      </w:pPr>
      <w:r>
        <w:rPr>
          <w:b/>
        </w:rPr>
        <w:t>Confidential – Internal Use Only</w:t>
      </w:r>
    </w:p>
    <w:p>
      <w:r>
        <w:br w:type="page"/>
      </w:r>
    </w:p>
    <w:p>
      <w:pPr>
        <w:pStyle w:val="Heading1"/>
      </w:pPr>
      <w:r>
        <w:t>Document Control</w:t>
      </w:r>
    </w:p>
    <w:tbl>
      <w:tblPr>
        <w:tblStyle w:val="TableGrid"/>
        <w:tblW w:type="auto" w:w="0"/>
        <w:jc w:val="center"/>
        <w:tblLayout w:type="autofit"/>
        <w:tblLook w:firstColumn="1" w:firstRow="1" w:lastColumn="0" w:lastRow="0" w:noHBand="0" w:noVBand="1" w:val="04A0"/>
      </w:tblPr>
      <w:tblGrid>
        <w:gridCol w:w="4873"/>
        <w:gridCol w:w="4873"/>
      </w:tblGrid>
      <w:tr>
        <w:trPr>
          <w:tblHeader w:val="true"/>
        </w:trPr>
        <w:tc>
          <w:tcPr>
            <w:tcW w:type="dxa" w:w="2835"/>
            <w:shd w:val="clear" w:color="auto" w:fill="1F4E79"/>
            <w:vAlign w:val="center"/>
          </w:tcPr>
          <w:p>
            <w:pPr>
              <w:spacing w:after="0" w:before="0"/>
              <w:jc w:val="center"/>
            </w:pPr>
            <w:r/>
            <w:r>
              <w:rPr>
                <w:b/>
                <w:color w:val="FFFFFF"/>
              </w:rPr>
              <w:t>Field</w:t>
            </w:r>
          </w:p>
        </w:tc>
        <w:tc>
          <w:tcPr>
            <w:tcW w:type="dxa" w:w="6236"/>
            <w:shd w:val="clear" w:color="auto" w:fill="1F4E79"/>
            <w:vAlign w:val="center"/>
          </w:tcPr>
          <w:p>
            <w:pPr>
              <w:spacing w:after="0" w:before="0"/>
              <w:jc w:val="center"/>
            </w:pPr>
            <w:r/>
            <w:r>
              <w:rPr>
                <w:b/>
                <w:color w:val="FFFFFF"/>
              </w:rPr>
              <w:t>Value</w:t>
            </w:r>
          </w:p>
        </w:tc>
      </w:tr>
      <w:tr>
        <w:tc>
          <w:tcPr>
            <w:tcW w:type="dxa" w:w="2835"/>
            <w:vAlign w:val="top"/>
          </w:tcPr>
          <w:p>
            <w:pPr>
              <w:spacing w:after="0" w:before="0"/>
            </w:pPr>
            <w:r/>
            <w:r>
              <w:rPr>
                <w:b w:val="0"/>
              </w:rPr>
              <w:t>Agent ID</w:t>
            </w:r>
          </w:p>
        </w:tc>
        <w:tc>
          <w:tcPr>
            <w:tcW w:type="dxa" w:w="6236"/>
            <w:vAlign w:val="top"/>
          </w:tcPr>
          <w:p>
            <w:pPr>
              <w:spacing w:after="0" w:before="0"/>
            </w:pPr>
            <w:r/>
            <w:r>
              <w:rPr>
                <w:b w:val="0"/>
              </w:rPr>
              <w:t>GL-014</w:t>
            </w:r>
          </w:p>
        </w:tc>
      </w:tr>
      <w:tr>
        <w:tc>
          <w:tcPr>
            <w:tcW w:type="dxa" w:w="2835"/>
            <w:vAlign w:val="top"/>
          </w:tcPr>
          <w:p>
            <w:pPr>
              <w:spacing w:after="0" w:before="0"/>
            </w:pPr>
            <w:r/>
            <w:r>
              <w:rPr>
                <w:b w:val="0"/>
              </w:rPr>
              <w:t>Product / Codename</w:t>
            </w:r>
          </w:p>
        </w:tc>
        <w:tc>
          <w:tcPr>
            <w:tcW w:type="dxa" w:w="6236"/>
            <w:vAlign w:val="top"/>
          </w:tcPr>
          <w:p>
            <w:pPr>
              <w:spacing w:after="0" w:before="0"/>
            </w:pPr>
            <w:r/>
            <w:r>
              <w:rPr>
                <w:b w:val="0"/>
              </w:rPr>
              <w:t>EXCHANGERPRO</w:t>
            </w:r>
          </w:p>
        </w:tc>
      </w:tr>
      <w:tr>
        <w:tc>
          <w:tcPr>
            <w:tcW w:type="dxa" w:w="2835"/>
            <w:vAlign w:val="top"/>
          </w:tcPr>
          <w:p>
            <w:pPr>
              <w:spacing w:after="0" w:before="0"/>
            </w:pPr>
            <w:r/>
            <w:r>
              <w:rPr>
                <w:b w:val="0"/>
              </w:rPr>
              <w:t>Agent Name</w:t>
            </w:r>
          </w:p>
        </w:tc>
        <w:tc>
          <w:tcPr>
            <w:tcW w:type="dxa" w:w="6236"/>
            <w:vAlign w:val="top"/>
          </w:tcPr>
          <w:p>
            <w:pPr>
              <w:spacing w:after="0" w:before="0"/>
            </w:pPr>
            <w:r/>
            <w:r>
              <w:rPr>
                <w:b w:val="0"/>
              </w:rPr>
              <w:t>HeatExchangerOptimizer</w:t>
            </w:r>
          </w:p>
        </w:tc>
      </w:tr>
      <w:tr>
        <w:tc>
          <w:tcPr>
            <w:tcW w:type="dxa" w:w="2835"/>
            <w:vAlign w:val="top"/>
          </w:tcPr>
          <w:p>
            <w:pPr>
              <w:spacing w:after="0" w:before="0"/>
            </w:pPr>
            <w:r/>
            <w:r>
              <w:rPr>
                <w:b w:val="0"/>
              </w:rPr>
              <w:t>Domain</w:t>
            </w:r>
          </w:p>
        </w:tc>
        <w:tc>
          <w:tcPr>
            <w:tcW w:type="dxa" w:w="6236"/>
            <w:vAlign w:val="top"/>
          </w:tcPr>
          <w:p>
            <w:pPr>
              <w:spacing w:after="0" w:before="0"/>
            </w:pPr>
            <w:r/>
            <w:r>
              <w:rPr>
                <w:b w:val="0"/>
              </w:rPr>
              <w:t>Heat Exchangers (Shell-and-Tube and Plate where applicable)</w:t>
            </w:r>
          </w:p>
        </w:tc>
      </w:tr>
      <w:tr>
        <w:tc>
          <w:tcPr>
            <w:tcW w:type="dxa" w:w="2835"/>
            <w:vAlign w:val="top"/>
          </w:tcPr>
          <w:p>
            <w:pPr>
              <w:spacing w:after="0" w:before="0"/>
            </w:pPr>
            <w:r/>
            <w:r>
              <w:rPr>
                <w:b w:val="0"/>
              </w:rPr>
              <w:t>Agent Type</w:t>
            </w:r>
          </w:p>
        </w:tc>
        <w:tc>
          <w:tcPr>
            <w:tcW w:type="dxa" w:w="6236"/>
            <w:vAlign w:val="top"/>
          </w:tcPr>
          <w:p>
            <w:pPr>
              <w:spacing w:after="0" w:before="0"/>
            </w:pPr>
            <w:r/>
            <w:r>
              <w:rPr>
                <w:b w:val="0"/>
              </w:rPr>
              <w:t>Optimizer (performance + maintenance scheduling)</w:t>
            </w:r>
          </w:p>
        </w:tc>
      </w:tr>
      <w:tr>
        <w:tc>
          <w:tcPr>
            <w:tcW w:type="dxa" w:w="2835"/>
            <w:vAlign w:val="top"/>
          </w:tcPr>
          <w:p>
            <w:pPr>
              <w:spacing w:after="0" w:before="0"/>
            </w:pPr>
            <w:r/>
            <w:r>
              <w:rPr>
                <w:b w:val="0"/>
              </w:rPr>
              <w:t>Complexity</w:t>
            </w:r>
          </w:p>
        </w:tc>
        <w:tc>
          <w:tcPr>
            <w:tcW w:type="dxa" w:w="6236"/>
            <w:vAlign w:val="top"/>
          </w:tcPr>
          <w:p>
            <w:pPr>
              <w:spacing w:after="0" w:before="0"/>
            </w:pPr>
            <w:r/>
            <w:r>
              <w:rPr>
                <w:b w:val="0"/>
              </w:rPr>
              <w:t>Medium</w:t>
            </w:r>
          </w:p>
        </w:tc>
      </w:tr>
      <w:tr>
        <w:tc>
          <w:tcPr>
            <w:tcW w:type="dxa" w:w="2835"/>
            <w:vAlign w:val="top"/>
          </w:tcPr>
          <w:p>
            <w:pPr>
              <w:spacing w:after="0" w:before="0"/>
            </w:pPr>
            <w:r/>
            <w:r>
              <w:rPr>
                <w:b w:val="0"/>
              </w:rPr>
              <w:t>Priority</w:t>
            </w:r>
          </w:p>
        </w:tc>
        <w:tc>
          <w:tcPr>
            <w:tcW w:type="dxa" w:w="6236"/>
            <w:vAlign w:val="top"/>
          </w:tcPr>
          <w:p>
            <w:pPr>
              <w:spacing w:after="0" w:before="0"/>
            </w:pPr>
            <w:r/>
            <w:r>
              <w:rPr>
                <w:b w:val="0"/>
              </w:rPr>
              <w:t>P1</w:t>
            </w:r>
          </w:p>
        </w:tc>
      </w:tr>
      <w:tr>
        <w:tc>
          <w:tcPr>
            <w:tcW w:type="dxa" w:w="2835"/>
            <w:vAlign w:val="top"/>
          </w:tcPr>
          <w:p>
            <w:pPr>
              <w:spacing w:after="0" w:before="0"/>
            </w:pPr>
            <w:r/>
            <w:r>
              <w:rPr>
                <w:b w:val="0"/>
              </w:rPr>
              <w:t>Value at Stake</w:t>
            </w:r>
          </w:p>
        </w:tc>
        <w:tc>
          <w:tcPr>
            <w:tcW w:type="dxa" w:w="6236"/>
            <w:vAlign w:val="top"/>
          </w:tcPr>
          <w:p>
            <w:pPr>
              <w:spacing w:after="0" w:before="0"/>
            </w:pPr>
            <w:r/>
            <w:r>
              <w:rPr>
                <w:b w:val="0"/>
              </w:rPr>
              <w:t>$6B (program estimate)</w:t>
            </w:r>
          </w:p>
        </w:tc>
      </w:tr>
      <w:tr>
        <w:tc>
          <w:tcPr>
            <w:tcW w:type="dxa" w:w="2835"/>
            <w:vAlign w:val="top"/>
          </w:tcPr>
          <w:p>
            <w:pPr>
              <w:spacing w:after="0" w:before="0"/>
            </w:pPr>
            <w:r/>
            <w:r>
              <w:rPr>
                <w:b w:val="0"/>
              </w:rPr>
              <w:t>Target Release</w:t>
            </w:r>
          </w:p>
        </w:tc>
        <w:tc>
          <w:tcPr>
            <w:tcW w:type="dxa" w:w="6236"/>
            <w:vAlign w:val="top"/>
          </w:tcPr>
          <w:p>
            <w:pPr>
              <w:spacing w:after="0" w:before="0"/>
            </w:pPr>
            <w:r/>
            <w:r>
              <w:rPr>
                <w:b w:val="0"/>
              </w:rPr>
              <w:t>Q2 2026</w:t>
            </w:r>
          </w:p>
        </w:tc>
      </w:tr>
      <w:tr>
        <w:tc>
          <w:tcPr>
            <w:tcW w:type="dxa" w:w="2835"/>
            <w:vAlign w:val="top"/>
          </w:tcPr>
          <w:p>
            <w:pPr>
              <w:spacing w:after="0" w:before="0"/>
            </w:pPr>
            <w:r/>
            <w:r>
              <w:rPr>
                <w:b w:val="0"/>
              </w:rPr>
              <w:t>Maturity Score</w:t>
            </w:r>
          </w:p>
        </w:tc>
        <w:tc>
          <w:tcPr>
            <w:tcW w:type="dxa" w:w="6236"/>
            <w:vAlign w:val="top"/>
          </w:tcPr>
          <w:p>
            <w:pPr>
              <w:spacing w:after="0" w:before="0"/>
            </w:pPr>
            <w:r/>
            <w:r>
              <w:rPr>
                <w:b w:val="0"/>
              </w:rPr>
              <w:t>95</w:t>
            </w:r>
          </w:p>
        </w:tc>
      </w:tr>
      <w:tr>
        <w:tc>
          <w:tcPr>
            <w:tcW w:type="dxa" w:w="2835"/>
            <w:vAlign w:val="top"/>
          </w:tcPr>
          <w:p>
            <w:pPr>
              <w:spacing w:after="0" w:before="0"/>
            </w:pPr>
            <w:r/>
            <w:r>
              <w:rPr>
                <w:b w:val="0"/>
              </w:rPr>
              <w:t>Primary Standards</w:t>
            </w:r>
          </w:p>
        </w:tc>
        <w:tc>
          <w:tcPr>
            <w:tcW w:type="dxa" w:w="6236"/>
            <w:vAlign w:val="top"/>
          </w:tcPr>
          <w:p>
            <w:pPr>
              <w:spacing w:after="0" w:before="0"/>
            </w:pPr>
            <w:r/>
            <w:r>
              <w:rPr>
                <w:b w:val="0"/>
              </w:rPr>
              <w:t>TEMA (mechanical/performance conventions), plant-specific design specs</w:t>
            </w:r>
          </w:p>
        </w:tc>
      </w:tr>
      <w:tr>
        <w:tc>
          <w:tcPr>
            <w:tcW w:type="dxa" w:w="2835"/>
            <w:vAlign w:val="top"/>
          </w:tcPr>
          <w:p>
            <w:pPr>
              <w:spacing w:after="0" w:before="0"/>
            </w:pPr>
            <w:r/>
            <w:r>
              <w:rPr>
                <w:b w:val="0"/>
              </w:rPr>
              <w:t>Core Methods</w:t>
            </w:r>
          </w:p>
        </w:tc>
        <w:tc>
          <w:tcPr>
            <w:tcW w:type="dxa" w:w="6236"/>
            <w:vAlign w:val="top"/>
          </w:tcPr>
          <w:p>
            <w:pPr>
              <w:spacing w:after="0" w:before="0"/>
            </w:pPr>
            <w:r/>
            <w:r>
              <w:rPr>
                <w:b w:val="0"/>
              </w:rPr>
              <w:t>Epsilon-NTU, LMTD, deterministic heat transfer calculations; ML fouling prediction; SHAP/LIME explainability</w:t>
            </w:r>
          </w:p>
        </w:tc>
      </w:tr>
      <w:tr>
        <w:tc>
          <w:tcPr>
            <w:tcW w:type="dxa" w:w="2835"/>
            <w:vAlign w:val="top"/>
          </w:tcPr>
          <w:p>
            <w:pPr>
              <w:spacing w:after="0" w:before="0"/>
            </w:pPr>
            <w:r/>
            <w:r>
              <w:rPr>
                <w:b w:val="0"/>
              </w:rPr>
              <w:t>Key Integrations</w:t>
            </w:r>
          </w:p>
        </w:tc>
        <w:tc>
          <w:tcPr>
            <w:tcW w:type="dxa" w:w="6236"/>
            <w:vAlign w:val="top"/>
          </w:tcPr>
          <w:p>
            <w:pPr>
              <w:spacing w:after="0" w:before="0"/>
            </w:pPr>
            <w:r/>
            <w:r>
              <w:rPr>
                <w:b w:val="0"/>
              </w:rPr>
              <w:t>Instrumentation, Cleaning systems, OPC-UA, Kafka, CMMS</w:t>
            </w:r>
          </w:p>
        </w:tc>
      </w:tr>
    </w:tbl>
    <w:p/>
    <w:p>
      <w:pPr>
        <w:pStyle w:val="Heading1"/>
      </w:pPr>
      <w:r>
        <w:t>Audience and How to Use This Document</w:t>
      </w:r>
    </w:p>
    <w:p>
      <w:r>
        <w:t>This document is the single cross-functional build guide for GL-014. It translates the agent brief into actionable work items for:</w:t>
      </w:r>
    </w:p>
    <w:p>
      <w:pPr>
        <w:pStyle w:val="ListBullet"/>
      </w:pPr>
      <w:r>
        <w:t>AI/ML team (fouling prediction, explainability, model governance)</w:t>
      </w:r>
    </w:p>
    <w:p>
      <w:pPr>
        <w:pStyle w:val="ListBullet"/>
      </w:pPr>
      <w:r>
        <w:t>Software development team (microservices, APIs, UI/reporting, deterministic calculation engine)</w:t>
      </w:r>
    </w:p>
    <w:p>
      <w:pPr>
        <w:pStyle w:val="ListBullet"/>
      </w:pPr>
      <w:r>
        <w:t>Data engineering team (OPC-UA ingestion, Kafka topics, historian/lake, feature store)</w:t>
      </w:r>
    </w:p>
    <w:p>
      <w:pPr>
        <w:pStyle w:val="ListBullet"/>
      </w:pPr>
      <w:r>
        <w:t>Thermal/Process engineering team (TEMA-aligned rating, epsilon-NTU/LMTD calculations, pressure drop, validation)</w:t>
      </w:r>
    </w:p>
    <w:p>
      <w:pPr>
        <w:pStyle w:val="ListBullet"/>
      </w:pPr>
      <w:r>
        <w:t>Reliability and maintenance team (cleaning workflows, CMMS integration, operational acceptance)</w:t>
      </w:r>
    </w:p>
    <w:p>
      <w:pPr>
        <w:pStyle w:val="ListBullet"/>
      </w:pPr>
      <w:r>
        <w:t>OT/controls team (instrumentation mapping, PLC/SCADA integration, cybersecurity constraints)</w:t>
      </w:r>
    </w:p>
    <w:p>
      <w:pPr>
        <w:pStyle w:val="ListBullet"/>
      </w:pPr>
      <w:r>
        <w:t>Climate intelligence / sustainability team (energy savings, CO2e accounting, reporting)</w:t>
      </w:r>
    </w:p>
    <w:p>
      <w:pPr>
        <w:pStyle w:val="ListBullet"/>
      </w:pPr>
      <w:r>
        <w:t>Program management / delivery team (milestones, KPIs, readiness gates)</w:t>
      </w:r>
    </w:p>
    <w:p>
      <w:r>
        <w:t>Each section ends with explicit deliverables and acceptance criteria so teams can execute in parallel.</w:t>
      </w:r>
    </w:p>
    <w:p>
      <w:r>
        <w:br w:type="page"/>
      </w:r>
    </w:p>
    <w:p>
      <w:pPr>
        <w:pStyle w:val="Heading1"/>
      </w:pPr>
      <w:r>
        <w:t>1. Executive Summary</w:t>
      </w:r>
    </w:p>
    <w:p>
      <w:r>
        <w:t>GL-014 (EXCHANGERPRO – HeatExchangerOptimizer) is an operational optimization agent for industrial heat exchangers. It computes heat-transfer performance deterministically (zero-hallucination calculations), predicts fouling using machine learning, optimizes cleaning schedules, and generates explainable recommendations using SHAP/LIME. The system is designed to be TEMA-compliant in terminology, configuration handling, and performance rating conventions.</w:t>
      </w:r>
    </w:p>
    <w:p>
      <w:r>
        <w:t>Primary outcomes:</w:t>
      </w:r>
    </w:p>
    <w:p>
      <w:pPr>
        <w:pStyle w:val="ListBullet"/>
      </w:pPr>
      <w:r>
        <w:t>Reduced energy consumption and increased heat recovery by maintaining exchanger effectiveness and UA</w:t>
      </w:r>
    </w:p>
    <w:p>
      <w:pPr>
        <w:pStyle w:val="ListBullet"/>
      </w:pPr>
      <w:r>
        <w:t>Lower unplanned downtime via predictive fouling and proactive cleaning</w:t>
      </w:r>
    </w:p>
    <w:p>
      <w:pPr>
        <w:pStyle w:val="ListBullet"/>
      </w:pPr>
      <w:r>
        <w:t>Transparent decision support via explainability reports that align with engineering intuition</w:t>
      </w:r>
    </w:p>
    <w:p>
      <w:pPr>
        <w:pStyle w:val="ListBullet"/>
      </w:pPr>
      <w:r>
        <w:t>Standardized integration across sites through OPC-UA + Kafka ingestion and CMMS work-order workflows</w:t>
      </w:r>
    </w:p>
    <w:p>
      <w:pPr>
        <w:pStyle w:val="Heading2"/>
      </w:pPr>
      <w:r>
        <w:t>1.1 Scope</w:t>
      </w:r>
    </w:p>
    <w:p>
      <w:pPr>
        <w:pStyle w:val="ListBullet"/>
      </w:pPr>
      <w:r>
        <w:t>Online performance monitoring: UA, LMTD, effectiveness (epsilon), capacity rates, heat duty, and pressure drop</w:t>
      </w:r>
    </w:p>
    <w:p>
      <w:pPr>
        <w:pStyle w:val="ListBullet"/>
      </w:pPr>
      <w:r>
        <w:t>Fouling growth estimation and forecasting; detection of abnormal degradation</w:t>
      </w:r>
    </w:p>
    <w:p>
      <w:pPr>
        <w:pStyle w:val="ListBullet"/>
      </w:pPr>
      <w:r>
        <w:t>Cleaning schedule optimization (cost/benefit) with constraints on ΔP, outlet temperatures, and production limits</w:t>
      </w:r>
    </w:p>
    <w:p>
      <w:pPr>
        <w:pStyle w:val="ListBullet"/>
      </w:pPr>
      <w:r>
        <w:t>Operator- and engineer-facing dashboards and PDF/HTML reports</w:t>
      </w:r>
    </w:p>
    <w:p>
      <w:pPr>
        <w:pStyle w:val="ListBullet"/>
      </w:pPr>
      <w:r>
        <w:t>CMMS integration for recommendation-to-work-order traceability</w:t>
      </w:r>
    </w:p>
    <w:p>
      <w:pPr>
        <w:pStyle w:val="Heading2"/>
      </w:pPr>
      <w:r>
        <w:t>1.2 Non-Goals (Explicit Exclusions)</w:t>
      </w:r>
    </w:p>
    <w:p>
      <w:pPr>
        <w:pStyle w:val="ListBullet"/>
      </w:pPr>
      <w:r>
        <w:t>Mechanical redesign or re-tubing decisions without engineering review (the agent provides recommendations, not final design authority)</w:t>
      </w:r>
    </w:p>
    <w:p>
      <w:pPr>
        <w:pStyle w:val="ListBullet"/>
      </w:pPr>
      <w:r>
        <w:t>Safety instrumented system (SIS) control actions (no direct control-loop manipulation)</w:t>
      </w:r>
    </w:p>
    <w:p>
      <w:pPr>
        <w:pStyle w:val="ListBullet"/>
      </w:pPr>
      <w:r>
        <w:t>Replacement of plant process simulators (the agent complements, not replaces, rigorous simulation)</w:t>
      </w:r>
    </w:p>
    <w:p>
      <w:pPr>
        <w:pStyle w:val="ListBullet"/>
      </w:pPr>
      <w:r>
        <w:t>Any use of LLMs to generate numeric heat transfer results (numerics must come from the deterministic engine)</w:t>
      </w:r>
    </w:p>
    <w:p>
      <w:pPr>
        <w:pStyle w:val="Heading2"/>
      </w:pPr>
      <w:r>
        <w:t>1.3 Inputs, Outputs, and Integrations (from Agent Brief)</w:t>
      </w:r>
    </w:p>
    <w:tbl>
      <w:tblPr>
        <w:tblStyle w:val="TableGrid"/>
        <w:tblW w:type="auto" w:w="0"/>
        <w:jc w:val="center"/>
        <w:tblLayout w:type="autofit"/>
        <w:tblLook w:firstColumn="1" w:firstRow="1" w:lastColumn="0" w:lastRow="0" w:noHBand="0" w:noVBand="1" w:val="04A0"/>
      </w:tblPr>
      <w:tblGrid>
        <w:gridCol w:w="4873"/>
        <w:gridCol w:w="4873"/>
      </w:tblGrid>
      <w:tr>
        <w:trPr>
          <w:tblHeader w:val="true"/>
        </w:trPr>
        <w:tc>
          <w:tcPr>
            <w:tcW w:type="dxa" w:w="2268"/>
            <w:shd w:val="clear" w:color="auto" w:fill="1F4E79"/>
            <w:vAlign w:val="center"/>
          </w:tcPr>
          <w:p>
            <w:pPr>
              <w:spacing w:after="0" w:before="0"/>
              <w:jc w:val="center"/>
            </w:pPr>
            <w:r/>
            <w:r>
              <w:rPr>
                <w:b/>
                <w:color w:val="FFFFFF"/>
              </w:rPr>
              <w:t>Category</w:t>
            </w:r>
          </w:p>
        </w:tc>
        <w:tc>
          <w:tcPr>
            <w:tcW w:type="dxa" w:w="6803"/>
            <w:shd w:val="clear" w:color="auto" w:fill="1F4E79"/>
            <w:vAlign w:val="center"/>
          </w:tcPr>
          <w:p>
            <w:pPr>
              <w:spacing w:after="0" w:before="0"/>
              <w:jc w:val="center"/>
            </w:pPr>
            <w:r/>
            <w:r>
              <w:rPr>
                <w:b/>
                <w:color w:val="FFFFFF"/>
              </w:rPr>
              <w:t>Details</w:t>
            </w:r>
          </w:p>
        </w:tc>
      </w:tr>
      <w:tr>
        <w:tc>
          <w:tcPr>
            <w:tcW w:type="dxa" w:w="2268"/>
            <w:vAlign w:val="top"/>
          </w:tcPr>
          <w:p>
            <w:pPr>
              <w:spacing w:after="0" w:before="0"/>
            </w:pPr>
            <w:r/>
            <w:r>
              <w:rPr>
                <w:b w:val="0"/>
              </w:rPr>
              <w:t>Required Inputs</w:t>
            </w:r>
          </w:p>
        </w:tc>
        <w:tc>
          <w:tcPr>
            <w:tcW w:type="dxa" w:w="6803"/>
            <w:vAlign w:val="top"/>
          </w:tcPr>
          <w:p>
            <w:pPr>
              <w:spacing w:after="0" w:before="0"/>
            </w:pPr>
            <w:r/>
            <w:r>
              <w:rPr>
                <w:b w:val="0"/>
              </w:rPr>
              <w:t>Inlet/outlet temperatures, pressure drops, flow rates, fouling factors (if available), fluid properties, cleaning history, operating hours</w:t>
            </w:r>
          </w:p>
        </w:tc>
      </w:tr>
      <w:tr>
        <w:tc>
          <w:tcPr>
            <w:tcW w:type="dxa" w:w="2268"/>
            <w:vAlign w:val="top"/>
          </w:tcPr>
          <w:p>
            <w:pPr>
              <w:spacing w:after="0" w:before="0"/>
            </w:pPr>
            <w:r/>
            <w:r>
              <w:rPr>
                <w:b w:val="0"/>
              </w:rPr>
              <w:t>Primary Outputs</w:t>
            </w:r>
          </w:p>
        </w:tc>
        <w:tc>
          <w:tcPr>
            <w:tcW w:type="dxa" w:w="6803"/>
            <w:vAlign w:val="top"/>
          </w:tcPr>
          <w:p>
            <w:pPr>
              <w:spacing w:after="0" w:before="0"/>
            </w:pPr>
            <w:r/>
            <w:r>
              <w:rPr>
                <w:b w:val="0"/>
              </w:rPr>
              <w:t>Cleaning schedules, UA degradation, LMTD analysis, efficiency gains, fouling predictions, explainability reports, optimization recommendations</w:t>
            </w:r>
          </w:p>
        </w:tc>
      </w:tr>
      <w:tr>
        <w:tc>
          <w:tcPr>
            <w:tcW w:type="dxa" w:w="2268"/>
            <w:vAlign w:val="top"/>
          </w:tcPr>
          <w:p>
            <w:pPr>
              <w:spacing w:after="0" w:before="0"/>
            </w:pPr>
            <w:r/>
            <w:r>
              <w:rPr>
                <w:b w:val="0"/>
              </w:rPr>
              <w:t>Integrations</w:t>
            </w:r>
          </w:p>
        </w:tc>
        <w:tc>
          <w:tcPr>
            <w:tcW w:type="dxa" w:w="6803"/>
            <w:vAlign w:val="top"/>
          </w:tcPr>
          <w:p>
            <w:pPr>
              <w:spacing w:after="0" w:before="0"/>
            </w:pPr>
            <w:r/>
            <w:r>
              <w:rPr>
                <w:b w:val="0"/>
              </w:rPr>
              <w:t>Heat exchanger instrumentation, cleaning systems, OPC-UA, Kafka, CMMS</w:t>
            </w:r>
          </w:p>
        </w:tc>
      </w:tr>
    </w:tbl>
    <w:p/>
    <w:p>
      <w:r>
        <w:br w:type="page"/>
      </w:r>
    </w:p>
    <w:p>
      <w:pPr>
        <w:pStyle w:val="Heading1"/>
      </w:pPr>
      <w:r>
        <w:t>2. System Architecture</w:t>
      </w:r>
    </w:p>
    <w:p>
      <w:pPr>
        <w:pStyle w:val="Heading2"/>
      </w:pPr>
      <w:r>
        <w:t>2.1 Logical Components</w:t>
      </w:r>
    </w:p>
    <w:p>
      <w:pPr>
        <w:pStyle w:val="ListBullet"/>
      </w:pPr>
      <w:r>
        <w:t>Data Ingestion Layer: OPC-UA connectors (edge) publish to Kafka; batch ingestion from historian/CMMS for backfills.</w:t>
      </w:r>
    </w:p>
    <w:p>
      <w:pPr>
        <w:pStyle w:val="ListBullet"/>
      </w:pPr>
      <w:r>
        <w:t>Canonical Data Model: standardized tags, units, asset identifiers, and event schemas across sites.</w:t>
      </w:r>
    </w:p>
    <w:p>
      <w:pPr>
        <w:pStyle w:val="ListBullet"/>
      </w:pPr>
      <w:r>
        <w:t>Deterministic Thermal Engine (DTE): pure, unit-safe computations (epsilon-NTU, LMTD, UA, ΔP); no LLM dependency.</w:t>
      </w:r>
    </w:p>
    <w:p>
      <w:pPr>
        <w:pStyle w:val="ListBullet"/>
      </w:pPr>
      <w:r>
        <w:t>Fouling Prediction Service: ML models forecasting UA degradation / fouling resistance and probability of constraint violation.</w:t>
      </w:r>
    </w:p>
    <w:p>
      <w:pPr>
        <w:pStyle w:val="ListBullet"/>
      </w:pPr>
      <w:r>
        <w:t>Cleaning Schedule Optimizer: cost-based optimizer producing recommended cleaning dates/windows and expected benefits.</w:t>
      </w:r>
    </w:p>
    <w:p>
      <w:pPr>
        <w:pStyle w:val="ListBullet"/>
      </w:pPr>
      <w:r>
        <w:t>Explainability Layer: SHAP/LIME explanations tied to the fouling model outputs and the optimizer's decision drivers.</w:t>
      </w:r>
    </w:p>
    <w:p>
      <w:pPr>
        <w:pStyle w:val="ListBullet"/>
      </w:pPr>
      <w:r>
        <w:t>Reporting &amp; UX: dashboards (real-time + historical), PDF/HTML reports, and API endpoints for other systems.</w:t>
      </w:r>
    </w:p>
    <w:p>
      <w:pPr>
        <w:pStyle w:val="ListBullet"/>
      </w:pPr>
      <w:r>
        <w:t>Integration Layer: CMMS work-order creation workflows; event feedback loop on completed cleanings and inspections.</w:t>
      </w:r>
    </w:p>
    <w:p>
      <w:pPr>
        <w:pStyle w:val="ListBullet"/>
      </w:pPr>
      <w:r>
        <w:t>Observability &amp; Governance: logging, metrics, model registry, audit trails, and change management.</w:t>
      </w:r>
    </w:p>
    <w:p>
      <w:pPr>
        <w:pStyle w:val="Heading2"/>
      </w:pPr>
      <w:r>
        <w:t>2.2 Reference Deployment Topology</w:t>
      </w:r>
    </w:p>
    <w:p>
      <w:r>
        <w:t>GL-014 supports both edge-first (plant network) and hybrid (edge + cloud) deployments. Deterministic calculations should run close to the data source when latency, data sovereignty, or reliability requires it.</w:t>
      </w:r>
    </w:p>
    <w:tbl>
      <w:tblPr>
        <w:tblStyle w:val="TableGrid"/>
        <w:tblW w:type="auto" w:w="0"/>
        <w:jc w:val="center"/>
        <w:tblLayout w:type="autofit"/>
        <w:tblLook w:firstColumn="1" w:firstRow="1" w:lastColumn="0" w:lastRow="0" w:noHBand="0" w:noVBand="1" w:val="04A0"/>
      </w:tblPr>
      <w:tblGrid>
        <w:gridCol w:w="3249"/>
        <w:gridCol w:w="3249"/>
        <w:gridCol w:w="3249"/>
      </w:tblGrid>
      <w:tr>
        <w:trPr>
          <w:tblHeader w:val="true"/>
        </w:trPr>
        <w:tc>
          <w:tcPr>
            <w:tcW w:type="dxa" w:w="1814"/>
            <w:shd w:val="clear" w:color="auto" w:fill="1F4E79"/>
            <w:vAlign w:val="center"/>
          </w:tcPr>
          <w:p>
            <w:pPr>
              <w:spacing w:after="0" w:before="0"/>
              <w:jc w:val="center"/>
            </w:pPr>
            <w:r/>
            <w:r>
              <w:rPr>
                <w:b/>
                <w:color w:val="FFFFFF"/>
              </w:rPr>
              <w:t>Zone</w:t>
            </w:r>
          </w:p>
        </w:tc>
        <w:tc>
          <w:tcPr>
            <w:tcW w:type="dxa" w:w="3628"/>
            <w:shd w:val="clear" w:color="auto" w:fill="1F4E79"/>
            <w:vAlign w:val="center"/>
          </w:tcPr>
          <w:p>
            <w:pPr>
              <w:spacing w:after="0" w:before="0"/>
              <w:jc w:val="center"/>
            </w:pPr>
            <w:r/>
            <w:r>
              <w:rPr>
                <w:b/>
                <w:color w:val="FFFFFF"/>
              </w:rPr>
              <w:t>Typical Components</w:t>
            </w:r>
          </w:p>
        </w:tc>
        <w:tc>
          <w:tcPr>
            <w:tcW w:type="dxa" w:w="3628"/>
            <w:shd w:val="clear" w:color="auto" w:fill="1F4E79"/>
            <w:vAlign w:val="center"/>
          </w:tcPr>
          <w:p>
            <w:pPr>
              <w:spacing w:after="0" w:before="0"/>
              <w:jc w:val="center"/>
            </w:pPr>
            <w:r/>
            <w:r>
              <w:rPr>
                <w:b/>
                <w:color w:val="FFFFFF"/>
              </w:rPr>
              <w:t>Key Notes</w:t>
            </w:r>
          </w:p>
        </w:tc>
      </w:tr>
      <w:tr>
        <w:tc>
          <w:tcPr>
            <w:tcW w:type="dxa" w:w="1814"/>
            <w:vAlign w:val="top"/>
          </w:tcPr>
          <w:p>
            <w:pPr>
              <w:spacing w:after="0" w:before="0"/>
            </w:pPr>
            <w:r/>
            <w:r>
              <w:rPr>
                <w:b w:val="0"/>
              </w:rPr>
              <w:t>OT / Plant Network (Edge)</w:t>
            </w:r>
          </w:p>
        </w:tc>
        <w:tc>
          <w:tcPr>
            <w:tcW w:type="dxa" w:w="3628"/>
            <w:vAlign w:val="top"/>
          </w:tcPr>
          <w:p>
            <w:pPr>
              <w:spacing w:after="0" w:before="0"/>
            </w:pPr>
            <w:r/>
            <w:r>
              <w:rPr>
                <w:b w:val="0"/>
              </w:rPr>
              <w:t>OPC-UA client, tag mapping, buffering, local Kafka (optional), local DTE runtime</w:t>
            </w:r>
          </w:p>
        </w:tc>
        <w:tc>
          <w:tcPr>
            <w:tcW w:type="dxa" w:w="3628"/>
            <w:vAlign w:val="top"/>
          </w:tcPr>
          <w:p>
            <w:pPr>
              <w:spacing w:after="0" w:before="0"/>
            </w:pPr>
            <w:r/>
            <w:r>
              <w:rPr>
                <w:b w:val="0"/>
              </w:rPr>
              <w:t>Must respect site cybersecurity; offline-capable buffering; deterministic computations should not rely on internet access.</w:t>
            </w:r>
          </w:p>
        </w:tc>
      </w:tr>
      <w:tr>
        <w:tc>
          <w:tcPr>
            <w:tcW w:type="dxa" w:w="1814"/>
            <w:vAlign w:val="top"/>
          </w:tcPr>
          <w:p>
            <w:pPr>
              <w:spacing w:after="0" w:before="0"/>
            </w:pPr>
            <w:r/>
            <w:r>
              <w:rPr>
                <w:b w:val="0"/>
              </w:rPr>
              <w:t>IT / Data Platform</w:t>
            </w:r>
          </w:p>
        </w:tc>
        <w:tc>
          <w:tcPr>
            <w:tcW w:type="dxa" w:w="3628"/>
            <w:vAlign w:val="top"/>
          </w:tcPr>
          <w:p>
            <w:pPr>
              <w:spacing w:after="0" w:before="0"/>
            </w:pPr>
            <w:r/>
            <w:r>
              <w:rPr>
                <w:b w:val="0"/>
              </w:rPr>
              <w:t>Kafka cluster, stream processing (Flink/Spark), time-series DB, data lake, feature store</w:t>
            </w:r>
          </w:p>
        </w:tc>
        <w:tc>
          <w:tcPr>
            <w:tcW w:type="dxa" w:w="3628"/>
            <w:vAlign w:val="top"/>
          </w:tcPr>
          <w:p>
            <w:pPr>
              <w:spacing w:after="0" w:before="0"/>
            </w:pPr>
            <w:r/>
            <w:r>
              <w:rPr>
                <w:b w:val="0"/>
              </w:rPr>
              <w:t>Centralized retention, lineage, governance; supports multi-site analytics.</w:t>
            </w:r>
          </w:p>
        </w:tc>
      </w:tr>
      <w:tr>
        <w:tc>
          <w:tcPr>
            <w:tcW w:type="dxa" w:w="1814"/>
            <w:vAlign w:val="top"/>
          </w:tcPr>
          <w:p>
            <w:pPr>
              <w:spacing w:after="0" w:before="0"/>
            </w:pPr>
            <w:r/>
            <w:r>
              <w:rPr>
                <w:b w:val="0"/>
              </w:rPr>
              <w:t>Application Layer</w:t>
            </w:r>
          </w:p>
        </w:tc>
        <w:tc>
          <w:tcPr>
            <w:tcW w:type="dxa" w:w="3628"/>
            <w:vAlign w:val="top"/>
          </w:tcPr>
          <w:p>
            <w:pPr>
              <w:spacing w:after="0" w:before="0"/>
            </w:pPr>
            <w:r/>
            <w:r>
              <w:rPr>
                <w:b w:val="0"/>
              </w:rPr>
              <w:t>Thermal API, ML service, optimizer, reporting service, dashboards</w:t>
            </w:r>
          </w:p>
        </w:tc>
        <w:tc>
          <w:tcPr>
            <w:tcW w:type="dxa" w:w="3628"/>
            <w:vAlign w:val="top"/>
          </w:tcPr>
          <w:p>
            <w:pPr>
              <w:spacing w:after="0" w:before="0"/>
            </w:pPr>
            <w:r/>
            <w:r>
              <w:rPr>
                <w:b w:val="0"/>
              </w:rPr>
              <w:t>Containerized; can be deployed in Kubernetes; strict versioning of calculation engine and models.</w:t>
            </w:r>
          </w:p>
        </w:tc>
      </w:tr>
      <w:tr>
        <w:tc>
          <w:tcPr>
            <w:tcW w:type="dxa" w:w="1814"/>
            <w:vAlign w:val="top"/>
          </w:tcPr>
          <w:p>
            <w:pPr>
              <w:spacing w:after="0" w:before="0"/>
            </w:pPr>
            <w:r/>
            <w:r>
              <w:rPr>
                <w:b w:val="0"/>
              </w:rPr>
              <w:t>Enterprise Systems</w:t>
            </w:r>
          </w:p>
        </w:tc>
        <w:tc>
          <w:tcPr>
            <w:tcW w:type="dxa" w:w="3628"/>
            <w:vAlign w:val="top"/>
          </w:tcPr>
          <w:p>
            <w:pPr>
              <w:spacing w:after="0" w:before="0"/>
            </w:pPr>
            <w:r/>
            <w:r>
              <w:rPr>
                <w:b w:val="0"/>
              </w:rPr>
              <w:t>CMMS (e.g., SAP PM/Maximo), ERP, energy management systems</w:t>
            </w:r>
          </w:p>
        </w:tc>
        <w:tc>
          <w:tcPr>
            <w:tcW w:type="dxa" w:w="3628"/>
            <w:vAlign w:val="top"/>
          </w:tcPr>
          <w:p>
            <w:pPr>
              <w:spacing w:after="0" w:before="0"/>
            </w:pPr>
            <w:r/>
            <w:r>
              <w:rPr>
                <w:b w:val="0"/>
              </w:rPr>
              <w:t>Bidirectional integration via APIs/events for work orders and completion feedback.</w:t>
            </w:r>
          </w:p>
        </w:tc>
      </w:tr>
    </w:tbl>
    <w:p/>
    <w:p>
      <w:r>
        <w:br w:type="page"/>
      </w:r>
    </w:p>
    <w:p>
      <w:pPr>
        <w:pStyle w:val="Heading2"/>
      </w:pPr>
      <w:r>
        <w:t>2.3 Service Interfaces (Suggested)</w:t>
      </w:r>
    </w:p>
    <w:tbl>
      <w:tblPr>
        <w:tblStyle w:val="TableGrid"/>
        <w:tblW w:type="auto" w:w="0"/>
        <w:jc w:val="center"/>
        <w:tblLayout w:type="autofit"/>
        <w:tblLook w:firstColumn="1" w:firstRow="1" w:lastColumn="0" w:lastRow="0" w:noHBand="0" w:noVBand="1" w:val="04A0"/>
      </w:tblPr>
      <w:tblGrid>
        <w:gridCol w:w="3249"/>
        <w:gridCol w:w="3249"/>
        <w:gridCol w:w="3249"/>
      </w:tblGrid>
      <w:tr>
        <w:trPr>
          <w:tblHeader w:val="true"/>
        </w:trPr>
        <w:tc>
          <w:tcPr>
            <w:tcW w:type="dxa" w:w="1814"/>
            <w:shd w:val="clear" w:color="auto" w:fill="1F4E79"/>
            <w:vAlign w:val="center"/>
          </w:tcPr>
          <w:p>
            <w:pPr>
              <w:spacing w:after="0" w:before="0"/>
              <w:jc w:val="center"/>
            </w:pPr>
            <w:r/>
            <w:r>
              <w:rPr>
                <w:b/>
                <w:color w:val="FFFFFF"/>
              </w:rPr>
              <w:t>Service</w:t>
            </w:r>
          </w:p>
        </w:tc>
        <w:tc>
          <w:tcPr>
            <w:tcW w:type="dxa" w:w="3628"/>
            <w:shd w:val="clear" w:color="auto" w:fill="1F4E79"/>
            <w:vAlign w:val="center"/>
          </w:tcPr>
          <w:p>
            <w:pPr>
              <w:spacing w:after="0" w:before="0"/>
              <w:jc w:val="center"/>
            </w:pPr>
            <w:r/>
            <w:r>
              <w:rPr>
                <w:b/>
                <w:color w:val="FFFFFF"/>
              </w:rPr>
              <w:t>Endpoint Examples</w:t>
            </w:r>
          </w:p>
        </w:tc>
        <w:tc>
          <w:tcPr>
            <w:tcW w:type="dxa" w:w="3628"/>
            <w:shd w:val="clear" w:color="auto" w:fill="1F4E79"/>
            <w:vAlign w:val="center"/>
          </w:tcPr>
          <w:p>
            <w:pPr>
              <w:spacing w:after="0" w:before="0"/>
              <w:jc w:val="center"/>
            </w:pPr>
            <w:r/>
            <w:r>
              <w:rPr>
                <w:b/>
                <w:color w:val="FFFFFF"/>
              </w:rPr>
              <w:t>Outputs / Notes</w:t>
            </w:r>
          </w:p>
        </w:tc>
      </w:tr>
      <w:tr>
        <w:tc>
          <w:tcPr>
            <w:tcW w:type="dxa" w:w="1814"/>
            <w:vAlign w:val="top"/>
          </w:tcPr>
          <w:p>
            <w:pPr>
              <w:spacing w:after="0" w:before="0"/>
            </w:pPr>
            <w:r/>
            <w:r>
              <w:rPr>
                <w:b w:val="0"/>
              </w:rPr>
              <w:t>Thermal Engine API</w:t>
            </w:r>
          </w:p>
        </w:tc>
        <w:tc>
          <w:tcPr>
            <w:tcW w:type="dxa" w:w="3628"/>
            <w:vAlign w:val="top"/>
          </w:tcPr>
          <w:p>
            <w:pPr>
              <w:spacing w:after="0" w:before="0"/>
            </w:pPr>
            <w:r/>
            <w:r>
              <w:rPr>
                <w:b w:val="0"/>
              </w:rPr>
              <w:t>/thermal/compute, /thermal/ua, /thermal/epsilon-ntu, /thermal/lmtd</w:t>
            </w:r>
          </w:p>
        </w:tc>
        <w:tc>
          <w:tcPr>
            <w:tcW w:type="dxa" w:w="3628"/>
            <w:vAlign w:val="top"/>
          </w:tcPr>
          <w:p>
            <w:pPr>
              <w:spacing w:after="0" w:before="0"/>
            </w:pPr>
            <w:r/>
            <w:r>
              <w:rPr>
                <w:b w:val="0"/>
              </w:rPr>
              <w:t>Deterministic numeric outputs; unit-validated; returns warnings on invalid/ill-conditioned cases.</w:t>
            </w:r>
          </w:p>
        </w:tc>
      </w:tr>
      <w:tr>
        <w:tc>
          <w:tcPr>
            <w:tcW w:type="dxa" w:w="1814"/>
            <w:vAlign w:val="top"/>
          </w:tcPr>
          <w:p>
            <w:pPr>
              <w:spacing w:after="0" w:before="0"/>
            </w:pPr>
            <w:r/>
            <w:r>
              <w:rPr>
                <w:b w:val="0"/>
              </w:rPr>
              <w:t>Fouling Prediction API</w:t>
            </w:r>
          </w:p>
        </w:tc>
        <w:tc>
          <w:tcPr>
            <w:tcW w:type="dxa" w:w="3628"/>
            <w:vAlign w:val="top"/>
          </w:tcPr>
          <w:p>
            <w:pPr>
              <w:spacing w:after="0" w:before="0"/>
            </w:pPr>
            <w:r/>
            <w:r>
              <w:rPr>
                <w:b w:val="0"/>
              </w:rPr>
              <w:t>/ml/fouling/predict, /ml/fouling/explain</w:t>
            </w:r>
          </w:p>
        </w:tc>
        <w:tc>
          <w:tcPr>
            <w:tcW w:type="dxa" w:w="3628"/>
            <w:vAlign w:val="top"/>
          </w:tcPr>
          <w:p>
            <w:pPr>
              <w:spacing w:after="0" w:before="0"/>
            </w:pPr>
            <w:r/>
            <w:r>
              <w:rPr>
                <w:b w:val="0"/>
              </w:rPr>
              <w:t>Forecast UA or fouling resistance; confidence intervals; SHAP values per prediction.</w:t>
            </w:r>
          </w:p>
        </w:tc>
      </w:tr>
      <w:tr>
        <w:tc>
          <w:tcPr>
            <w:tcW w:type="dxa" w:w="1814"/>
            <w:vAlign w:val="top"/>
          </w:tcPr>
          <w:p>
            <w:pPr>
              <w:spacing w:after="0" w:before="0"/>
            </w:pPr>
            <w:r/>
            <w:r>
              <w:rPr>
                <w:b w:val="0"/>
              </w:rPr>
              <w:t>Optimization API</w:t>
            </w:r>
          </w:p>
        </w:tc>
        <w:tc>
          <w:tcPr>
            <w:tcW w:type="dxa" w:w="3628"/>
            <w:vAlign w:val="top"/>
          </w:tcPr>
          <w:p>
            <w:pPr>
              <w:spacing w:after="0" w:before="0"/>
            </w:pPr>
            <w:r/>
            <w:r>
              <w:rPr>
                <w:b w:val="0"/>
              </w:rPr>
              <w:t>/opt/cleaning/recommend, /opt/cleaning/what-if</w:t>
            </w:r>
          </w:p>
        </w:tc>
        <w:tc>
          <w:tcPr>
            <w:tcW w:type="dxa" w:w="3628"/>
            <w:vAlign w:val="top"/>
          </w:tcPr>
          <w:p>
            <w:pPr>
              <w:spacing w:after="0" w:before="0"/>
            </w:pPr>
            <w:r/>
            <w:r>
              <w:rPr>
                <w:b w:val="0"/>
              </w:rPr>
              <w:t>Recommended windows; expected energy/cost savings; constraints and rationale.</w:t>
            </w:r>
          </w:p>
        </w:tc>
      </w:tr>
      <w:tr>
        <w:tc>
          <w:tcPr>
            <w:tcW w:type="dxa" w:w="1814"/>
            <w:vAlign w:val="top"/>
          </w:tcPr>
          <w:p>
            <w:pPr>
              <w:spacing w:after="0" w:before="0"/>
            </w:pPr>
            <w:r/>
            <w:r>
              <w:rPr>
                <w:b w:val="0"/>
              </w:rPr>
              <w:t>Reporting API</w:t>
            </w:r>
          </w:p>
        </w:tc>
        <w:tc>
          <w:tcPr>
            <w:tcW w:type="dxa" w:w="3628"/>
            <w:vAlign w:val="top"/>
          </w:tcPr>
          <w:p>
            <w:pPr>
              <w:spacing w:after="0" w:before="0"/>
            </w:pPr>
            <w:r/>
            <w:r>
              <w:rPr>
                <w:b w:val="0"/>
              </w:rPr>
              <w:t>/report/daily, /report/monthly, /report/asset/{id}</w:t>
            </w:r>
          </w:p>
        </w:tc>
        <w:tc>
          <w:tcPr>
            <w:tcW w:type="dxa" w:w="3628"/>
            <w:vAlign w:val="top"/>
          </w:tcPr>
          <w:p>
            <w:pPr>
              <w:spacing w:after="0" w:before="0"/>
            </w:pPr>
            <w:r/>
            <w:r>
              <w:rPr>
                <w:b w:val="0"/>
              </w:rPr>
              <w:t>PDF/HTML + JSON summaries; designed for operators and engineers.</w:t>
            </w:r>
          </w:p>
        </w:tc>
      </w:tr>
    </w:tbl>
    <w:p/>
    <w:p>
      <w:pPr>
        <w:pStyle w:val="Heading2"/>
      </w:pPr>
      <w:r>
        <w:t>2.4 Zero-Hallucination Principle (Non-Negotiable)</w:t>
      </w:r>
    </w:p>
    <w:p>
      <w:r>
        <w:t>All heat-transfer and pressure-drop numbers produced by GL-014 must be computed by the deterministic thermal engine. Natural-language generation is permitted only to: (a) describe computed results, (b) summarize model explanations, and (c) format recommendations. The system must prevent an LLM from fabricating numeric values, units, or asset states.</w:t>
      </w:r>
    </w:p>
    <w:p>
      <w:pPr>
        <w:pStyle w:val="ListBullet"/>
      </w:pPr>
      <w:r>
        <w:t>Numerical outputs are produced by code paths with unit tests and benchmark validation; the LLM never computes Q, UA, LMTD, NTU, or ΔP.</w:t>
      </w:r>
    </w:p>
    <w:p>
      <w:pPr>
        <w:pStyle w:val="ListBullet"/>
      </w:pPr>
      <w:r>
        <w:t>Every numeric value shown to users is traceable to a calculation record with input snapshot, algorithm version, and property library version.</w:t>
      </w:r>
    </w:p>
    <w:p>
      <w:pPr>
        <w:pStyle w:val="ListBullet"/>
      </w:pPr>
      <w:r>
        <w:t>If required inputs are missing or physically inconsistent, the agent must return 'insufficient data' rather than guess.</w:t>
      </w:r>
    </w:p>
    <w:p>
      <w:r>
        <w:br w:type="page"/>
      </w:r>
    </w:p>
    <w:p>
      <w:pPr>
        <w:pStyle w:val="Heading1"/>
      </w:pPr>
      <w:r>
        <w:t>3. Data Requirements</w:t>
      </w:r>
    </w:p>
    <w:p>
      <w:r>
        <w:t>GL-014 requires high-quality time-series process data plus static asset metadata and maintenance history. This section defines the minimum and preferred data sets, units, sampling expectations, and quality checks. All data must be mapped to a canonical schema so that the thermal engine, ML models, and optimizer behave consistently across sites.</w:t>
      </w:r>
    </w:p>
    <w:p>
      <w:pPr>
        <w:pStyle w:val="Heading2"/>
      </w:pPr>
      <w:r>
        <w:t>3.1 Asset Master Data (Static)</w:t>
      </w:r>
    </w:p>
    <w:tbl>
      <w:tblPr>
        <w:tblStyle w:val="TableGrid"/>
        <w:tblW w:type="auto" w:w="0"/>
        <w:jc w:val="center"/>
        <w:tblLayout w:type="autofit"/>
        <w:tblLook w:firstColumn="1" w:firstRow="1" w:lastColumn="0" w:lastRow="0" w:noHBand="0" w:noVBand="1" w:val="04A0"/>
      </w:tblPr>
      <w:tblGrid>
        <w:gridCol w:w="3249"/>
        <w:gridCol w:w="3249"/>
        <w:gridCol w:w="3249"/>
      </w:tblGrid>
      <w:tr>
        <w:trPr>
          <w:tblHeader w:val="true"/>
        </w:trPr>
        <w:tc>
          <w:tcPr>
            <w:tcW w:type="dxa" w:w="2948"/>
            <w:shd w:val="clear" w:color="auto" w:fill="1F4E79"/>
            <w:vAlign w:val="center"/>
          </w:tcPr>
          <w:p>
            <w:pPr>
              <w:spacing w:after="0" w:before="0"/>
              <w:jc w:val="center"/>
            </w:pPr>
            <w:r/>
            <w:r>
              <w:rPr>
                <w:b/>
                <w:color w:val="FFFFFF"/>
              </w:rPr>
              <w:t>Data Element</w:t>
            </w:r>
          </w:p>
        </w:tc>
        <w:tc>
          <w:tcPr>
            <w:tcW w:type="dxa" w:w="4762"/>
            <w:shd w:val="clear" w:color="auto" w:fill="1F4E79"/>
            <w:vAlign w:val="center"/>
          </w:tcPr>
          <w:p>
            <w:pPr>
              <w:spacing w:after="0" w:before="0"/>
              <w:jc w:val="center"/>
            </w:pPr>
            <w:r/>
            <w:r>
              <w:rPr>
                <w:b/>
                <w:color w:val="FFFFFF"/>
              </w:rPr>
              <w:t>Examples / Notes</w:t>
            </w:r>
          </w:p>
        </w:tc>
        <w:tc>
          <w:tcPr>
            <w:tcW w:type="dxa" w:w="1361"/>
            <w:shd w:val="clear" w:color="auto" w:fill="1F4E79"/>
            <w:vAlign w:val="center"/>
          </w:tcPr>
          <w:p>
            <w:pPr>
              <w:spacing w:after="0" w:before="0"/>
              <w:jc w:val="center"/>
            </w:pPr>
            <w:r/>
            <w:r>
              <w:rPr>
                <w:b/>
                <w:color w:val="FFFFFF"/>
              </w:rPr>
              <w:t>Required?</w:t>
            </w:r>
          </w:p>
        </w:tc>
      </w:tr>
      <w:tr>
        <w:tc>
          <w:tcPr>
            <w:tcW w:type="dxa" w:w="2948"/>
            <w:vAlign w:val="top"/>
          </w:tcPr>
          <w:p>
            <w:pPr>
              <w:spacing w:after="0" w:before="0"/>
            </w:pPr>
            <w:r/>
            <w:r>
              <w:rPr>
                <w:b w:val="0"/>
              </w:rPr>
              <w:t>Asset ID and hierarchy</w:t>
            </w:r>
          </w:p>
        </w:tc>
        <w:tc>
          <w:tcPr>
            <w:tcW w:type="dxa" w:w="4762"/>
            <w:vAlign w:val="top"/>
          </w:tcPr>
          <w:p>
            <w:pPr>
              <w:spacing w:after="0" w:before="0"/>
            </w:pPr>
            <w:r/>
            <w:r>
              <w:rPr>
                <w:b w:val="0"/>
              </w:rPr>
              <w:t>Plant/area/unit/exchanger; consistent with historian and CMMS</w:t>
            </w:r>
          </w:p>
        </w:tc>
        <w:tc>
          <w:tcPr>
            <w:tcW w:type="dxa" w:w="1361"/>
            <w:vAlign w:val="top"/>
          </w:tcPr>
          <w:p>
            <w:pPr>
              <w:spacing w:after="0" w:before="0"/>
            </w:pPr>
            <w:r/>
            <w:r>
              <w:rPr>
                <w:b w:val="0"/>
              </w:rPr>
              <w:t>Required</w:t>
            </w:r>
          </w:p>
        </w:tc>
      </w:tr>
      <w:tr>
        <w:tc>
          <w:tcPr>
            <w:tcW w:type="dxa" w:w="2948"/>
            <w:vAlign w:val="top"/>
          </w:tcPr>
          <w:p>
            <w:pPr>
              <w:spacing w:after="0" w:before="0"/>
            </w:pPr>
            <w:r/>
            <w:r>
              <w:rPr>
                <w:b w:val="0"/>
              </w:rPr>
              <w:t>Exchanger type</w:t>
            </w:r>
          </w:p>
        </w:tc>
        <w:tc>
          <w:tcPr>
            <w:tcW w:type="dxa" w:w="4762"/>
            <w:vAlign w:val="top"/>
          </w:tcPr>
          <w:p>
            <w:pPr>
              <w:spacing w:after="0" w:before="0"/>
            </w:pPr>
            <w:r/>
            <w:r>
              <w:rPr>
                <w:b w:val="0"/>
              </w:rPr>
              <w:t>Shell-and-tube, plate, air cooler (if later extended)</w:t>
            </w:r>
          </w:p>
        </w:tc>
        <w:tc>
          <w:tcPr>
            <w:tcW w:type="dxa" w:w="1361"/>
            <w:vAlign w:val="top"/>
          </w:tcPr>
          <w:p>
            <w:pPr>
              <w:spacing w:after="0" w:before="0"/>
            </w:pPr>
            <w:r/>
            <w:r>
              <w:rPr>
                <w:b w:val="0"/>
              </w:rPr>
              <w:t>Required</w:t>
            </w:r>
          </w:p>
        </w:tc>
      </w:tr>
      <w:tr>
        <w:tc>
          <w:tcPr>
            <w:tcW w:type="dxa" w:w="2948"/>
            <w:vAlign w:val="top"/>
          </w:tcPr>
          <w:p>
            <w:pPr>
              <w:spacing w:after="0" w:before="0"/>
            </w:pPr>
            <w:r/>
            <w:r>
              <w:rPr>
                <w:b w:val="0"/>
              </w:rPr>
              <w:t>TEMA configuration (if S&amp;T)</w:t>
            </w:r>
          </w:p>
        </w:tc>
        <w:tc>
          <w:tcPr>
            <w:tcW w:type="dxa" w:w="4762"/>
            <w:vAlign w:val="top"/>
          </w:tcPr>
          <w:p>
            <w:pPr>
              <w:spacing w:after="0" w:before="0"/>
            </w:pPr>
            <w:r/>
            <w:r>
              <w:rPr>
                <w:b w:val="0"/>
              </w:rPr>
              <w:t>Shell type (E/F/G/H/J/K/X), tube passes, baffle type/cut/spacing</w:t>
            </w:r>
          </w:p>
        </w:tc>
        <w:tc>
          <w:tcPr>
            <w:tcW w:type="dxa" w:w="1361"/>
            <w:vAlign w:val="top"/>
          </w:tcPr>
          <w:p>
            <w:pPr>
              <w:spacing w:after="0" w:before="0"/>
            </w:pPr>
            <w:r/>
            <w:r>
              <w:rPr>
                <w:b w:val="0"/>
              </w:rPr>
              <w:t>Required for S&amp;T</w:t>
            </w:r>
          </w:p>
        </w:tc>
      </w:tr>
      <w:tr>
        <w:tc>
          <w:tcPr>
            <w:tcW w:type="dxa" w:w="2948"/>
            <w:vAlign w:val="top"/>
          </w:tcPr>
          <w:p>
            <w:pPr>
              <w:spacing w:after="0" w:before="0"/>
            </w:pPr>
            <w:r/>
            <w:r>
              <w:rPr>
                <w:b w:val="0"/>
              </w:rPr>
              <w:t>Heat transfer area (A)</w:t>
            </w:r>
          </w:p>
        </w:tc>
        <w:tc>
          <w:tcPr>
            <w:tcW w:type="dxa" w:w="4762"/>
            <w:vAlign w:val="top"/>
          </w:tcPr>
          <w:p>
            <w:pPr>
              <w:spacing w:after="0" w:before="0"/>
            </w:pPr>
            <w:r/>
            <w:r>
              <w:rPr>
                <w:b w:val="0"/>
              </w:rPr>
              <w:t>Total effective area; clean basis</w:t>
            </w:r>
          </w:p>
        </w:tc>
        <w:tc>
          <w:tcPr>
            <w:tcW w:type="dxa" w:w="1361"/>
            <w:vAlign w:val="top"/>
          </w:tcPr>
          <w:p>
            <w:pPr>
              <w:spacing w:after="0" w:before="0"/>
            </w:pPr>
            <w:r/>
            <w:r>
              <w:rPr>
                <w:b w:val="0"/>
              </w:rPr>
              <w:t>Required</w:t>
            </w:r>
          </w:p>
        </w:tc>
      </w:tr>
      <w:tr>
        <w:tc>
          <w:tcPr>
            <w:tcW w:type="dxa" w:w="2948"/>
            <w:vAlign w:val="top"/>
          </w:tcPr>
          <w:p>
            <w:pPr>
              <w:spacing w:after="0" w:before="0"/>
            </w:pPr>
            <w:r/>
            <w:r>
              <w:rPr>
                <w:b w:val="0"/>
              </w:rPr>
              <w:t>Tube and shell dimensions</w:t>
            </w:r>
          </w:p>
        </w:tc>
        <w:tc>
          <w:tcPr>
            <w:tcW w:type="dxa" w:w="4762"/>
            <w:vAlign w:val="top"/>
          </w:tcPr>
          <w:p>
            <w:pPr>
              <w:spacing w:after="0" w:before="0"/>
            </w:pPr>
            <w:r/>
            <w:r>
              <w:rPr>
                <w:b w:val="0"/>
              </w:rPr>
              <w:t>Tube OD/ID, length, count; shell ID; pitch; layout</w:t>
            </w:r>
          </w:p>
        </w:tc>
        <w:tc>
          <w:tcPr>
            <w:tcW w:type="dxa" w:w="1361"/>
            <w:vAlign w:val="top"/>
          </w:tcPr>
          <w:p>
            <w:pPr>
              <w:spacing w:after="0" w:before="0"/>
            </w:pPr>
            <w:r/>
            <w:r>
              <w:rPr>
                <w:b w:val="0"/>
              </w:rPr>
              <w:t>Required for ΔP fidelity</w:t>
            </w:r>
          </w:p>
        </w:tc>
      </w:tr>
      <w:tr>
        <w:tc>
          <w:tcPr>
            <w:tcW w:type="dxa" w:w="2948"/>
            <w:vAlign w:val="top"/>
          </w:tcPr>
          <w:p>
            <w:pPr>
              <w:spacing w:after="0" w:before="0"/>
            </w:pPr>
            <w:r/>
            <w:r>
              <w:rPr>
                <w:b w:val="0"/>
              </w:rPr>
              <w:t>Materials and wall thickness</w:t>
            </w:r>
          </w:p>
        </w:tc>
        <w:tc>
          <w:tcPr>
            <w:tcW w:type="dxa" w:w="4762"/>
            <w:vAlign w:val="top"/>
          </w:tcPr>
          <w:p>
            <w:pPr>
              <w:spacing w:after="0" w:before="0"/>
            </w:pPr>
            <w:r/>
            <w:r>
              <w:rPr>
                <w:b w:val="0"/>
              </w:rPr>
              <w:t>For thermal resistance and corrosion context</w:t>
            </w:r>
          </w:p>
        </w:tc>
        <w:tc>
          <w:tcPr>
            <w:tcW w:type="dxa" w:w="1361"/>
            <w:vAlign w:val="top"/>
          </w:tcPr>
          <w:p>
            <w:pPr>
              <w:spacing w:after="0" w:before="0"/>
            </w:pPr>
            <w:r/>
            <w:r>
              <w:rPr>
                <w:b w:val="0"/>
              </w:rPr>
              <w:t>Preferred</w:t>
            </w:r>
          </w:p>
        </w:tc>
      </w:tr>
      <w:tr>
        <w:tc>
          <w:tcPr>
            <w:tcW w:type="dxa" w:w="2948"/>
            <w:vAlign w:val="top"/>
          </w:tcPr>
          <w:p>
            <w:pPr>
              <w:spacing w:after="0" w:before="0"/>
            </w:pPr>
            <w:r/>
            <w:r>
              <w:rPr>
                <w:b w:val="0"/>
              </w:rPr>
              <w:t>Design conditions</w:t>
            </w:r>
          </w:p>
        </w:tc>
        <w:tc>
          <w:tcPr>
            <w:tcW w:type="dxa" w:w="4762"/>
            <w:vAlign w:val="top"/>
          </w:tcPr>
          <w:p>
            <w:pPr>
              <w:spacing w:after="0" w:before="0"/>
            </w:pPr>
            <w:r/>
            <w:r>
              <w:rPr>
                <w:b w:val="0"/>
              </w:rPr>
              <w:t>Design flows, temperatures, allowable ΔP, design U/UA</w:t>
            </w:r>
          </w:p>
        </w:tc>
        <w:tc>
          <w:tcPr>
            <w:tcW w:type="dxa" w:w="1361"/>
            <w:vAlign w:val="top"/>
          </w:tcPr>
          <w:p>
            <w:pPr>
              <w:spacing w:after="0" w:before="0"/>
            </w:pPr>
            <w:r/>
            <w:r>
              <w:rPr>
                <w:b w:val="0"/>
              </w:rPr>
              <w:t>Preferred</w:t>
            </w:r>
          </w:p>
        </w:tc>
      </w:tr>
      <w:tr>
        <w:tc>
          <w:tcPr>
            <w:tcW w:type="dxa" w:w="2948"/>
            <w:vAlign w:val="top"/>
          </w:tcPr>
          <w:p>
            <w:pPr>
              <w:spacing w:after="0" w:before="0"/>
            </w:pPr>
            <w:r/>
            <w:r>
              <w:rPr>
                <w:b w:val="0"/>
              </w:rPr>
              <w:t>Design fouling factors</w:t>
            </w:r>
          </w:p>
        </w:tc>
        <w:tc>
          <w:tcPr>
            <w:tcW w:type="dxa" w:w="4762"/>
            <w:vAlign w:val="top"/>
          </w:tcPr>
          <w:p>
            <w:pPr>
              <w:spacing w:after="0" w:before="0"/>
            </w:pPr>
            <w:r/>
            <w:r>
              <w:rPr>
                <w:b w:val="0"/>
              </w:rPr>
              <w:t>Baseline Rf_hot / Rf_cold assumptions</w:t>
            </w:r>
          </w:p>
        </w:tc>
        <w:tc>
          <w:tcPr>
            <w:tcW w:type="dxa" w:w="1361"/>
            <w:vAlign w:val="top"/>
          </w:tcPr>
          <w:p>
            <w:pPr>
              <w:spacing w:after="0" w:before="0"/>
            </w:pPr>
            <w:r/>
            <w:r>
              <w:rPr>
                <w:b w:val="0"/>
              </w:rPr>
              <w:t>Preferred</w:t>
            </w:r>
          </w:p>
        </w:tc>
      </w:tr>
      <w:tr>
        <w:tc>
          <w:tcPr>
            <w:tcW w:type="dxa" w:w="2948"/>
            <w:vAlign w:val="top"/>
          </w:tcPr>
          <w:p>
            <w:pPr>
              <w:spacing w:after="0" w:before="0"/>
            </w:pPr>
            <w:r/>
            <w:r>
              <w:rPr>
                <w:b w:val="0"/>
              </w:rPr>
              <w:t>Instrumentation mapping</w:t>
            </w:r>
          </w:p>
        </w:tc>
        <w:tc>
          <w:tcPr>
            <w:tcW w:type="dxa" w:w="4762"/>
            <w:vAlign w:val="top"/>
          </w:tcPr>
          <w:p>
            <w:pPr>
              <w:spacing w:after="0" w:before="0"/>
            </w:pPr>
            <w:r/>
            <w:r>
              <w:rPr>
                <w:b w:val="0"/>
              </w:rPr>
              <w:t>Tag list for T/P/flow and where measured</w:t>
            </w:r>
          </w:p>
        </w:tc>
        <w:tc>
          <w:tcPr>
            <w:tcW w:type="dxa" w:w="1361"/>
            <w:vAlign w:val="top"/>
          </w:tcPr>
          <w:p>
            <w:pPr>
              <w:spacing w:after="0" w:before="0"/>
            </w:pPr>
            <w:r/>
            <w:r>
              <w:rPr>
                <w:b w:val="0"/>
              </w:rPr>
              <w:t>Required</w:t>
            </w:r>
          </w:p>
        </w:tc>
      </w:tr>
      <w:tr>
        <w:tc>
          <w:tcPr>
            <w:tcW w:type="dxa" w:w="2948"/>
            <w:vAlign w:val="top"/>
          </w:tcPr>
          <w:p>
            <w:pPr>
              <w:spacing w:after="0" w:before="0"/>
            </w:pPr>
            <w:r/>
            <w:r>
              <w:rPr>
                <w:b w:val="0"/>
              </w:rPr>
              <w:t>Bypass/recirculation configuration</w:t>
            </w:r>
          </w:p>
        </w:tc>
        <w:tc>
          <w:tcPr>
            <w:tcW w:type="dxa" w:w="4762"/>
            <w:vAlign w:val="top"/>
          </w:tcPr>
          <w:p>
            <w:pPr>
              <w:spacing w:after="0" w:before="0"/>
            </w:pPr>
            <w:r/>
            <w:r>
              <w:rPr>
                <w:b w:val="0"/>
              </w:rPr>
              <w:t>If bypass exists; valve positions if available</w:t>
            </w:r>
          </w:p>
        </w:tc>
        <w:tc>
          <w:tcPr>
            <w:tcW w:type="dxa" w:w="1361"/>
            <w:vAlign w:val="top"/>
          </w:tcPr>
          <w:p>
            <w:pPr>
              <w:spacing w:after="0" w:before="0"/>
            </w:pPr>
            <w:r/>
            <w:r>
              <w:rPr>
                <w:b w:val="0"/>
              </w:rPr>
              <w:t>Preferred</w:t>
            </w:r>
          </w:p>
        </w:tc>
      </w:tr>
    </w:tbl>
    <w:p/>
    <w:p>
      <w:pPr>
        <w:pStyle w:val="Heading2"/>
      </w:pPr>
      <w:r>
        <w:t>3.2 Online Process Measurements (Time-Series)</w:t>
      </w:r>
    </w:p>
    <w:p>
      <w:r>
        <w:t>Minimum viable inputs (per exchanger):</w:t>
      </w:r>
    </w:p>
    <w:tbl>
      <w:tblPr>
        <w:tblStyle w:val="TableGrid"/>
        <w:tblW w:type="auto" w:w="0"/>
        <w:jc w:val="center"/>
        <w:tblLayout w:type="autofit"/>
        <w:tblLook w:firstColumn="1" w:firstRow="1" w:lastColumn="0" w:lastRow="0" w:noHBand="0" w:noVBand="1" w:val="04A0"/>
      </w:tblPr>
      <w:tblGrid>
        <w:gridCol w:w="2436"/>
        <w:gridCol w:w="2436"/>
        <w:gridCol w:w="2436"/>
        <w:gridCol w:w="2436"/>
      </w:tblGrid>
      <w:tr>
        <w:trPr>
          <w:tblHeader w:val="true"/>
        </w:trPr>
        <w:tc>
          <w:tcPr>
            <w:tcW w:type="dxa" w:w="2835"/>
            <w:shd w:val="clear" w:color="auto" w:fill="1F4E79"/>
            <w:vAlign w:val="center"/>
          </w:tcPr>
          <w:p>
            <w:pPr>
              <w:spacing w:after="0" w:before="0"/>
              <w:jc w:val="center"/>
            </w:pPr>
            <w:r/>
            <w:r>
              <w:rPr>
                <w:b/>
                <w:color w:val="FFFFFF"/>
              </w:rPr>
              <w:t>Signal</w:t>
            </w:r>
          </w:p>
        </w:tc>
        <w:tc>
          <w:tcPr>
            <w:tcW w:type="dxa" w:w="2891"/>
            <w:shd w:val="clear" w:color="auto" w:fill="1F4E79"/>
            <w:vAlign w:val="center"/>
          </w:tcPr>
          <w:p>
            <w:pPr>
              <w:spacing w:after="0" w:before="0"/>
              <w:jc w:val="center"/>
            </w:pPr>
            <w:r/>
            <w:r>
              <w:rPr>
                <w:b/>
                <w:color w:val="FFFFFF"/>
              </w:rPr>
              <w:t>Where</w:t>
            </w:r>
          </w:p>
        </w:tc>
        <w:tc>
          <w:tcPr>
            <w:tcW w:type="dxa" w:w="1587"/>
            <w:shd w:val="clear" w:color="auto" w:fill="1F4E79"/>
            <w:vAlign w:val="center"/>
          </w:tcPr>
          <w:p>
            <w:pPr>
              <w:spacing w:after="0" w:before="0"/>
              <w:jc w:val="center"/>
            </w:pPr>
            <w:r/>
            <w:r>
              <w:rPr>
                <w:b/>
                <w:color w:val="FFFFFF"/>
              </w:rPr>
              <w:t>Units</w:t>
            </w:r>
          </w:p>
        </w:tc>
        <w:tc>
          <w:tcPr>
            <w:tcW w:type="dxa" w:w="1757"/>
            <w:shd w:val="clear" w:color="auto" w:fill="1F4E79"/>
            <w:vAlign w:val="center"/>
          </w:tcPr>
          <w:p>
            <w:pPr>
              <w:spacing w:after="0" w:before="0"/>
              <w:jc w:val="center"/>
            </w:pPr>
            <w:r/>
            <w:r>
              <w:rPr>
                <w:b/>
                <w:color w:val="FFFFFF"/>
              </w:rPr>
              <w:t>Required?</w:t>
            </w:r>
          </w:p>
        </w:tc>
      </w:tr>
      <w:tr>
        <w:tc>
          <w:tcPr>
            <w:tcW w:type="dxa" w:w="2835"/>
            <w:vAlign w:val="top"/>
          </w:tcPr>
          <w:p>
            <w:pPr>
              <w:spacing w:after="0" w:before="0"/>
            </w:pPr>
            <w:r/>
            <w:r>
              <w:rPr>
                <w:b w:val="0"/>
              </w:rPr>
              <w:t>Hot-side inlet temperature (T_h,in)</w:t>
            </w:r>
          </w:p>
        </w:tc>
        <w:tc>
          <w:tcPr>
            <w:tcW w:type="dxa" w:w="2891"/>
            <w:vAlign w:val="top"/>
          </w:tcPr>
          <w:p>
            <w:pPr>
              <w:spacing w:after="0" w:before="0"/>
            </w:pPr>
            <w:r/>
            <w:r>
              <w:rPr>
                <w:b w:val="0"/>
              </w:rPr>
              <w:t>Upstream nozzle or line</w:t>
            </w:r>
          </w:p>
        </w:tc>
        <w:tc>
          <w:tcPr>
            <w:tcW w:type="dxa" w:w="1587"/>
            <w:vAlign w:val="top"/>
          </w:tcPr>
          <w:p>
            <w:pPr>
              <w:spacing w:after="0" w:before="0"/>
            </w:pPr>
            <w:r/>
            <w:r>
              <w:rPr>
                <w:b w:val="0"/>
              </w:rPr>
              <w:t>°C or K</w:t>
            </w:r>
          </w:p>
        </w:tc>
        <w:tc>
          <w:tcPr>
            <w:tcW w:type="dxa" w:w="1757"/>
            <w:vAlign w:val="top"/>
          </w:tcPr>
          <w:p>
            <w:pPr>
              <w:spacing w:after="0" w:before="0"/>
            </w:pPr>
            <w:r/>
            <w:r>
              <w:rPr>
                <w:b w:val="0"/>
              </w:rPr>
              <w:t>Required</w:t>
            </w:r>
          </w:p>
        </w:tc>
      </w:tr>
      <w:tr>
        <w:tc>
          <w:tcPr>
            <w:tcW w:type="dxa" w:w="2835"/>
            <w:vAlign w:val="top"/>
          </w:tcPr>
          <w:p>
            <w:pPr>
              <w:spacing w:after="0" w:before="0"/>
            </w:pPr>
            <w:r/>
            <w:r>
              <w:rPr>
                <w:b w:val="0"/>
              </w:rPr>
              <w:t>Hot-side outlet temperature (T_h,out)</w:t>
            </w:r>
          </w:p>
        </w:tc>
        <w:tc>
          <w:tcPr>
            <w:tcW w:type="dxa" w:w="2891"/>
            <w:vAlign w:val="top"/>
          </w:tcPr>
          <w:p>
            <w:pPr>
              <w:spacing w:after="0" w:before="0"/>
            </w:pPr>
            <w:r/>
            <w:r>
              <w:rPr>
                <w:b w:val="0"/>
              </w:rPr>
              <w:t>Downstream nozzle or line</w:t>
            </w:r>
          </w:p>
        </w:tc>
        <w:tc>
          <w:tcPr>
            <w:tcW w:type="dxa" w:w="1587"/>
            <w:vAlign w:val="top"/>
          </w:tcPr>
          <w:p>
            <w:pPr>
              <w:spacing w:after="0" w:before="0"/>
            </w:pPr>
            <w:r/>
            <w:r>
              <w:rPr>
                <w:b w:val="0"/>
              </w:rPr>
              <w:t>°C or K</w:t>
            </w:r>
          </w:p>
        </w:tc>
        <w:tc>
          <w:tcPr>
            <w:tcW w:type="dxa" w:w="1757"/>
            <w:vAlign w:val="top"/>
          </w:tcPr>
          <w:p>
            <w:pPr>
              <w:spacing w:after="0" w:before="0"/>
            </w:pPr>
            <w:r/>
            <w:r>
              <w:rPr>
                <w:b w:val="0"/>
              </w:rPr>
              <w:t>Required</w:t>
            </w:r>
          </w:p>
        </w:tc>
      </w:tr>
      <w:tr>
        <w:tc>
          <w:tcPr>
            <w:tcW w:type="dxa" w:w="2835"/>
            <w:vAlign w:val="top"/>
          </w:tcPr>
          <w:p>
            <w:pPr>
              <w:spacing w:after="0" w:before="0"/>
            </w:pPr>
            <w:r/>
            <w:r>
              <w:rPr>
                <w:b w:val="0"/>
              </w:rPr>
              <w:t>Cold-side inlet temperature (T_c,in)</w:t>
            </w:r>
          </w:p>
        </w:tc>
        <w:tc>
          <w:tcPr>
            <w:tcW w:type="dxa" w:w="2891"/>
            <w:vAlign w:val="top"/>
          </w:tcPr>
          <w:p>
            <w:pPr>
              <w:spacing w:after="0" w:before="0"/>
            </w:pPr>
            <w:r/>
            <w:r>
              <w:rPr>
                <w:b w:val="0"/>
              </w:rPr>
              <w:t>Upstream nozzle or line</w:t>
            </w:r>
          </w:p>
        </w:tc>
        <w:tc>
          <w:tcPr>
            <w:tcW w:type="dxa" w:w="1587"/>
            <w:vAlign w:val="top"/>
          </w:tcPr>
          <w:p>
            <w:pPr>
              <w:spacing w:after="0" w:before="0"/>
            </w:pPr>
            <w:r/>
            <w:r>
              <w:rPr>
                <w:b w:val="0"/>
              </w:rPr>
              <w:t>°C or K</w:t>
            </w:r>
          </w:p>
        </w:tc>
        <w:tc>
          <w:tcPr>
            <w:tcW w:type="dxa" w:w="1757"/>
            <w:vAlign w:val="top"/>
          </w:tcPr>
          <w:p>
            <w:pPr>
              <w:spacing w:after="0" w:before="0"/>
            </w:pPr>
            <w:r/>
            <w:r>
              <w:rPr>
                <w:b w:val="0"/>
              </w:rPr>
              <w:t>Required</w:t>
            </w:r>
          </w:p>
        </w:tc>
      </w:tr>
      <w:tr>
        <w:tc>
          <w:tcPr>
            <w:tcW w:type="dxa" w:w="2835"/>
            <w:vAlign w:val="top"/>
          </w:tcPr>
          <w:p>
            <w:pPr>
              <w:spacing w:after="0" w:before="0"/>
            </w:pPr>
            <w:r/>
            <w:r>
              <w:rPr>
                <w:b w:val="0"/>
              </w:rPr>
              <w:t>Cold-side outlet temperature (T_c,out)</w:t>
            </w:r>
          </w:p>
        </w:tc>
        <w:tc>
          <w:tcPr>
            <w:tcW w:type="dxa" w:w="2891"/>
            <w:vAlign w:val="top"/>
          </w:tcPr>
          <w:p>
            <w:pPr>
              <w:spacing w:after="0" w:before="0"/>
            </w:pPr>
            <w:r/>
            <w:r>
              <w:rPr>
                <w:b w:val="0"/>
              </w:rPr>
              <w:t>Downstream nozzle or line</w:t>
            </w:r>
          </w:p>
        </w:tc>
        <w:tc>
          <w:tcPr>
            <w:tcW w:type="dxa" w:w="1587"/>
            <w:vAlign w:val="top"/>
          </w:tcPr>
          <w:p>
            <w:pPr>
              <w:spacing w:after="0" w:before="0"/>
            </w:pPr>
            <w:r/>
            <w:r>
              <w:rPr>
                <w:b w:val="0"/>
              </w:rPr>
              <w:t>°C or K</w:t>
            </w:r>
          </w:p>
        </w:tc>
        <w:tc>
          <w:tcPr>
            <w:tcW w:type="dxa" w:w="1757"/>
            <w:vAlign w:val="top"/>
          </w:tcPr>
          <w:p>
            <w:pPr>
              <w:spacing w:after="0" w:before="0"/>
            </w:pPr>
            <w:r/>
            <w:r>
              <w:rPr>
                <w:b w:val="0"/>
              </w:rPr>
              <w:t>Required</w:t>
            </w:r>
          </w:p>
        </w:tc>
      </w:tr>
      <w:tr>
        <w:tc>
          <w:tcPr>
            <w:tcW w:type="dxa" w:w="2835"/>
            <w:vAlign w:val="top"/>
          </w:tcPr>
          <w:p>
            <w:pPr>
              <w:spacing w:after="0" w:before="0"/>
            </w:pPr>
            <w:r/>
            <w:r>
              <w:rPr>
                <w:b w:val="0"/>
              </w:rPr>
              <w:t>Hot-side flow rate</w:t>
            </w:r>
          </w:p>
        </w:tc>
        <w:tc>
          <w:tcPr>
            <w:tcW w:type="dxa" w:w="2891"/>
            <w:vAlign w:val="top"/>
          </w:tcPr>
          <w:p>
            <w:pPr>
              <w:spacing w:after="0" w:before="0"/>
            </w:pPr>
            <w:r/>
            <w:r>
              <w:rPr>
                <w:b w:val="0"/>
              </w:rPr>
              <w:t>Mass preferred; otherwise volumetric + density</w:t>
            </w:r>
          </w:p>
        </w:tc>
        <w:tc>
          <w:tcPr>
            <w:tcW w:type="dxa" w:w="1587"/>
            <w:vAlign w:val="top"/>
          </w:tcPr>
          <w:p>
            <w:pPr>
              <w:spacing w:after="0" w:before="0"/>
            </w:pPr>
            <w:r/>
            <w:r>
              <w:rPr>
                <w:b w:val="0"/>
              </w:rPr>
              <w:t>kg/s or m³/h</w:t>
            </w:r>
          </w:p>
        </w:tc>
        <w:tc>
          <w:tcPr>
            <w:tcW w:type="dxa" w:w="1757"/>
            <w:vAlign w:val="top"/>
          </w:tcPr>
          <w:p>
            <w:pPr>
              <w:spacing w:after="0" w:before="0"/>
            </w:pPr>
            <w:r/>
            <w:r>
              <w:rPr>
                <w:b w:val="0"/>
              </w:rPr>
              <w:t>Required</w:t>
            </w:r>
          </w:p>
        </w:tc>
      </w:tr>
      <w:tr>
        <w:tc>
          <w:tcPr>
            <w:tcW w:type="dxa" w:w="2835"/>
            <w:vAlign w:val="top"/>
          </w:tcPr>
          <w:p>
            <w:pPr>
              <w:spacing w:after="0" w:before="0"/>
            </w:pPr>
            <w:r/>
            <w:r>
              <w:rPr>
                <w:b w:val="0"/>
              </w:rPr>
              <w:t>Cold-side flow rate</w:t>
            </w:r>
          </w:p>
        </w:tc>
        <w:tc>
          <w:tcPr>
            <w:tcW w:type="dxa" w:w="2891"/>
            <w:vAlign w:val="top"/>
          </w:tcPr>
          <w:p>
            <w:pPr>
              <w:spacing w:after="0" w:before="0"/>
            </w:pPr>
            <w:r/>
            <w:r>
              <w:rPr>
                <w:b w:val="0"/>
              </w:rPr>
              <w:t>Mass preferred; otherwise volumetric + density</w:t>
            </w:r>
          </w:p>
        </w:tc>
        <w:tc>
          <w:tcPr>
            <w:tcW w:type="dxa" w:w="1587"/>
            <w:vAlign w:val="top"/>
          </w:tcPr>
          <w:p>
            <w:pPr>
              <w:spacing w:after="0" w:before="0"/>
            </w:pPr>
            <w:r/>
            <w:r>
              <w:rPr>
                <w:b w:val="0"/>
              </w:rPr>
              <w:t>kg/s or m³/h</w:t>
            </w:r>
          </w:p>
        </w:tc>
        <w:tc>
          <w:tcPr>
            <w:tcW w:type="dxa" w:w="1757"/>
            <w:vAlign w:val="top"/>
          </w:tcPr>
          <w:p>
            <w:pPr>
              <w:spacing w:after="0" w:before="0"/>
            </w:pPr>
            <w:r/>
            <w:r>
              <w:rPr>
                <w:b w:val="0"/>
              </w:rPr>
              <w:t>Required</w:t>
            </w:r>
          </w:p>
        </w:tc>
      </w:tr>
      <w:tr>
        <w:tc>
          <w:tcPr>
            <w:tcW w:type="dxa" w:w="2835"/>
            <w:vAlign w:val="top"/>
          </w:tcPr>
          <w:p>
            <w:pPr>
              <w:spacing w:after="0" w:before="0"/>
            </w:pPr>
            <w:r/>
            <w:r>
              <w:rPr>
                <w:b w:val="0"/>
              </w:rPr>
              <w:t>Hot-side pressure drop (ΔP_h) or P_in/P_out</w:t>
            </w:r>
          </w:p>
        </w:tc>
        <w:tc>
          <w:tcPr>
            <w:tcW w:type="dxa" w:w="2891"/>
            <w:vAlign w:val="top"/>
          </w:tcPr>
          <w:p>
            <w:pPr>
              <w:spacing w:after="0" w:before="0"/>
            </w:pPr>
            <w:r/>
            <w:r>
              <w:rPr>
                <w:b w:val="0"/>
              </w:rPr>
              <w:t>Across exchanger hot side</w:t>
            </w:r>
          </w:p>
        </w:tc>
        <w:tc>
          <w:tcPr>
            <w:tcW w:type="dxa" w:w="1587"/>
            <w:vAlign w:val="top"/>
          </w:tcPr>
          <w:p>
            <w:pPr>
              <w:spacing w:after="0" w:before="0"/>
            </w:pPr>
            <w:r/>
            <w:r>
              <w:rPr>
                <w:b w:val="0"/>
              </w:rPr>
              <w:t>kPa or bar</w:t>
            </w:r>
          </w:p>
        </w:tc>
        <w:tc>
          <w:tcPr>
            <w:tcW w:type="dxa" w:w="1757"/>
            <w:vAlign w:val="top"/>
          </w:tcPr>
          <w:p>
            <w:pPr>
              <w:spacing w:after="0" w:before="0"/>
            </w:pPr>
            <w:r/>
            <w:r>
              <w:rPr>
                <w:b w:val="0"/>
              </w:rPr>
              <w:t>Required for ΔP monitoring; optional for thermal-only</w:t>
            </w:r>
          </w:p>
        </w:tc>
      </w:tr>
      <w:tr>
        <w:tc>
          <w:tcPr>
            <w:tcW w:type="dxa" w:w="2835"/>
            <w:vAlign w:val="top"/>
          </w:tcPr>
          <w:p>
            <w:pPr>
              <w:spacing w:after="0" w:before="0"/>
            </w:pPr>
            <w:r/>
            <w:r>
              <w:rPr>
                <w:b w:val="0"/>
              </w:rPr>
              <w:t>Cold-side pressure drop (ΔP_c) or P_in/P_out</w:t>
            </w:r>
          </w:p>
        </w:tc>
        <w:tc>
          <w:tcPr>
            <w:tcW w:type="dxa" w:w="2891"/>
            <w:vAlign w:val="top"/>
          </w:tcPr>
          <w:p>
            <w:pPr>
              <w:spacing w:after="0" w:before="0"/>
            </w:pPr>
            <w:r/>
            <w:r>
              <w:rPr>
                <w:b w:val="0"/>
              </w:rPr>
              <w:t>Across exchanger cold side</w:t>
            </w:r>
          </w:p>
        </w:tc>
        <w:tc>
          <w:tcPr>
            <w:tcW w:type="dxa" w:w="1587"/>
            <w:vAlign w:val="top"/>
          </w:tcPr>
          <w:p>
            <w:pPr>
              <w:spacing w:after="0" w:before="0"/>
            </w:pPr>
            <w:r/>
            <w:r>
              <w:rPr>
                <w:b w:val="0"/>
              </w:rPr>
              <w:t>kPa or bar</w:t>
            </w:r>
          </w:p>
        </w:tc>
        <w:tc>
          <w:tcPr>
            <w:tcW w:type="dxa" w:w="1757"/>
            <w:vAlign w:val="top"/>
          </w:tcPr>
          <w:p>
            <w:pPr>
              <w:spacing w:after="0" w:before="0"/>
            </w:pPr>
            <w:r/>
            <w:r>
              <w:rPr>
                <w:b w:val="0"/>
              </w:rPr>
              <w:t>Required for ΔP monitoring; optional for thermal-only</w:t>
            </w:r>
          </w:p>
        </w:tc>
      </w:tr>
      <w:tr>
        <w:tc>
          <w:tcPr>
            <w:tcW w:type="dxa" w:w="2835"/>
            <w:vAlign w:val="top"/>
          </w:tcPr>
          <w:p>
            <w:pPr>
              <w:spacing w:after="0" w:before="0"/>
            </w:pPr>
            <w:r/>
            <w:r>
              <w:rPr>
                <w:b w:val="0"/>
              </w:rPr>
              <w:t>Operating state / availability</w:t>
            </w:r>
          </w:p>
        </w:tc>
        <w:tc>
          <w:tcPr>
            <w:tcW w:type="dxa" w:w="2891"/>
            <w:vAlign w:val="top"/>
          </w:tcPr>
          <w:p>
            <w:pPr>
              <w:spacing w:after="0" w:before="0"/>
            </w:pPr>
            <w:r/>
            <w:r>
              <w:rPr>
                <w:b w:val="0"/>
              </w:rPr>
              <w:t>Run/stop, bypass open, alarms</w:t>
            </w:r>
          </w:p>
        </w:tc>
        <w:tc>
          <w:tcPr>
            <w:tcW w:type="dxa" w:w="1587"/>
            <w:vAlign w:val="top"/>
          </w:tcPr>
          <w:p>
            <w:pPr>
              <w:spacing w:after="0" w:before="0"/>
            </w:pPr>
            <w:r/>
            <w:r>
              <w:rPr>
                <w:b w:val="0"/>
              </w:rPr>
              <w:t>Boolean / enum</w:t>
            </w:r>
          </w:p>
        </w:tc>
        <w:tc>
          <w:tcPr>
            <w:tcW w:type="dxa" w:w="1757"/>
            <w:vAlign w:val="top"/>
          </w:tcPr>
          <w:p>
            <w:pPr>
              <w:spacing w:after="0" w:before="0"/>
            </w:pPr>
            <w:r/>
            <w:r>
              <w:rPr>
                <w:b w:val="0"/>
              </w:rPr>
              <w:t>Required</w:t>
            </w:r>
          </w:p>
        </w:tc>
      </w:tr>
    </w:tbl>
    <w:p/>
    <w:p>
      <w:r>
        <w:t>Preferred additional signals (improve accuracy and model performance):</w:t>
      </w:r>
    </w:p>
    <w:tbl>
      <w:tblPr>
        <w:tblStyle w:val="TableGrid"/>
        <w:tblW w:type="auto" w:w="0"/>
        <w:jc w:val="center"/>
        <w:tblLayout w:type="autofit"/>
        <w:tblLook w:firstColumn="1" w:firstRow="1" w:lastColumn="0" w:lastRow="0" w:noHBand="0" w:noVBand="1" w:val="04A0"/>
      </w:tblPr>
      <w:tblGrid>
        <w:gridCol w:w="3249"/>
        <w:gridCol w:w="3249"/>
        <w:gridCol w:w="3249"/>
      </w:tblGrid>
      <w:tr>
        <w:trPr>
          <w:tblHeader w:val="true"/>
        </w:trPr>
        <w:tc>
          <w:tcPr>
            <w:tcW w:type="dxa" w:w="2835"/>
            <w:shd w:val="clear" w:color="auto" w:fill="1F4E79"/>
            <w:vAlign w:val="center"/>
          </w:tcPr>
          <w:p>
            <w:pPr>
              <w:spacing w:after="0" w:before="0"/>
              <w:jc w:val="center"/>
            </w:pPr>
            <w:r/>
            <w:r>
              <w:rPr>
                <w:b/>
                <w:color w:val="FFFFFF"/>
              </w:rPr>
              <w:t>Signal</w:t>
            </w:r>
          </w:p>
        </w:tc>
        <w:tc>
          <w:tcPr>
            <w:tcW w:type="dxa" w:w="4989"/>
            <w:shd w:val="clear" w:color="auto" w:fill="1F4E79"/>
            <w:vAlign w:val="center"/>
          </w:tcPr>
          <w:p>
            <w:pPr>
              <w:spacing w:after="0" w:before="0"/>
              <w:jc w:val="center"/>
            </w:pPr>
            <w:r/>
            <w:r>
              <w:rPr>
                <w:b/>
                <w:color w:val="FFFFFF"/>
              </w:rPr>
              <w:t>Why it matters</w:t>
            </w:r>
          </w:p>
        </w:tc>
        <w:tc>
          <w:tcPr>
            <w:tcW w:type="dxa" w:w="1247"/>
            <w:shd w:val="clear" w:color="auto" w:fill="1F4E79"/>
            <w:vAlign w:val="center"/>
          </w:tcPr>
          <w:p>
            <w:pPr>
              <w:spacing w:after="0" w:before="0"/>
              <w:jc w:val="center"/>
            </w:pPr>
            <w:r/>
            <w:r>
              <w:rPr>
                <w:b/>
                <w:color w:val="FFFFFF"/>
              </w:rPr>
              <w:t>Units</w:t>
            </w:r>
          </w:p>
        </w:tc>
      </w:tr>
      <w:tr>
        <w:tc>
          <w:tcPr>
            <w:tcW w:type="dxa" w:w="2835"/>
            <w:vAlign w:val="top"/>
          </w:tcPr>
          <w:p>
            <w:pPr>
              <w:spacing w:after="0" w:before="0"/>
            </w:pPr>
            <w:r/>
            <w:r>
              <w:rPr>
                <w:b w:val="0"/>
              </w:rPr>
              <w:t>Fluid composition or key analyzers</w:t>
            </w:r>
          </w:p>
        </w:tc>
        <w:tc>
          <w:tcPr>
            <w:tcW w:type="dxa" w:w="4989"/>
            <w:vAlign w:val="top"/>
          </w:tcPr>
          <w:p>
            <w:pPr>
              <w:spacing w:after="0" w:before="0"/>
            </w:pPr>
            <w:r/>
            <w:r>
              <w:rPr>
                <w:b w:val="0"/>
              </w:rPr>
              <w:t>Property estimation and fouling mechanism context</w:t>
            </w:r>
          </w:p>
        </w:tc>
        <w:tc>
          <w:tcPr>
            <w:tcW w:type="dxa" w:w="1247"/>
            <w:vAlign w:val="top"/>
          </w:tcPr>
          <w:p>
            <w:pPr>
              <w:spacing w:after="0" w:before="0"/>
            </w:pPr>
            <w:r/>
            <w:r>
              <w:rPr>
                <w:b w:val="0"/>
              </w:rPr>
              <w:t>%, ppm, etc.</w:t>
            </w:r>
          </w:p>
        </w:tc>
      </w:tr>
      <w:tr>
        <w:tc>
          <w:tcPr>
            <w:tcW w:type="dxa" w:w="2835"/>
            <w:vAlign w:val="top"/>
          </w:tcPr>
          <w:p>
            <w:pPr>
              <w:spacing w:after="0" w:before="0"/>
            </w:pPr>
            <w:r/>
            <w:r>
              <w:rPr>
                <w:b w:val="0"/>
              </w:rPr>
              <w:t>Density, viscosity, Cp, thermal conductivity</w:t>
            </w:r>
          </w:p>
        </w:tc>
        <w:tc>
          <w:tcPr>
            <w:tcW w:type="dxa" w:w="4989"/>
            <w:vAlign w:val="top"/>
          </w:tcPr>
          <w:p>
            <w:pPr>
              <w:spacing w:after="0" w:before="0"/>
            </w:pPr>
            <w:r/>
            <w:r>
              <w:rPr>
                <w:b w:val="0"/>
              </w:rPr>
              <w:t>Direct property inputs reduce uncertainty</w:t>
            </w:r>
          </w:p>
        </w:tc>
        <w:tc>
          <w:tcPr>
            <w:tcW w:type="dxa" w:w="1247"/>
            <w:vAlign w:val="top"/>
          </w:tcPr>
          <w:p>
            <w:pPr>
              <w:spacing w:after="0" w:before="0"/>
            </w:pPr>
            <w:r/>
            <w:r>
              <w:rPr>
                <w:b w:val="0"/>
              </w:rPr>
              <w:t>SI units</w:t>
            </w:r>
          </w:p>
        </w:tc>
      </w:tr>
      <w:tr>
        <w:tc>
          <w:tcPr>
            <w:tcW w:type="dxa" w:w="2835"/>
            <w:vAlign w:val="top"/>
          </w:tcPr>
          <w:p>
            <w:pPr>
              <w:spacing w:after="0" w:before="0"/>
            </w:pPr>
            <w:r/>
            <w:r>
              <w:rPr>
                <w:b w:val="0"/>
              </w:rPr>
              <w:t>Valve positions / bypass fraction</w:t>
            </w:r>
          </w:p>
        </w:tc>
        <w:tc>
          <w:tcPr>
            <w:tcW w:type="dxa" w:w="4989"/>
            <w:vAlign w:val="top"/>
          </w:tcPr>
          <w:p>
            <w:pPr>
              <w:spacing w:after="0" w:before="0"/>
            </w:pPr>
            <w:r/>
            <w:r>
              <w:rPr>
                <w:b w:val="0"/>
              </w:rPr>
              <w:t>Correctly attributes performance changes to exchanger vs routing</w:t>
            </w:r>
          </w:p>
        </w:tc>
        <w:tc>
          <w:tcPr>
            <w:tcW w:type="dxa" w:w="1247"/>
            <w:vAlign w:val="top"/>
          </w:tcPr>
          <w:p>
            <w:pPr>
              <w:spacing w:after="0" w:before="0"/>
            </w:pPr>
            <w:r/>
            <w:r>
              <w:rPr>
                <w:b w:val="0"/>
              </w:rPr>
              <w:t>% open</w:t>
            </w:r>
          </w:p>
        </w:tc>
      </w:tr>
      <w:tr>
        <w:tc>
          <w:tcPr>
            <w:tcW w:type="dxa" w:w="2835"/>
            <w:vAlign w:val="top"/>
          </w:tcPr>
          <w:p>
            <w:pPr>
              <w:spacing w:after="0" w:before="0"/>
            </w:pPr>
            <w:r/>
            <w:r>
              <w:rPr>
                <w:b w:val="0"/>
              </w:rPr>
              <w:t>Fouling indicators</w:t>
            </w:r>
          </w:p>
        </w:tc>
        <w:tc>
          <w:tcPr>
            <w:tcW w:type="dxa" w:w="4989"/>
            <w:vAlign w:val="top"/>
          </w:tcPr>
          <w:p>
            <w:pPr>
              <w:spacing w:after="0" w:before="0"/>
            </w:pPr>
            <w:r/>
            <w:r>
              <w:rPr>
                <w:b w:val="0"/>
              </w:rPr>
              <w:t>Differential temperature approach, ΔP trends, vibration/flow noise</w:t>
            </w:r>
          </w:p>
        </w:tc>
        <w:tc>
          <w:tcPr>
            <w:tcW w:type="dxa" w:w="1247"/>
            <w:vAlign w:val="top"/>
          </w:tcPr>
          <w:p>
            <w:pPr>
              <w:spacing w:after="0" w:before="0"/>
            </w:pPr>
            <w:r/>
            <w:r>
              <w:rPr>
                <w:b w:val="0"/>
              </w:rPr>
              <w:t>Varies</w:t>
            </w:r>
          </w:p>
        </w:tc>
      </w:tr>
      <w:tr>
        <w:tc>
          <w:tcPr>
            <w:tcW w:type="dxa" w:w="2835"/>
            <w:vAlign w:val="top"/>
          </w:tcPr>
          <w:p>
            <w:pPr>
              <w:spacing w:after="0" w:before="0"/>
            </w:pPr>
            <w:r/>
            <w:r>
              <w:rPr>
                <w:b w:val="0"/>
              </w:rPr>
              <w:t>Ambient temperature (if air coolers later)</w:t>
            </w:r>
          </w:p>
        </w:tc>
        <w:tc>
          <w:tcPr>
            <w:tcW w:type="dxa" w:w="4989"/>
            <w:vAlign w:val="top"/>
          </w:tcPr>
          <w:p>
            <w:pPr>
              <w:spacing w:after="0" w:before="0"/>
            </w:pPr>
            <w:r/>
            <w:r>
              <w:rPr>
                <w:b w:val="0"/>
              </w:rPr>
              <w:t>Impact on duty and effectiveness</w:t>
            </w:r>
          </w:p>
        </w:tc>
        <w:tc>
          <w:tcPr>
            <w:tcW w:type="dxa" w:w="1247"/>
            <w:vAlign w:val="top"/>
          </w:tcPr>
          <w:p>
            <w:pPr>
              <w:spacing w:after="0" w:before="0"/>
            </w:pPr>
            <w:r/>
            <w:r>
              <w:rPr>
                <w:b w:val="0"/>
              </w:rPr>
              <w:t>°C</w:t>
            </w:r>
          </w:p>
        </w:tc>
      </w:tr>
      <w:tr>
        <w:tc>
          <w:tcPr>
            <w:tcW w:type="dxa" w:w="2835"/>
            <w:vAlign w:val="top"/>
          </w:tcPr>
          <w:p>
            <w:pPr>
              <w:spacing w:after="0" w:before="0"/>
            </w:pPr>
            <w:r/>
            <w:r>
              <w:rPr>
                <w:b w:val="0"/>
              </w:rPr>
              <w:t>Pump/fan power</w:t>
            </w:r>
          </w:p>
        </w:tc>
        <w:tc>
          <w:tcPr>
            <w:tcW w:type="dxa" w:w="4989"/>
            <w:vAlign w:val="top"/>
          </w:tcPr>
          <w:p>
            <w:pPr>
              <w:spacing w:after="0" w:before="0"/>
            </w:pPr>
            <w:r/>
            <w:r>
              <w:rPr>
                <w:b w:val="0"/>
              </w:rPr>
              <w:t>Energy accounting and constraint checks</w:t>
            </w:r>
          </w:p>
        </w:tc>
        <w:tc>
          <w:tcPr>
            <w:tcW w:type="dxa" w:w="1247"/>
            <w:vAlign w:val="top"/>
          </w:tcPr>
          <w:p>
            <w:pPr>
              <w:spacing w:after="0" w:before="0"/>
            </w:pPr>
            <w:r/>
            <w:r>
              <w:rPr>
                <w:b w:val="0"/>
              </w:rPr>
              <w:t>kW</w:t>
            </w:r>
          </w:p>
        </w:tc>
      </w:tr>
    </w:tbl>
    <w:p/>
    <w:p>
      <w:pPr>
        <w:pStyle w:val="Heading2"/>
      </w:pPr>
      <w:r>
        <w:t>3.3 Maintenance and Cleaning History (CMMS + Operator Logs)</w:t>
      </w:r>
    </w:p>
    <w:tbl>
      <w:tblPr>
        <w:tblStyle w:val="TableGrid"/>
        <w:tblW w:type="auto" w:w="0"/>
        <w:jc w:val="center"/>
        <w:tblLayout w:type="autofit"/>
        <w:tblLook w:firstColumn="1" w:firstRow="1" w:lastColumn="0" w:lastRow="0" w:noHBand="0" w:noVBand="1" w:val="04A0"/>
      </w:tblPr>
      <w:tblGrid>
        <w:gridCol w:w="3249"/>
        <w:gridCol w:w="3249"/>
        <w:gridCol w:w="3249"/>
      </w:tblGrid>
      <w:tr>
        <w:trPr>
          <w:tblHeader w:val="true"/>
        </w:trPr>
        <w:tc>
          <w:tcPr>
            <w:tcW w:type="dxa" w:w="2835"/>
            <w:shd w:val="clear" w:color="auto" w:fill="1F4E79"/>
            <w:vAlign w:val="center"/>
          </w:tcPr>
          <w:p>
            <w:pPr>
              <w:spacing w:after="0" w:before="0"/>
              <w:jc w:val="center"/>
            </w:pPr>
            <w:r/>
            <w:r>
              <w:rPr>
                <w:b/>
                <w:color w:val="FFFFFF"/>
              </w:rPr>
              <w:t>Data Element</w:t>
            </w:r>
          </w:p>
        </w:tc>
        <w:tc>
          <w:tcPr>
            <w:tcW w:type="dxa" w:w="4989"/>
            <w:shd w:val="clear" w:color="auto" w:fill="1F4E79"/>
            <w:vAlign w:val="center"/>
          </w:tcPr>
          <w:p>
            <w:pPr>
              <w:spacing w:after="0" w:before="0"/>
              <w:jc w:val="center"/>
            </w:pPr>
            <w:r/>
            <w:r>
              <w:rPr>
                <w:b/>
                <w:color w:val="FFFFFF"/>
              </w:rPr>
              <w:t>Examples</w:t>
            </w:r>
          </w:p>
        </w:tc>
        <w:tc>
          <w:tcPr>
            <w:tcW w:type="dxa" w:w="1247"/>
            <w:shd w:val="clear" w:color="auto" w:fill="1F4E79"/>
            <w:vAlign w:val="center"/>
          </w:tcPr>
          <w:p>
            <w:pPr>
              <w:spacing w:after="0" w:before="0"/>
              <w:jc w:val="center"/>
            </w:pPr>
            <w:r/>
            <w:r>
              <w:rPr>
                <w:b/>
                <w:color w:val="FFFFFF"/>
              </w:rPr>
              <w:t>Required?</w:t>
            </w:r>
          </w:p>
        </w:tc>
      </w:tr>
      <w:tr>
        <w:tc>
          <w:tcPr>
            <w:tcW w:type="dxa" w:w="2835"/>
            <w:vAlign w:val="top"/>
          </w:tcPr>
          <w:p>
            <w:pPr>
              <w:spacing w:after="0" w:before="0"/>
            </w:pPr>
            <w:r/>
            <w:r>
              <w:rPr>
                <w:b w:val="0"/>
              </w:rPr>
              <w:t>Cleaning event timestamps</w:t>
            </w:r>
          </w:p>
        </w:tc>
        <w:tc>
          <w:tcPr>
            <w:tcW w:type="dxa" w:w="4989"/>
            <w:vAlign w:val="top"/>
          </w:tcPr>
          <w:p>
            <w:pPr>
              <w:spacing w:after="0" w:before="0"/>
            </w:pPr>
            <w:r/>
            <w:r>
              <w:rPr>
                <w:b w:val="0"/>
              </w:rPr>
              <w:t>Start/end, duration, exchanger offline time</w:t>
            </w:r>
          </w:p>
        </w:tc>
        <w:tc>
          <w:tcPr>
            <w:tcW w:type="dxa" w:w="1247"/>
            <w:vAlign w:val="top"/>
          </w:tcPr>
          <w:p>
            <w:pPr>
              <w:spacing w:after="0" w:before="0"/>
            </w:pPr>
            <w:r/>
            <w:r>
              <w:rPr>
                <w:b w:val="0"/>
              </w:rPr>
              <w:t>Required</w:t>
            </w:r>
          </w:p>
        </w:tc>
      </w:tr>
      <w:tr>
        <w:tc>
          <w:tcPr>
            <w:tcW w:type="dxa" w:w="2835"/>
            <w:vAlign w:val="top"/>
          </w:tcPr>
          <w:p>
            <w:pPr>
              <w:spacing w:after="0" w:before="0"/>
            </w:pPr>
            <w:r/>
            <w:r>
              <w:rPr>
                <w:b w:val="0"/>
              </w:rPr>
              <w:t>Cleaning method</w:t>
            </w:r>
          </w:p>
        </w:tc>
        <w:tc>
          <w:tcPr>
            <w:tcW w:type="dxa" w:w="4989"/>
            <w:vAlign w:val="top"/>
          </w:tcPr>
          <w:p>
            <w:pPr>
              <w:spacing w:after="0" w:before="0"/>
            </w:pPr>
            <w:r/>
            <w:r>
              <w:rPr>
                <w:b w:val="0"/>
              </w:rPr>
              <w:t>Chemical, hydroblast, mechanical, CIP, pigging</w:t>
            </w:r>
          </w:p>
        </w:tc>
        <w:tc>
          <w:tcPr>
            <w:tcW w:type="dxa" w:w="1247"/>
            <w:vAlign w:val="top"/>
          </w:tcPr>
          <w:p>
            <w:pPr>
              <w:spacing w:after="0" w:before="0"/>
            </w:pPr>
            <w:r/>
            <w:r>
              <w:rPr>
                <w:b w:val="0"/>
              </w:rPr>
              <w:t>Required</w:t>
            </w:r>
          </w:p>
        </w:tc>
      </w:tr>
      <w:tr>
        <w:tc>
          <w:tcPr>
            <w:tcW w:type="dxa" w:w="2835"/>
            <w:vAlign w:val="top"/>
          </w:tcPr>
          <w:p>
            <w:pPr>
              <w:spacing w:after="0" w:before="0"/>
            </w:pPr>
            <w:r/>
            <w:r>
              <w:rPr>
                <w:b w:val="0"/>
              </w:rPr>
              <w:t>Cleaning effectiveness</w:t>
            </w:r>
          </w:p>
        </w:tc>
        <w:tc>
          <w:tcPr>
            <w:tcW w:type="dxa" w:w="4989"/>
            <w:vAlign w:val="top"/>
          </w:tcPr>
          <w:p>
            <w:pPr>
              <w:spacing w:after="0" w:before="0"/>
            </w:pPr>
            <w:r/>
            <w:r>
              <w:rPr>
                <w:b w:val="0"/>
              </w:rPr>
              <w:t>Post-clean UA recovery %, inspection notes</w:t>
            </w:r>
          </w:p>
        </w:tc>
        <w:tc>
          <w:tcPr>
            <w:tcW w:type="dxa" w:w="1247"/>
            <w:vAlign w:val="top"/>
          </w:tcPr>
          <w:p>
            <w:pPr>
              <w:spacing w:after="0" w:before="0"/>
            </w:pPr>
            <w:r/>
            <w:r>
              <w:rPr>
                <w:b w:val="0"/>
              </w:rPr>
              <w:t>Preferred</w:t>
            </w:r>
          </w:p>
        </w:tc>
      </w:tr>
      <w:tr>
        <w:tc>
          <w:tcPr>
            <w:tcW w:type="dxa" w:w="2835"/>
            <w:vAlign w:val="top"/>
          </w:tcPr>
          <w:p>
            <w:pPr>
              <w:spacing w:after="0" w:before="0"/>
            </w:pPr>
            <w:r/>
            <w:r>
              <w:rPr>
                <w:b w:val="0"/>
              </w:rPr>
              <w:t>As-found condition</w:t>
            </w:r>
          </w:p>
        </w:tc>
        <w:tc>
          <w:tcPr>
            <w:tcW w:type="dxa" w:w="4989"/>
            <w:vAlign w:val="top"/>
          </w:tcPr>
          <w:p>
            <w:pPr>
              <w:spacing w:after="0" w:before="0"/>
            </w:pPr>
            <w:r/>
            <w:r>
              <w:rPr>
                <w:b w:val="0"/>
              </w:rPr>
              <w:t>Deposit type, thickness, mass, photographs</w:t>
            </w:r>
          </w:p>
        </w:tc>
        <w:tc>
          <w:tcPr>
            <w:tcW w:type="dxa" w:w="1247"/>
            <w:vAlign w:val="top"/>
          </w:tcPr>
          <w:p>
            <w:pPr>
              <w:spacing w:after="0" w:before="0"/>
            </w:pPr>
            <w:r/>
            <w:r>
              <w:rPr>
                <w:b w:val="0"/>
              </w:rPr>
              <w:t>Preferred</w:t>
            </w:r>
          </w:p>
        </w:tc>
      </w:tr>
      <w:tr>
        <w:tc>
          <w:tcPr>
            <w:tcW w:type="dxa" w:w="2835"/>
            <w:vAlign w:val="top"/>
          </w:tcPr>
          <w:p>
            <w:pPr>
              <w:spacing w:after="0" w:before="0"/>
            </w:pPr>
            <w:r/>
            <w:r>
              <w:rPr>
                <w:b w:val="0"/>
              </w:rPr>
              <w:t>Work order linkage</w:t>
            </w:r>
          </w:p>
        </w:tc>
        <w:tc>
          <w:tcPr>
            <w:tcW w:type="dxa" w:w="4989"/>
            <w:vAlign w:val="top"/>
          </w:tcPr>
          <w:p>
            <w:pPr>
              <w:spacing w:after="0" w:before="0"/>
            </w:pPr>
            <w:r/>
            <w:r>
              <w:rPr>
                <w:b w:val="0"/>
              </w:rPr>
              <w:t>CMMS work order ID, cost, labor hours</w:t>
            </w:r>
          </w:p>
        </w:tc>
        <w:tc>
          <w:tcPr>
            <w:tcW w:type="dxa" w:w="1247"/>
            <w:vAlign w:val="top"/>
          </w:tcPr>
          <w:p>
            <w:pPr>
              <w:spacing w:after="0" w:before="0"/>
            </w:pPr>
            <w:r/>
            <w:r>
              <w:rPr>
                <w:b w:val="0"/>
              </w:rPr>
              <w:t>Preferred</w:t>
            </w:r>
          </w:p>
        </w:tc>
      </w:tr>
      <w:tr>
        <w:tc>
          <w:tcPr>
            <w:tcW w:type="dxa" w:w="2835"/>
            <w:vAlign w:val="top"/>
          </w:tcPr>
          <w:p>
            <w:pPr>
              <w:spacing w:after="0" w:before="0"/>
            </w:pPr>
            <w:r/>
            <w:r>
              <w:rPr>
                <w:b w:val="0"/>
              </w:rPr>
              <w:t>Inspection / thickness / corrosion findings</w:t>
            </w:r>
          </w:p>
        </w:tc>
        <w:tc>
          <w:tcPr>
            <w:tcW w:type="dxa" w:w="4989"/>
            <w:vAlign w:val="top"/>
          </w:tcPr>
          <w:p>
            <w:pPr>
              <w:spacing w:after="0" w:before="0"/>
            </w:pPr>
            <w:r/>
            <w:r>
              <w:rPr>
                <w:b w:val="0"/>
              </w:rPr>
              <w:t>Tube plugging, leaks, bundle replacement</w:t>
            </w:r>
          </w:p>
        </w:tc>
        <w:tc>
          <w:tcPr>
            <w:tcW w:type="dxa" w:w="1247"/>
            <w:vAlign w:val="top"/>
          </w:tcPr>
          <w:p>
            <w:pPr>
              <w:spacing w:after="0" w:before="0"/>
            </w:pPr>
            <w:r/>
            <w:r>
              <w:rPr>
                <w:b w:val="0"/>
              </w:rPr>
              <w:t>Preferred</w:t>
            </w:r>
          </w:p>
        </w:tc>
      </w:tr>
    </w:tbl>
    <w:p/>
    <w:p>
      <w:pPr>
        <w:pStyle w:val="Heading2"/>
      </w:pPr>
      <w:r>
        <w:t>3.4 Data Quality Requirements</w:t>
      </w:r>
    </w:p>
    <w:p>
      <w:pPr>
        <w:pStyle w:val="ListBullet"/>
      </w:pPr>
      <w:r>
        <w:t>Time alignment: all tags must be timestamped in a consistent time base (UTC recommended) with known latency.</w:t>
      </w:r>
    </w:p>
    <w:p>
      <w:pPr>
        <w:pStyle w:val="ListBullet"/>
      </w:pPr>
      <w:r>
        <w:t>Units: enforce unit normalization at ingestion (do not mix °C/°F, bar/kPa, m³/h/kg/s).</w:t>
      </w:r>
    </w:p>
    <w:p>
      <w:pPr>
        <w:pStyle w:val="ListBullet"/>
      </w:pPr>
      <w:r>
        <w:t>Sampling: 1–5 minute aggregation is typically sufficient for monitoring; keep raw high-frequency data if available for diagnostics.</w:t>
      </w:r>
    </w:p>
    <w:p>
      <w:pPr>
        <w:pStyle w:val="ListBullet"/>
      </w:pPr>
      <w:r>
        <w:t>Sensor validation: detect stuck sensors, spikes, drift, and implausible ranges; quarantine bad data from ML training.</w:t>
      </w:r>
    </w:p>
    <w:p>
      <w:pPr>
        <w:pStyle w:val="ListBullet"/>
      </w:pPr>
      <w:r>
        <w:t>Physical consistency: enforce energy balance checks between hot and cold sides; flag deviations for instrumentation review.</w:t>
      </w:r>
    </w:p>
    <w:p>
      <w:pPr>
        <w:pStyle w:val="ListBullet"/>
      </w:pPr>
      <w:r>
        <w:t>Data lineage: every computed KPI must link back to raw tag sources and transformation code versions.</w:t>
      </w:r>
    </w:p>
    <w:p>
      <w:pPr>
        <w:pStyle w:val="Heading2"/>
      </w:pPr>
      <w:r>
        <w:t>3.5 Canonical Data Model (Recommended)</w:t>
      </w:r>
    </w:p>
    <w:p>
      <w:r>
        <w:t>Standardize on a canonical schema to reduce site-specific logic. Suggested high-level entities:</w:t>
      </w:r>
    </w:p>
    <w:p>
      <w:pPr>
        <w:pStyle w:val="ListBullet"/>
      </w:pPr>
      <w:r>
        <w:t>Asset: static exchanger metadata and configuration</w:t>
      </w:r>
    </w:p>
    <w:p>
      <w:pPr>
        <w:pStyle w:val="ListBullet"/>
      </w:pPr>
      <w:r>
        <w:t>TimeseriesPoint: timestamped measurements (tag, value, unit, quality)</w:t>
      </w:r>
    </w:p>
    <w:p>
      <w:pPr>
        <w:pStyle w:val="ListBullet"/>
      </w:pPr>
      <w:r>
        <w:t>OperatingContext: unit rate, product grade, ambient conditions, energy price</w:t>
      </w:r>
    </w:p>
    <w:p>
      <w:pPr>
        <w:pStyle w:val="ListBullet"/>
      </w:pPr>
      <w:r>
        <w:t>MaintenanceEvent: cleaning/inspection events with CMMS linkage</w:t>
      </w:r>
    </w:p>
    <w:p>
      <w:pPr>
        <w:pStyle w:val="ListBullet"/>
      </w:pPr>
      <w:r>
        <w:t>ComputationRecord: inputs + outputs + versions for determinism/auditability</w:t>
      </w:r>
    </w:p>
    <w:p>
      <w:r>
        <w:br w:type="page"/>
      </w:r>
    </w:p>
    <w:p>
      <w:pPr>
        <w:pStyle w:val="Heading1"/>
      </w:pPr>
      <w:r>
        <w:t>4. Thermal Engineering, Mathematics, and Deterministic Calculations</w:t>
      </w:r>
    </w:p>
    <w:p>
      <w:r>
        <w:t>This section defines the physics and mathematics GL-014 must implement. All computations must be deterministic, unit-consistent, numerically stable, and validated against benchmarks. Where possible, GL-014 should compute the same KPI via two independent methods (e.g., epsilon-NTU and LMTD) to detect instrumentation drift.</w:t>
      </w:r>
    </w:p>
    <w:p>
      <w:pPr>
        <w:pStyle w:val="Heading2"/>
      </w:pPr>
      <w:r>
        <w:t>4.1 Core Thermal KPIs</w:t>
      </w:r>
    </w:p>
    <w:p>
      <w:pPr>
        <w:pStyle w:val="ListBullet"/>
      </w:pPr>
      <w:r>
        <w:t>Heat duty (Q) on each side and reconciled Q</w:t>
      </w:r>
    </w:p>
    <w:p>
      <w:pPr>
        <w:pStyle w:val="ListBullet"/>
      </w:pPr>
      <w:r>
        <w:t>Overall heat transfer conductance (UA) and UA degradation over time</w:t>
      </w:r>
    </w:p>
    <w:p>
      <w:pPr>
        <w:pStyle w:val="ListBullet"/>
      </w:pPr>
      <w:r>
        <w:t>Log mean temperature difference (LMTD) with correction factor (F) where applicable</w:t>
      </w:r>
    </w:p>
    <w:p>
      <w:pPr>
        <w:pStyle w:val="ListBullet"/>
      </w:pPr>
      <w:r>
        <w:t>Effectiveness (epsilon) and number of transfer units (NTU)</w:t>
      </w:r>
    </w:p>
    <w:p>
      <w:pPr>
        <w:pStyle w:val="ListBullet"/>
      </w:pPr>
      <w:r>
        <w:t>Capacity rates (C_h, C_c), C_min, C_max, capacity ratio (C_r)</w:t>
      </w:r>
    </w:p>
    <w:p>
      <w:pPr>
        <w:pStyle w:val="ListBullet"/>
      </w:pPr>
      <w:r>
        <w:t>Thermal approach temperatures (terminal temperature differences)</w:t>
      </w:r>
    </w:p>
    <w:p>
      <w:pPr>
        <w:pStyle w:val="ListBullet"/>
      </w:pPr>
      <w:r>
        <w:t>Pressure drop (ΔP) on hot and cold sides; ΔP degradation over time</w:t>
      </w:r>
    </w:p>
    <w:p>
      <w:pPr>
        <w:pStyle w:val="ListBullet"/>
      </w:pPr>
      <w:r>
        <w:t>Fouling resistance proxies (Rf) and fouling growth rate estimates</w:t>
      </w:r>
    </w:p>
    <w:p>
      <w:pPr>
        <w:pStyle w:val="Heading2"/>
      </w:pPr>
      <w:r>
        <w:t>4.2 Heat Duty and Energy Balance</w:t>
      </w:r>
    </w:p>
    <w:p>
      <w:r>
        <w:t>Single-phase baseline (both sides single-phase):</w:t>
      </w:r>
    </w:p>
    <w:p>
      <w:r>
        <w:t>Q_hot = m_dot_h * Cp_h * (T_h,in - T_h,out)</w:t>
        <w:br/>
        <w:t>Q_cold = m_dot_c * Cp_c * (T_c,out - T_c,in)</w:t>
      </w:r>
    </w:p>
    <w:p>
      <w:r>
        <w:t>Reconciliation rules (recommended):</w:t>
        <w:br/>
        <w:t>• If |Q_hot - Q_cold| / max(|Q_hot|, |Q_cold|) &lt;= tolerance (e.g., 5–10%), set Q = (Q_hot + Q_cold) / 2.</w:t>
        <w:br/>
        <w:t>• Otherwise, flag an 'energy imbalance' diagnostic and select Q using a weighted approach (higher weight to the side with more reliable instrumentation), or run a constrained data reconciliation step if the site requires it.</w:t>
      </w:r>
    </w:p>
    <w:p>
      <w:r>
        <w:t>Phase-change handling (extension, often required in refineries/chemical plants):</w:t>
      </w:r>
    </w:p>
    <w:p>
      <w:pPr>
        <w:pStyle w:val="ListBullet"/>
      </w:pPr>
      <w:r>
        <w:t>If one side condenses/boils, Cp-based duty is invalid. Use enthalpy-based duty: Q = m_dot * (h_out - h_in).</w:t>
      </w:r>
    </w:p>
    <w:p>
      <w:pPr>
        <w:pStyle w:val="ListBullet"/>
      </w:pPr>
      <w:r>
        <w:t>If temperature is nearly constant on the phase-change side, LMTD is well-behaved but capacity-rate definitions change; implement configuration-specific epsilon-NTU formulas or default to UA-LMTD with validated property calls.</w:t>
      </w:r>
    </w:p>
    <w:p>
      <w:pPr>
        <w:pStyle w:val="Heading2"/>
      </w:pPr>
      <w:r>
        <w:t>4.3 LMTD Analysis</w:t>
      </w:r>
    </w:p>
    <w:p>
      <w:r>
        <w:t>For a two-stream exchanger, define terminal temperature differences (example for counter-current flow):</w:t>
      </w:r>
    </w:p>
    <w:p>
      <w:r>
        <w:t>ΔT1 = T_h,in  - T_c,out</w:t>
        <w:br/>
        <w:t>ΔT2 = T_h,out - T_c,in</w:t>
      </w:r>
    </w:p>
    <w:p>
      <w:r>
        <w:t>LMTD = (ΔT1 - ΔT2) / ln(ΔT1 / ΔT2)</w:t>
        <w:br/>
        <w:t>Special cases:</w:t>
        <w:br/>
        <w:t>• If ΔT1 ≈ ΔT2, use the limit LMTD → ΔT1 (or ΔT2) to avoid numerical instability.</w:t>
        <w:br/>
        <w:t>• If ΔT1 and ΔT2 have opposite signs (temperature cross), flag as 'temperature cross'; require engineering review or correct flow arrangement assumptions.</w:t>
      </w:r>
    </w:p>
    <w:p>
      <w:r>
        <w:t>Heat transfer relationship:</w:t>
      </w:r>
    </w:p>
    <w:p>
      <w:r>
        <w:t>Q = UA * F * LMTD</w:t>
      </w:r>
    </w:p>
    <w:p>
      <w:r>
        <w:t>Where F is the LMTD correction factor for multipass or complex shell-side configurations. For TEMA shell-and-tube exchangers, F depends on the number of shell passes, tube passes, and the temperature effectiveness ratios. Implementation options:</w:t>
        <w:br/>
        <w:t>• Implement standard F correlations/approximations for the exchanger configuration family.</w:t>
        <w:br/>
        <w:t>• Or compute UA via epsilon-NTU (preferred) and report an implied F for diagnostics.</w:t>
        <w:br/>
        <w:t>Regardless of method, maintain configuration-specific logic and document assumptions.</w:t>
      </w:r>
    </w:p>
    <w:p>
      <w:pPr>
        <w:pStyle w:val="Heading2"/>
      </w:pPr>
      <w:r>
        <w:t>4.4 Epsilon-NTU Method (Primary Optimization Method)</w:t>
      </w:r>
    </w:p>
    <w:p>
      <w:r>
        <w:t>Definitions:</w:t>
      </w:r>
    </w:p>
    <w:p>
      <w:r>
        <w:t>C_h = m_dot_h * Cp_h</w:t>
        <w:br/>
        <w:t>C_c = m_dot_c * Cp_c</w:t>
        <w:br/>
        <w:t>C_min = min(C_h, C_c)</w:t>
        <w:br/>
        <w:t>C_max = max(C_h, C_c)</w:t>
        <w:br/>
        <w:t>C_r = C_min / C_max</w:t>
        <w:br/>
        <w:t>NTU = UA / C_min</w:t>
        <w:br/>
        <w:t>Q_max = C_min * (T_h,in - T_c,in)</w:t>
        <w:br/>
        <w:t>epsilon (ε) = Q / Q_max</w:t>
      </w:r>
    </w:p>
    <w:p>
      <w:r>
        <w:t>Common single-phase formulas (must be configuration-aware):</w:t>
      </w:r>
    </w:p>
    <w:p>
      <w:pPr>
        <w:pStyle w:val="ListBullet"/>
      </w:pPr>
      <w:r>
        <w:t>Counter-current: ε = (1 - exp(-NTU*(1 - C_r))) / (1 - C_r*exp(-NTU*(1 - C_r))) for C_r ≠ 1; ε = NTU/(1+NTU) for C_r = 1.</w:t>
      </w:r>
    </w:p>
    <w:p>
      <w:pPr>
        <w:pStyle w:val="ListBullet"/>
      </w:pPr>
      <w:r>
        <w:t>Co-current (parallel): ε = (1 - exp(-NTU*(1 + C_r))) / (1 + C_r).</w:t>
      </w:r>
    </w:p>
    <w:p>
      <w:pPr>
        <w:pStyle w:val="ListBullet"/>
      </w:pPr>
      <w:r>
        <w:t>Crossflow and shell-and-tube: use configuration-specific correlations; document which configuration families are supported in v1 and which require engineering sign-off.</w:t>
      </w:r>
    </w:p>
    <w:p>
      <w:r>
        <w:t>Required numeric behavior:</w:t>
        <w:br/>
        <w:t>• Solve for NTU from measured ε when needed (invert correlation) using a bounded, monotonic root-finding method.</w:t>
        <w:br/>
        <w:t>• Provide confidence flags when ε is outside [0,1] due to noisy measurements.</w:t>
      </w:r>
    </w:p>
    <w:p>
      <w:pPr>
        <w:pStyle w:val="Heading2"/>
      </w:pPr>
      <w:r>
        <w:t>4.5 UA Estimation and Fouling Proxy</w:t>
      </w:r>
    </w:p>
    <w:p>
      <w:r>
        <w:t>Two consistent ways to compute UA should be supported:</w:t>
      </w:r>
    </w:p>
    <w:p>
      <w:pPr>
        <w:pStyle w:val="ListBullet"/>
      </w:pPr>
      <w:r>
        <w:t>UA_LMTD = Q / (F * LMTD)</w:t>
      </w:r>
    </w:p>
    <w:p>
      <w:pPr>
        <w:pStyle w:val="ListBullet"/>
      </w:pPr>
      <w:r>
        <w:t>UA_NTU  = NTU * C_min (where NTU comes from ε-NTU using measured ε or from design/model predictions)</w:t>
      </w:r>
    </w:p>
    <w:p>
      <w:r>
        <w:t>UA degradation metric:</w:t>
        <w:br/>
        <w:t>UA_degradation = UA_current / UA_reference</w:t>
        <w:br/>
        <w:t>Where UA_reference is ideally the post-clean (clean baseline) UA at comparable operating conditions. If a clean baseline is not available, use a rolling 'best observed' UA under stable conditions and tag it as an inferred baseline.</w:t>
      </w:r>
    </w:p>
    <w:p>
      <w:r>
        <w:t>Fouling resistance proxy (high-level):</w:t>
        <w:br/>
        <w:t>R_total = 1/UA_current</w:t>
        <w:br/>
        <w:t>Rf_proxy = (1/UA_current) - (1/UA_reference)</w:t>
        <w:br/>
        <w:t>This proxy is useful for trend monitoring even when detailed h_i/h_o calculations are not implemented.</w:t>
      </w:r>
    </w:p>
    <w:p>
      <w:r>
        <w:t>Engineering note: a full fouling resistance computation requires separating convection, wall, and fouling resistances and accounting for area ratios. If the program scope expands, implement a 'physics mode' that computes clean U using Reynolds/Prandtl-based correlations (tube side) and Bell-Delaware/Kern (shell side).</w:t>
      </w:r>
    </w:p>
    <w:p>
      <w:pPr>
        <w:pStyle w:val="Heading2"/>
      </w:pPr>
      <w:r>
        <w:t>4.6 Pressure Drop Calculations</w:t>
      </w:r>
    </w:p>
    <w:p>
      <w:r>
        <w:t>Pressure drop is both a constraint and a fouling indicator. GL-014 must compute and trend measured ΔP, and optionally compute expected clean ΔP.</w:t>
      </w:r>
    </w:p>
    <w:p>
      <w:pPr>
        <w:pStyle w:val="ListBullet"/>
      </w:pPr>
      <w:r>
        <w:t>Tube side (conceptual): ΔP = ΔP_friction + ΔP_minor, using Darcy-Weisbach or Fanning friction factors and appropriate entrance/exit losses.</w:t>
      </w:r>
    </w:p>
    <w:p>
      <w:pPr>
        <w:pStyle w:val="ListBullet"/>
      </w:pPr>
      <w:r>
        <w:t>Shell side: implement a validated method (e.g., Kern for screening, Bell-Delaware for higher fidelity) aligned to available geometry and baffle data.</w:t>
      </w:r>
    </w:p>
    <w:p>
      <w:pPr>
        <w:pStyle w:val="ListBullet"/>
      </w:pPr>
      <w:r>
        <w:t>Reporting: trend ΔP against flow to distinguish fouling from flow-rate changes (use normalized ΔP where appropriate).</w:t>
      </w:r>
    </w:p>
    <w:p>
      <w:r>
        <w:t>Constraint examples used by the optimizer:</w:t>
        <w:br/>
        <w:t>• ΔP_hot &lt;= ΔP_hot_max</w:t>
        <w:br/>
        <w:t>• ΔP_cold &lt;= ΔP_cold_max</w:t>
        <w:br/>
        <w:t>• Outlet temperature constraints required by downstream units</w:t>
      </w:r>
    </w:p>
    <w:p>
      <w:pPr>
        <w:pStyle w:val="Heading2"/>
      </w:pPr>
      <w:r>
        <w:t>4.7 TEMA Compliance Requirements (Performance and Terminology)</w:t>
      </w:r>
    </w:p>
    <w:p>
      <w:pPr>
        <w:pStyle w:val="ListBullet"/>
      </w:pPr>
      <w:r>
        <w:t>Use TEMA nomenclature for shell type, tube passes, and configuration identifiers where applicable.</w:t>
      </w:r>
    </w:p>
    <w:p>
      <w:pPr>
        <w:pStyle w:val="ListBullet"/>
      </w:pPr>
      <w:r>
        <w:t>Respect TEMA conventions for reporting pressure drops, nozzle-to-nozzle definitions, and correction factors.</w:t>
      </w:r>
    </w:p>
    <w:p>
      <w:pPr>
        <w:pStyle w:val="ListBullet"/>
      </w:pPr>
      <w:r>
        <w:t>Do not embed copyrighted charts/tables; implement correlations/algorithms based on allowable internal engineering references and document source references used by the engineering team.</w:t>
      </w:r>
    </w:p>
    <w:p>
      <w:pPr>
        <w:pStyle w:val="ListBullet"/>
      </w:pPr>
      <w:r>
        <w:t>Ensure output reports align with what mechanical/process engineers expect to see in exchanger rating summaries.</w:t>
      </w:r>
    </w:p>
    <w:p>
      <w:pPr>
        <w:pStyle w:val="Heading2"/>
      </w:pPr>
      <w:r>
        <w:t>4.8 Numerical Stability, Units, and Edge Cases</w:t>
      </w:r>
    </w:p>
    <w:p>
      <w:pPr>
        <w:pStyle w:val="ListBullet"/>
      </w:pPr>
      <w:r>
        <w:t>Units: use a strict unit system (SI internally). Perform unit conversion at ingestion and validate against allowed unit sets.</w:t>
      </w:r>
    </w:p>
    <w:p>
      <w:pPr>
        <w:pStyle w:val="ListBullet"/>
      </w:pPr>
      <w:r>
        <w:t>Temperature units: calculations must use absolute temperatures (K) where required; avoid mixing °C offsets in formulas.</w:t>
      </w:r>
    </w:p>
    <w:p>
      <w:pPr>
        <w:pStyle w:val="ListBullet"/>
      </w:pPr>
      <w:r>
        <w:t>Log operations: guard LMTD against division by zero or log of non-positive ratios; use series expansions when ΔT1≈ΔT2.</w:t>
      </w:r>
    </w:p>
    <w:p>
      <w:pPr>
        <w:pStyle w:val="ListBullet"/>
      </w:pPr>
      <w:r>
        <w:t>Bounds: enforce physical bounds (ε in [0,1], C_min &gt; 0, flows &gt;= 0).</w:t>
      </w:r>
    </w:p>
    <w:p>
      <w:pPr>
        <w:pStyle w:val="ListBullet"/>
      </w:pPr>
      <w:r>
        <w:t>Missing data: if any required measurement is missing for a KPI, return 'not computed' with a reason code; never impute silently for deterministic KPIs.</w:t>
      </w:r>
    </w:p>
    <w:p>
      <w:pPr>
        <w:pStyle w:val="Heading2"/>
      </w:pPr>
      <w:r>
        <w:t>4.9 Thermal Validation and Benchmarking</w:t>
      </w:r>
    </w:p>
    <w:p>
      <w:r>
        <w:t>Thermal engineering team must provide benchmark cases (design datasheets and/or simulation cases) for each supported exchanger family. The software team must encode these as automated tests.</w:t>
      </w:r>
    </w:p>
    <w:p>
      <w:pPr>
        <w:pStyle w:val="ListBullet"/>
      </w:pPr>
      <w:r>
        <w:t>Unit tests: known inputs -&gt; expected Q, UA, ε, NTU, LMTD (with tolerances).</w:t>
      </w:r>
    </w:p>
    <w:p>
      <w:pPr>
        <w:pStyle w:val="ListBullet"/>
      </w:pPr>
      <w:r>
        <w:t>Regression tests: protect against drift when property library versions change.</w:t>
      </w:r>
    </w:p>
    <w:p>
      <w:pPr>
        <w:pStyle w:val="ListBullet"/>
      </w:pPr>
      <w:r>
        <w:t>Site acceptance tests: compare computed UA and ε to engineer-calculated baselines for at least 10 representative exchangers per site.</w:t>
      </w:r>
    </w:p>
    <w:p>
      <w:pPr>
        <w:pStyle w:val="ListBullet"/>
      </w:pPr>
      <w:r>
        <w:t>Explainability sanity checks: confirm model drivers align with engineering intuition (e.g., high ΔP and high temperature approach contribute to fouling risk).</w:t>
      </w:r>
    </w:p>
    <w:p>
      <w:r>
        <w:br w:type="page"/>
      </w:r>
    </w:p>
    <w:p>
      <w:pPr>
        <w:pStyle w:val="Heading1"/>
      </w:pPr>
      <w:r>
        <w:t>5. Fouling Prediction (AI/ML + Intelligence Requirements)</w:t>
      </w:r>
    </w:p>
    <w:p>
      <w:r>
        <w:t>GL-014 predicts fouling progression to enable proactive cleaning and stable exchanger performance. The fouling model must be operationally trustworthy: explainable, monitored for drift, and trained on site-representative data. Predictions must be clearly separated from deterministic thermal calculations (which are physics-based).</w:t>
      </w:r>
    </w:p>
    <w:p>
      <w:pPr>
        <w:pStyle w:val="Heading2"/>
      </w:pPr>
      <w:r>
        <w:t>5.1 Prediction Targets (What the Model Predicts)</w:t>
      </w:r>
    </w:p>
    <w:p>
      <w:pPr>
        <w:pStyle w:val="ListBullet"/>
      </w:pPr>
      <w:r>
        <w:t>UA degradation forecast: UA(t + h) / UA_reference for horizon h (e.g., 7, 14, 30 days).</w:t>
      </w:r>
    </w:p>
    <w:p>
      <w:pPr>
        <w:pStyle w:val="ListBullet"/>
      </w:pPr>
      <w:r>
        <w:t>Fouling proxy forecast: Rf_proxy(t + h) (from Section 4.5).</w:t>
      </w:r>
    </w:p>
    <w:p>
      <w:pPr>
        <w:pStyle w:val="ListBullet"/>
      </w:pPr>
      <w:r>
        <w:t>Constraint risk: probability that any constraint is violated within horizon h (e.g., ΔP &gt; limit, T_out below target).</w:t>
      </w:r>
    </w:p>
    <w:p>
      <w:pPr>
        <w:pStyle w:val="ListBullet"/>
      </w:pPr>
      <w:r>
        <w:t>Remaining useful performance (RUP): time until UA_degradation falls below threshold or ΔP exceeds threshold.</w:t>
      </w:r>
    </w:p>
    <w:p>
      <w:pPr>
        <w:pStyle w:val="Heading2"/>
      </w:pPr>
      <w:r>
        <w:t>5.2 Training Labels and Ground Truth Strategy</w:t>
      </w:r>
    </w:p>
    <w:p>
      <w:pPr>
        <w:pStyle w:val="ListBullet"/>
      </w:pPr>
      <w:r>
        <w:t>Primary label source is computed UA_degradation from deterministic engine under validated operating states.</w:t>
      </w:r>
    </w:p>
    <w:p>
      <w:pPr>
        <w:pStyle w:val="ListBullet"/>
      </w:pPr>
      <w:r>
        <w:t>Cleaning events define 'resets' and enable supervised learning of fouling growth between cleanings.</w:t>
      </w:r>
    </w:p>
    <w:p>
      <w:pPr>
        <w:pStyle w:val="ListBullet"/>
      </w:pPr>
      <w:r>
        <w:t>Exclude periods with sensor faults, bypass operation, or abnormal operating modes unless explicitly modeled as separate regimes.</w:t>
      </w:r>
    </w:p>
    <w:p>
      <w:pPr>
        <w:pStyle w:val="ListBullet"/>
      </w:pPr>
      <w:r>
        <w:t>If lab/inspection measurements exist (deposit mass, thickness), store them as auxiliary labels for mechanism classification (optional).</w:t>
      </w:r>
    </w:p>
    <w:p>
      <w:pPr>
        <w:pStyle w:val="Heading2"/>
      </w:pPr>
      <w:r>
        <w:t>5.3 Feature Engineering Requirements</w:t>
      </w:r>
    </w:p>
    <w:p>
      <w:r>
        <w:t>Minimum feature groups:</w:t>
      </w:r>
    </w:p>
    <w:p>
      <w:pPr>
        <w:pStyle w:val="ListBullet"/>
      </w:pPr>
      <w:r>
        <w:t>Time since last cleaning; number of hours at temperature/flow ranges; cumulative throughput</w:t>
      </w:r>
    </w:p>
    <w:p>
      <w:pPr>
        <w:pStyle w:val="ListBullet"/>
      </w:pPr>
      <w:r>
        <w:t>Temperatures (T_in/T_out), terminal temperature differences, approach temperatures, LMTD-derived diagnostics</w:t>
      </w:r>
    </w:p>
    <w:p>
      <w:pPr>
        <w:pStyle w:val="ListBullet"/>
      </w:pPr>
      <w:r>
        <w:t>Flow rates and derived velocities/Reynolds number proxies (requires geometry and fluid properties)</w:t>
      </w:r>
    </w:p>
    <w:p>
      <w:pPr>
        <w:pStyle w:val="ListBullet"/>
      </w:pPr>
      <w:r>
        <w:t>Pressure drops and flow-normalized ΔP trends</w:t>
      </w:r>
    </w:p>
    <w:p>
      <w:pPr>
        <w:pStyle w:val="ListBullet"/>
      </w:pPr>
      <w:r>
        <w:t>Fluid property proxies (density, viscosity, Cp, k) or composition/analyzer tags</w:t>
      </w:r>
    </w:p>
    <w:p>
      <w:pPr>
        <w:pStyle w:val="ListBullet"/>
      </w:pPr>
      <w:r>
        <w:t>Operating context: unit rate, product grade, ambient conditions (as applicable), energy prices (for optimizer coupling)</w:t>
      </w:r>
    </w:p>
    <w:p>
      <w:pPr>
        <w:pStyle w:val="ListBullet"/>
      </w:pPr>
      <w:r>
        <w:t>Lagged features and rolling statistics (mean, slope, variance) over multiple windows (e.g., 1h/6h/24h/7d)</w:t>
      </w:r>
    </w:p>
    <w:p>
      <w:r>
        <w:t>Important: all feature computation must be versioned and reproducible (feature store or reproducible pipelines).</w:t>
      </w:r>
    </w:p>
    <w:p>
      <w:pPr>
        <w:pStyle w:val="Heading2"/>
      </w:pPr>
      <w:r>
        <w:t>5.4 Model Families (Recommended)</w:t>
      </w:r>
    </w:p>
    <w:p>
      <w:r>
        <w:t>Select model families that balance accuracy, robustness, and explainability. Suggested approach:</w:t>
      </w:r>
    </w:p>
    <w:p>
      <w:pPr>
        <w:pStyle w:val="ListBullet"/>
      </w:pPr>
      <w:r>
        <w:t>Baseline: gradient-boosted trees (e.g., XGBoost/LightGBM/CatBoost) for tabular features with strong performance and SHAP support.</w:t>
      </w:r>
    </w:p>
    <w:p>
      <w:pPr>
        <w:pStyle w:val="ListBullet"/>
      </w:pPr>
      <w:r>
        <w:t>Time-series extension: add lag/rolling features first; only introduce sequence models (LSTM/Temporal CNN/Transformers) if necessary and operationally justified.</w:t>
      </w:r>
    </w:p>
    <w:p>
      <w:pPr>
        <w:pStyle w:val="ListBullet"/>
      </w:pPr>
      <w:r>
        <w:t>Uncertainty: use quantile regression, conformal prediction, or model ensembles to provide prediction intervals.</w:t>
      </w:r>
    </w:p>
    <w:p>
      <w:pPr>
        <w:pStyle w:val="Heading2"/>
      </w:pPr>
      <w:r>
        <w:t>5.5 Explainability Requirements (SHAP/LIME)</w:t>
      </w:r>
    </w:p>
    <w:p>
      <w:pPr>
        <w:pStyle w:val="ListBullet"/>
      </w:pPr>
      <w:r>
        <w:t>Global explainability: top drivers of fouling for each exchanger and operating regime (aggregated SHAP).</w:t>
      </w:r>
    </w:p>
    <w:p>
      <w:pPr>
        <w:pStyle w:val="ListBullet"/>
      </w:pPr>
      <w:r>
        <w:t>Local explainability: per-prediction explanations (local SHAP or LIME) surfaced in reports.</w:t>
      </w:r>
    </w:p>
    <w:p>
      <w:pPr>
        <w:pStyle w:val="ListBullet"/>
      </w:pPr>
      <w:r>
        <w:t>Operator-friendly narratives: map features to engineering concepts (e.g., 'high ΔP normalized to flow suggests deposition').</w:t>
      </w:r>
    </w:p>
    <w:p>
      <w:pPr>
        <w:pStyle w:val="ListBullet"/>
      </w:pPr>
      <w:r>
        <w:t>Stability checks: explanations should not oscillate wildly for similar operating points; monitor explanation drift.</w:t>
      </w:r>
    </w:p>
    <w:p>
      <w:pPr>
        <w:pStyle w:val="Heading2"/>
      </w:pPr>
      <w:r>
        <w:t>5.6 Model Governance and MLOps</w:t>
      </w:r>
    </w:p>
    <w:p>
      <w:pPr>
        <w:pStyle w:val="ListBullet"/>
      </w:pPr>
      <w:r>
        <w:t>Model registry: store model artifacts, training data snapshot IDs, feature schema versions, and evaluation reports.</w:t>
      </w:r>
    </w:p>
    <w:p>
      <w:pPr>
        <w:pStyle w:val="ListBullet"/>
      </w:pPr>
      <w:r>
        <w:t>Performance monitoring: track error metrics (MAE/RMSE), calibration for risk predictions, and drift metrics for key features.</w:t>
      </w:r>
    </w:p>
    <w:p>
      <w:pPr>
        <w:pStyle w:val="ListBullet"/>
      </w:pPr>
      <w:r>
        <w:t>Retraining policy: triggered by drift thresholds, seasonal changes, or after major process changes; define minimum data volume gates.</w:t>
      </w:r>
    </w:p>
    <w:p>
      <w:pPr>
        <w:pStyle w:val="ListBullet"/>
      </w:pPr>
      <w:r>
        <w:t>Human-in-the-loop: thermal/reliability engineers approve models for production via a readiness checklist.</w:t>
      </w:r>
    </w:p>
    <w:p>
      <w:pPr>
        <w:pStyle w:val="ListBullet"/>
      </w:pPr>
      <w:r>
        <w:t>Auditability: every prediction must include model version, feature values, and explanation payload.</w:t>
      </w:r>
    </w:p>
    <w:p>
      <w:pPr>
        <w:pStyle w:val="Heading2"/>
      </w:pPr>
      <w:r>
        <w:t>5.7 AI Safety and Operational Guardrails</w:t>
      </w:r>
    </w:p>
    <w:p>
      <w:pPr>
        <w:pStyle w:val="ListBullet"/>
      </w:pPr>
      <w:r>
        <w:t>Never present predictions as certainties; provide intervals and confidence scores.</w:t>
      </w:r>
    </w:p>
    <w:p>
      <w:pPr>
        <w:pStyle w:val="ListBullet"/>
      </w:pPr>
      <w:r>
        <w:t>Fail safe: if input data quality is poor or outside training distribution, downgrade to conservative recommendations and request engineering review.</w:t>
      </w:r>
    </w:p>
    <w:p>
      <w:pPr>
        <w:pStyle w:val="ListBullet"/>
      </w:pPr>
      <w:r>
        <w:t>No autonomous control actions: GL-014 recommends; plant personnel and existing control systems execute.</w:t>
      </w:r>
    </w:p>
    <w:p>
      <w:pPr>
        <w:pStyle w:val="ListBullet"/>
      </w:pPr>
      <w:r>
        <w:t>Ensure sensitive plant data is handled under site security policies; do not export raw OT data without authorization.</w:t>
      </w:r>
    </w:p>
    <w:p>
      <w:r>
        <w:br w:type="page"/>
      </w:r>
    </w:p>
    <w:p>
      <w:pPr>
        <w:pStyle w:val="Heading1"/>
      </w:pPr>
      <w:r>
        <w:t>6. Cleaning Schedule Optimization</w:t>
      </w:r>
    </w:p>
    <w:p>
      <w:r>
        <w:t>The optimizer converts fouling forecasts into actionable cleaning schedules. It must balance energy/performance losses against cleaning costs and operational constraints. Recommendations must be transparent: the user should see why a cleaning is suggested and what benefit is expected.</w:t>
      </w:r>
    </w:p>
    <w:p>
      <w:pPr>
        <w:pStyle w:val="Heading2"/>
      </w:pPr>
      <w:r>
        <w:t>6.1 Optimization Problem Definition</w:t>
      </w:r>
    </w:p>
    <w:p>
      <w:r>
        <w:t>Decision variables (per exchanger):</w:t>
      </w:r>
    </w:p>
    <w:p>
      <w:pPr>
        <w:pStyle w:val="ListBullet"/>
      </w:pPr>
      <w:r>
        <w:t>Next cleaning date/time window (and optionally a sequence of future cleanings over a planning horizon)</w:t>
      </w:r>
    </w:p>
    <w:p>
      <w:pPr>
        <w:pStyle w:val="ListBullet"/>
      </w:pPr>
      <w:r>
        <w:t>Cleaning method selection (if multiple methods exist and historical effectiveness differs)</w:t>
      </w:r>
    </w:p>
    <w:p>
      <w:pPr>
        <w:pStyle w:val="ListBullet"/>
      </w:pPr>
      <w:r>
        <w:t>Optional: operating setpoint adjustments (only if explicitly allowed; otherwise 'what-if' analysis only)</w:t>
      </w:r>
    </w:p>
    <w:p>
      <w:r>
        <w:t>Objective function (example cost model):</w:t>
      </w:r>
    </w:p>
    <w:p>
      <w:r>
        <w:t>Minimize total expected cost over horizon H:</w:t>
        <w:br/>
        <w:t>Cost = EnergyLossCost + ProductionLossCost + CleaningCost + DowntimeCost + RiskPenalty</w:t>
        <w:br/>
        <w:t>Where:</w:t>
        <w:br/>
        <w:t>• EnergyLossCost is driven by additional utility required due to reduced UA/ε.</w:t>
        <w:br/>
        <w:t>• ProductionLossCost captures off-spec or throughput constraints caused by outlet temperature drift.</w:t>
        <w:br/>
        <w:t>• CleaningCost includes labor/chemicals/contractors.</w:t>
        <w:br/>
        <w:t>• DowntimeCost includes lost margin during offline cleaning.</w:t>
        <w:br/>
        <w:t>• RiskPenalty captures probability-weighted penalties for constraint violations (ΔP, min outlet temperature, safety margins).</w:t>
      </w:r>
    </w:p>
    <w:p>
      <w:pPr>
        <w:pStyle w:val="Heading2"/>
      </w:pPr>
      <w:r>
        <w:t>6.2 Constraints</w:t>
      </w:r>
    </w:p>
    <w:p>
      <w:pPr>
        <w:pStyle w:val="ListBullet"/>
      </w:pPr>
      <w:r>
        <w:t>Operational constraints: cleaning must occur within allowable maintenance windows; cannot exceed maximum allowed outage frequency.</w:t>
      </w:r>
    </w:p>
    <w:p>
      <w:pPr>
        <w:pStyle w:val="ListBullet"/>
      </w:pPr>
      <w:r>
        <w:t>Process constraints: enforce minimum required outlet temperatures and maximum ΔP limits.</w:t>
      </w:r>
    </w:p>
    <w:p>
      <w:pPr>
        <w:pStyle w:val="ListBullet"/>
      </w:pPr>
      <w:r>
        <w:t>Resource constraints: shared cleaning crews, limited spares, simultaneous outage limits (multi-asset coordination).</w:t>
      </w:r>
    </w:p>
    <w:p>
      <w:pPr>
        <w:pStyle w:val="ListBullet"/>
      </w:pPr>
      <w:r>
        <w:t>Safety constraints: no recommendations that bypass safety procedures or conflict with permit-to-work policies.</w:t>
      </w:r>
    </w:p>
    <w:p>
      <w:pPr>
        <w:pStyle w:val="Heading2"/>
      </w:pPr>
      <w:r>
        <w:t>6.3 Optimization Approach (Recommended)</w:t>
      </w:r>
    </w:p>
    <w:p>
      <w:r>
        <w:t>For medium-complexity deployment, implement a deterministic, explainable optimizer:</w:t>
      </w:r>
    </w:p>
    <w:p>
      <w:pPr>
        <w:pStyle w:val="ListBullet"/>
      </w:pPr>
      <w:r>
        <w:t>Single exchanger: evaluate candidate cleaning dates (e.g., daily grid) using predicted UA/ΔP trajectories; select minimum cost feasible option.</w:t>
      </w:r>
    </w:p>
    <w:p>
      <w:pPr>
        <w:pStyle w:val="ListBullet"/>
      </w:pPr>
      <w:r>
        <w:t>Multiple exchangers: extend to a constrained scheduling problem (MILP or heuristic) when shared resources or coupled process constraints exist.</w:t>
      </w:r>
    </w:p>
    <w:p>
      <w:pPr>
        <w:pStyle w:val="ListBullet"/>
      </w:pPr>
      <w:r>
        <w:t>What-if mode: allow users to compare 'clean now', 'clean in X days', and 'no clean' scenarios with transparent assumptions.</w:t>
      </w:r>
    </w:p>
    <w:p>
      <w:r>
        <w:t>Important: the optimizer must be deterministic given the same inputs and model versions. If stochastic simulations are used for uncertainty, results must be reproducible via fixed random seeds and logged configuration.</w:t>
      </w:r>
    </w:p>
    <w:p>
      <w:pPr>
        <w:pStyle w:val="Heading2"/>
      </w:pPr>
      <w:r>
        <w:t>6.4 Outputs and Explainability</w:t>
      </w:r>
    </w:p>
    <w:p>
      <w:pPr>
        <w:pStyle w:val="ListBullet"/>
      </w:pPr>
      <w:r>
        <w:t>Recommended cleaning window(s) with ranking of alternatives</w:t>
      </w:r>
    </w:p>
    <w:p>
      <w:pPr>
        <w:pStyle w:val="ListBullet"/>
      </w:pPr>
      <w:r>
        <w:t>Expected UA recovery and time to re-foul (based on historical cleaning effectiveness + forecast)</w:t>
      </w:r>
    </w:p>
    <w:p>
      <w:pPr>
        <w:pStyle w:val="ListBullet"/>
      </w:pPr>
      <w:r>
        <w:t>Expected energy savings (kWh/steam) and cost savings, with assumptions and price inputs</w:t>
      </w:r>
    </w:p>
    <w:p>
      <w:pPr>
        <w:pStyle w:val="ListBullet"/>
      </w:pPr>
      <w:r>
        <w:t>Constraint risk reduction (probability of ΔP or temperature violations avoided)</w:t>
      </w:r>
    </w:p>
    <w:p>
      <w:pPr>
        <w:pStyle w:val="ListBullet"/>
      </w:pPr>
      <w:r>
        <w:t>Top drivers (features) behind the recommendation, including SHAP/LIME outputs for fouling risk</w:t>
      </w:r>
    </w:p>
    <w:p>
      <w:pPr>
        <w:pStyle w:val="Heading2"/>
      </w:pPr>
      <w:r>
        <w:t>6.5 Reliability Team Workflow Integration</w:t>
      </w:r>
    </w:p>
    <w:p>
      <w:pPr>
        <w:pStyle w:val="ListBullet"/>
      </w:pPr>
      <w:r>
        <w:t>Work order trigger rules: define thresholds for when recommendations become CMMS candidates (e.g., risk &gt; 0.7 or projected cost savings &gt; $X).</w:t>
      </w:r>
    </w:p>
    <w:p>
      <w:pPr>
        <w:pStyle w:val="ListBullet"/>
      </w:pPr>
      <w:r>
        <w:t>Human review: reliability engineer reviews recommendation, selects window/method, and approves CMMS work order creation.</w:t>
      </w:r>
    </w:p>
    <w:p>
      <w:pPr>
        <w:pStyle w:val="ListBullet"/>
      </w:pPr>
      <w:r>
        <w:t>Feedback loop: upon completion, capture actual downtime, costs, post-clean UA, and notes; feed back into model retraining and optimizer calibration.</w:t>
      </w:r>
    </w:p>
    <w:p>
      <w:r>
        <w:br w:type="page"/>
      </w:r>
    </w:p>
    <w:p>
      <w:pPr>
        <w:pStyle w:val="Heading1"/>
      </w:pPr>
      <w:r>
        <w:t>7. Data Engineering and Integration</w:t>
      </w:r>
    </w:p>
    <w:p>
      <w:r>
        <w:t>This section translates the data requirements into concrete data engineering work. The goal is a robust, reusable pipeline that supports near-real-time monitoring and historical model training, with strong governance and minimal site-specific rework.</w:t>
      </w:r>
    </w:p>
    <w:p>
      <w:pPr>
        <w:pStyle w:val="Heading2"/>
      </w:pPr>
      <w:r>
        <w:t>7.1 OPC-UA Ingestion (OT to Data Platform)</w:t>
      </w:r>
    </w:p>
    <w:p>
      <w:pPr>
        <w:pStyle w:val="ListBullet"/>
      </w:pPr>
      <w:r>
        <w:t>Tag onboarding: build an exchanger tag manifest per site (T/P/flow/ΔP/status). Include OPC-UA node IDs, engineering units, and scaling.</w:t>
      </w:r>
    </w:p>
    <w:p>
      <w:pPr>
        <w:pStyle w:val="ListBullet"/>
      </w:pPr>
      <w:r>
        <w:t>Quality handling: ingest OPC-UA status codes; propagate quality to downstream computations; avoid training ML on bad-quality points.</w:t>
      </w:r>
    </w:p>
    <w:p>
      <w:pPr>
        <w:pStyle w:val="ListBullet"/>
      </w:pPr>
      <w:r>
        <w:t>Time sync: ensure timestamps are consistent (prefer source timestamps). Document clock synchronization strategy (NTP/PTP).</w:t>
      </w:r>
    </w:p>
    <w:p>
      <w:pPr>
        <w:pStyle w:val="ListBullet"/>
      </w:pPr>
      <w:r>
        <w:t>Buffering: implement store-and-forward on edge to tolerate network outages.</w:t>
      </w:r>
    </w:p>
    <w:p>
      <w:pPr>
        <w:pStyle w:val="ListBullet"/>
      </w:pPr>
      <w:r>
        <w:t>Security: use OPC-UA security policies approved by OT security (certificates, encryption, user auth).</w:t>
      </w:r>
    </w:p>
    <w:p>
      <w:pPr>
        <w:pStyle w:val="Heading2"/>
      </w:pPr>
      <w:r>
        <w:t>7.2 Kafka Topics and Event Schemas (Suggested)</w:t>
      </w:r>
    </w:p>
    <w:tbl>
      <w:tblPr>
        <w:tblStyle w:val="TableGrid"/>
        <w:tblW w:type="auto" w:w="0"/>
        <w:jc w:val="center"/>
        <w:tblLayout w:type="autofit"/>
        <w:tblLook w:firstColumn="1" w:firstRow="1" w:lastColumn="0" w:lastRow="0" w:noHBand="0" w:noVBand="1" w:val="04A0"/>
      </w:tblPr>
      <w:tblGrid>
        <w:gridCol w:w="2436"/>
        <w:gridCol w:w="2436"/>
        <w:gridCol w:w="2436"/>
        <w:gridCol w:w="2436"/>
      </w:tblGrid>
      <w:tr>
        <w:trPr>
          <w:tblHeader w:val="true"/>
        </w:trPr>
        <w:tc>
          <w:tcPr>
            <w:tcW w:type="dxa" w:w="2381"/>
            <w:shd w:val="clear" w:color="auto" w:fill="1F4E79"/>
            <w:vAlign w:val="center"/>
          </w:tcPr>
          <w:p>
            <w:pPr>
              <w:spacing w:after="0" w:before="0"/>
              <w:jc w:val="center"/>
            </w:pPr>
            <w:r/>
            <w:r>
              <w:rPr>
                <w:b/>
                <w:color w:val="FFFFFF"/>
              </w:rPr>
              <w:t>Topic</w:t>
            </w:r>
          </w:p>
        </w:tc>
        <w:tc>
          <w:tcPr>
            <w:tcW w:type="dxa" w:w="2268"/>
            <w:shd w:val="clear" w:color="auto" w:fill="1F4E79"/>
            <w:vAlign w:val="center"/>
          </w:tcPr>
          <w:p>
            <w:pPr>
              <w:spacing w:after="0" w:before="0"/>
              <w:jc w:val="center"/>
            </w:pPr>
            <w:r/>
            <w:r>
              <w:rPr>
                <w:b/>
                <w:color w:val="FFFFFF"/>
              </w:rPr>
              <w:t>Payload Type</w:t>
            </w:r>
          </w:p>
        </w:tc>
        <w:tc>
          <w:tcPr>
            <w:tcW w:type="dxa" w:w="1701"/>
            <w:shd w:val="clear" w:color="auto" w:fill="1F4E79"/>
            <w:vAlign w:val="center"/>
          </w:tcPr>
          <w:p>
            <w:pPr>
              <w:spacing w:after="0" w:before="0"/>
              <w:jc w:val="center"/>
            </w:pPr>
            <w:r/>
            <w:r>
              <w:rPr>
                <w:b/>
                <w:color w:val="FFFFFF"/>
              </w:rPr>
              <w:t>Key</w:t>
            </w:r>
          </w:p>
        </w:tc>
        <w:tc>
          <w:tcPr>
            <w:tcW w:type="dxa" w:w="3061"/>
            <w:shd w:val="clear" w:color="auto" w:fill="1F4E79"/>
            <w:vAlign w:val="center"/>
          </w:tcPr>
          <w:p>
            <w:pPr>
              <w:spacing w:after="0" w:before="0"/>
              <w:jc w:val="center"/>
            </w:pPr>
            <w:r/>
            <w:r>
              <w:rPr>
                <w:b/>
                <w:color w:val="FFFFFF"/>
              </w:rPr>
              <w:t>Notes</w:t>
            </w:r>
          </w:p>
        </w:tc>
      </w:tr>
      <w:tr>
        <w:tc>
          <w:tcPr>
            <w:tcW w:type="dxa" w:w="2381"/>
            <w:vAlign w:val="top"/>
          </w:tcPr>
          <w:p>
            <w:pPr>
              <w:spacing w:after="0" w:before="0"/>
            </w:pPr>
            <w:r/>
            <w:r>
              <w:rPr>
                <w:b w:val="0"/>
              </w:rPr>
              <w:t>gl014.timeseries.raw</w:t>
            </w:r>
          </w:p>
        </w:tc>
        <w:tc>
          <w:tcPr>
            <w:tcW w:type="dxa" w:w="2268"/>
            <w:vAlign w:val="top"/>
          </w:tcPr>
          <w:p>
            <w:pPr>
              <w:spacing w:after="0" w:before="0"/>
            </w:pPr>
            <w:r/>
            <w:r>
              <w:rPr>
                <w:b w:val="0"/>
              </w:rPr>
              <w:t>TimeseriesPoint</w:t>
            </w:r>
          </w:p>
        </w:tc>
        <w:tc>
          <w:tcPr>
            <w:tcW w:type="dxa" w:w="1701"/>
            <w:vAlign w:val="top"/>
          </w:tcPr>
          <w:p>
            <w:pPr>
              <w:spacing w:after="0" w:before="0"/>
            </w:pPr>
            <w:r/>
            <w:r>
              <w:rPr>
                <w:b w:val="0"/>
              </w:rPr>
              <w:t>asset_id+tag</w:t>
            </w:r>
          </w:p>
        </w:tc>
        <w:tc>
          <w:tcPr>
            <w:tcW w:type="dxa" w:w="3061"/>
            <w:vAlign w:val="top"/>
          </w:tcPr>
          <w:p>
            <w:pPr>
              <w:spacing w:after="0" w:before="0"/>
            </w:pPr>
            <w:r/>
            <w:r>
              <w:rPr>
                <w:b w:val="0"/>
              </w:rPr>
              <w:t>Normalized units, includes quality + source timestamp</w:t>
            </w:r>
          </w:p>
        </w:tc>
      </w:tr>
      <w:tr>
        <w:tc>
          <w:tcPr>
            <w:tcW w:type="dxa" w:w="2381"/>
            <w:vAlign w:val="top"/>
          </w:tcPr>
          <w:p>
            <w:pPr>
              <w:spacing w:after="0" w:before="0"/>
            </w:pPr>
            <w:r/>
            <w:r>
              <w:rPr>
                <w:b w:val="0"/>
              </w:rPr>
              <w:t>gl014.timeseries.aggregated_1m</w:t>
            </w:r>
          </w:p>
        </w:tc>
        <w:tc>
          <w:tcPr>
            <w:tcW w:type="dxa" w:w="2268"/>
            <w:vAlign w:val="top"/>
          </w:tcPr>
          <w:p>
            <w:pPr>
              <w:spacing w:after="0" w:before="0"/>
            </w:pPr>
            <w:r/>
            <w:r>
              <w:rPr>
                <w:b w:val="0"/>
              </w:rPr>
              <w:t>AggregatedTimeseries</w:t>
            </w:r>
          </w:p>
        </w:tc>
        <w:tc>
          <w:tcPr>
            <w:tcW w:type="dxa" w:w="1701"/>
            <w:vAlign w:val="top"/>
          </w:tcPr>
          <w:p>
            <w:pPr>
              <w:spacing w:after="0" w:before="0"/>
            </w:pPr>
            <w:r/>
            <w:r>
              <w:rPr>
                <w:b w:val="0"/>
              </w:rPr>
              <w:t>asset_id+tag</w:t>
            </w:r>
          </w:p>
        </w:tc>
        <w:tc>
          <w:tcPr>
            <w:tcW w:type="dxa" w:w="3061"/>
            <w:vAlign w:val="top"/>
          </w:tcPr>
          <w:p>
            <w:pPr>
              <w:spacing w:after="0" w:before="0"/>
            </w:pPr>
            <w:r/>
            <w:r>
              <w:rPr>
                <w:b w:val="0"/>
              </w:rPr>
              <w:t>1-minute aggregates for analytics/ML</w:t>
            </w:r>
          </w:p>
        </w:tc>
      </w:tr>
      <w:tr>
        <w:tc>
          <w:tcPr>
            <w:tcW w:type="dxa" w:w="2381"/>
            <w:vAlign w:val="top"/>
          </w:tcPr>
          <w:p>
            <w:pPr>
              <w:spacing w:after="0" w:before="0"/>
            </w:pPr>
            <w:r/>
            <w:r>
              <w:rPr>
                <w:b w:val="0"/>
              </w:rPr>
              <w:t>gl014.asset.master</w:t>
            </w:r>
          </w:p>
        </w:tc>
        <w:tc>
          <w:tcPr>
            <w:tcW w:type="dxa" w:w="2268"/>
            <w:vAlign w:val="top"/>
          </w:tcPr>
          <w:p>
            <w:pPr>
              <w:spacing w:after="0" w:before="0"/>
            </w:pPr>
            <w:r/>
            <w:r>
              <w:rPr>
                <w:b w:val="0"/>
              </w:rPr>
              <w:t>AssetMetadata</w:t>
            </w:r>
          </w:p>
        </w:tc>
        <w:tc>
          <w:tcPr>
            <w:tcW w:type="dxa" w:w="1701"/>
            <w:vAlign w:val="top"/>
          </w:tcPr>
          <w:p>
            <w:pPr>
              <w:spacing w:after="0" w:before="0"/>
            </w:pPr>
            <w:r/>
            <w:r>
              <w:rPr>
                <w:b w:val="0"/>
              </w:rPr>
              <w:t>asset_id</w:t>
            </w:r>
          </w:p>
        </w:tc>
        <w:tc>
          <w:tcPr>
            <w:tcW w:type="dxa" w:w="3061"/>
            <w:vAlign w:val="top"/>
          </w:tcPr>
          <w:p>
            <w:pPr>
              <w:spacing w:after="0" w:before="0"/>
            </w:pPr>
            <w:r/>
            <w:r>
              <w:rPr>
                <w:b w:val="0"/>
              </w:rPr>
              <w:t>Static metadata updates; versioned</w:t>
            </w:r>
          </w:p>
        </w:tc>
      </w:tr>
      <w:tr>
        <w:tc>
          <w:tcPr>
            <w:tcW w:type="dxa" w:w="2381"/>
            <w:vAlign w:val="top"/>
          </w:tcPr>
          <w:p>
            <w:pPr>
              <w:spacing w:after="0" w:before="0"/>
            </w:pPr>
            <w:r/>
            <w:r>
              <w:rPr>
                <w:b w:val="0"/>
              </w:rPr>
              <w:t>gl014.maintenance.events</w:t>
            </w:r>
          </w:p>
        </w:tc>
        <w:tc>
          <w:tcPr>
            <w:tcW w:type="dxa" w:w="2268"/>
            <w:vAlign w:val="top"/>
          </w:tcPr>
          <w:p>
            <w:pPr>
              <w:spacing w:after="0" w:before="0"/>
            </w:pPr>
            <w:r/>
            <w:r>
              <w:rPr>
                <w:b w:val="0"/>
              </w:rPr>
              <w:t>MaintenanceEvent</w:t>
            </w:r>
          </w:p>
        </w:tc>
        <w:tc>
          <w:tcPr>
            <w:tcW w:type="dxa" w:w="1701"/>
            <w:vAlign w:val="top"/>
          </w:tcPr>
          <w:p>
            <w:pPr>
              <w:spacing w:after="0" w:before="0"/>
            </w:pPr>
            <w:r/>
            <w:r>
              <w:rPr>
                <w:b w:val="0"/>
              </w:rPr>
              <w:t>asset_id</w:t>
            </w:r>
          </w:p>
        </w:tc>
        <w:tc>
          <w:tcPr>
            <w:tcW w:type="dxa" w:w="3061"/>
            <w:vAlign w:val="top"/>
          </w:tcPr>
          <w:p>
            <w:pPr>
              <w:spacing w:after="0" w:before="0"/>
            </w:pPr>
            <w:r/>
            <w:r>
              <w:rPr>
                <w:b w:val="0"/>
              </w:rPr>
              <w:t>Cleaning/inspection events from CMMS</w:t>
            </w:r>
          </w:p>
        </w:tc>
      </w:tr>
      <w:tr>
        <w:tc>
          <w:tcPr>
            <w:tcW w:type="dxa" w:w="2381"/>
            <w:vAlign w:val="top"/>
          </w:tcPr>
          <w:p>
            <w:pPr>
              <w:spacing w:after="0" w:before="0"/>
            </w:pPr>
            <w:r/>
            <w:r>
              <w:rPr>
                <w:b w:val="0"/>
              </w:rPr>
              <w:t>gl014.computation.records</w:t>
            </w:r>
          </w:p>
        </w:tc>
        <w:tc>
          <w:tcPr>
            <w:tcW w:type="dxa" w:w="2268"/>
            <w:vAlign w:val="top"/>
          </w:tcPr>
          <w:p>
            <w:pPr>
              <w:spacing w:after="0" w:before="0"/>
            </w:pPr>
            <w:r/>
            <w:r>
              <w:rPr>
                <w:b w:val="0"/>
              </w:rPr>
              <w:t>ComputationRecord</w:t>
            </w:r>
          </w:p>
        </w:tc>
        <w:tc>
          <w:tcPr>
            <w:tcW w:type="dxa" w:w="1701"/>
            <w:vAlign w:val="top"/>
          </w:tcPr>
          <w:p>
            <w:pPr>
              <w:spacing w:after="0" w:before="0"/>
            </w:pPr>
            <w:r/>
            <w:r>
              <w:rPr>
                <w:b w:val="0"/>
              </w:rPr>
              <w:t>asset_id+timestamp</w:t>
            </w:r>
          </w:p>
        </w:tc>
        <w:tc>
          <w:tcPr>
            <w:tcW w:type="dxa" w:w="3061"/>
            <w:vAlign w:val="top"/>
          </w:tcPr>
          <w:p>
            <w:pPr>
              <w:spacing w:after="0" w:before="0"/>
            </w:pPr>
            <w:r/>
            <w:r>
              <w:rPr>
                <w:b w:val="0"/>
              </w:rPr>
              <w:t>Deterministic KPI outputs + versions</w:t>
            </w:r>
          </w:p>
        </w:tc>
      </w:tr>
      <w:tr>
        <w:tc>
          <w:tcPr>
            <w:tcW w:type="dxa" w:w="2381"/>
            <w:vAlign w:val="top"/>
          </w:tcPr>
          <w:p>
            <w:pPr>
              <w:spacing w:after="0" w:before="0"/>
            </w:pPr>
            <w:r/>
            <w:r>
              <w:rPr>
                <w:b w:val="0"/>
              </w:rPr>
              <w:t>gl014.recommendations</w:t>
            </w:r>
          </w:p>
        </w:tc>
        <w:tc>
          <w:tcPr>
            <w:tcW w:type="dxa" w:w="2268"/>
            <w:vAlign w:val="top"/>
          </w:tcPr>
          <w:p>
            <w:pPr>
              <w:spacing w:after="0" w:before="0"/>
            </w:pPr>
            <w:r/>
            <w:r>
              <w:rPr>
                <w:b w:val="0"/>
              </w:rPr>
              <w:t>Recommendation</w:t>
            </w:r>
          </w:p>
        </w:tc>
        <w:tc>
          <w:tcPr>
            <w:tcW w:type="dxa" w:w="1701"/>
            <w:vAlign w:val="top"/>
          </w:tcPr>
          <w:p>
            <w:pPr>
              <w:spacing w:after="0" w:before="0"/>
            </w:pPr>
            <w:r/>
            <w:r>
              <w:rPr>
                <w:b w:val="0"/>
              </w:rPr>
              <w:t>asset_id</w:t>
            </w:r>
          </w:p>
        </w:tc>
        <w:tc>
          <w:tcPr>
            <w:tcW w:type="dxa" w:w="3061"/>
            <w:vAlign w:val="top"/>
          </w:tcPr>
          <w:p>
            <w:pPr>
              <w:spacing w:after="0" w:before="0"/>
            </w:pPr>
            <w:r/>
            <w:r>
              <w:rPr>
                <w:b w:val="0"/>
              </w:rPr>
              <w:t>Cleaning/optimization recommendations and rationale</w:t>
            </w:r>
          </w:p>
        </w:tc>
      </w:tr>
    </w:tbl>
    <w:p/>
    <w:p>
      <w:pPr>
        <w:pStyle w:val="Heading2"/>
      </w:pPr>
      <w:r>
        <w:t>7.3 Storage and Retention</w:t>
      </w:r>
    </w:p>
    <w:p>
      <w:pPr>
        <w:pStyle w:val="ListBullet"/>
      </w:pPr>
      <w:r>
        <w:t>Raw time-series retention: retain enough history for forensic analysis and backfills (site-dependent; often 6–24 months).</w:t>
      </w:r>
    </w:p>
    <w:p>
      <w:pPr>
        <w:pStyle w:val="ListBullet"/>
      </w:pPr>
      <w:r>
        <w:t>Aggregated time-series: retain multi-year history for ML training and trend reporting.</w:t>
      </w:r>
    </w:p>
    <w:p>
      <w:pPr>
        <w:pStyle w:val="ListBullet"/>
      </w:pPr>
      <w:r>
        <w:t>Computation records: retain for auditability; store compactly (inputs hash + outputs + versions).</w:t>
      </w:r>
    </w:p>
    <w:p>
      <w:pPr>
        <w:pStyle w:val="ListBullet"/>
      </w:pPr>
      <w:r>
        <w:t>Maintenance events: retain indefinitely where possible (cleaning history is essential for model quality).</w:t>
      </w:r>
    </w:p>
    <w:p>
      <w:pPr>
        <w:pStyle w:val="ListBullet"/>
      </w:pPr>
      <w:r>
        <w:t>Access patterns: time-series DB for operational dashboards; data lake/warehouse for training and fleet analytics.</w:t>
      </w:r>
    </w:p>
    <w:p>
      <w:pPr>
        <w:pStyle w:val="Heading2"/>
      </w:pPr>
      <w:r>
        <w:t>7.4 Data Quality Services</w:t>
      </w:r>
    </w:p>
    <w:p>
      <w:pPr>
        <w:pStyle w:val="ListBullet"/>
      </w:pPr>
      <w:r>
        <w:t>Automated checks: range checks, rate-of-change checks, missingness, stuck signals, energy balance consistency.</w:t>
      </w:r>
    </w:p>
    <w:p>
      <w:pPr>
        <w:pStyle w:val="ListBullet"/>
      </w:pPr>
      <w:r>
        <w:t>Quarantine mechanism: mark bad data and prevent it from influencing KPIs and training sets.</w:t>
      </w:r>
    </w:p>
    <w:p>
      <w:pPr>
        <w:pStyle w:val="ListBullet"/>
      </w:pPr>
      <w:r>
        <w:t>Data quality dashboards: expose per-asset data quality health so instrumentation issues are visible early.</w:t>
      </w:r>
    </w:p>
    <w:p>
      <w:pPr>
        <w:pStyle w:val="ListBullet"/>
      </w:pPr>
      <w:r>
        <w:t>Root-cause workflow: create tickets to instrumentation/controls teams when persistent data issues are detected.</w:t>
      </w:r>
    </w:p>
    <w:p>
      <w:pPr>
        <w:pStyle w:val="Heading2"/>
      </w:pPr>
      <w:r>
        <w:t>7.5 CMMS Integration</w:t>
      </w:r>
    </w:p>
    <w:p>
      <w:r>
        <w:t>CMMS integration is required for closed-loop learning and operational adoption. Minimum integration capabilities:</w:t>
      </w:r>
    </w:p>
    <w:p>
      <w:pPr>
        <w:pStyle w:val="ListBullet"/>
      </w:pPr>
      <w:r>
        <w:t>Read: work orders, maintenance events, costs, completion timestamps, notes, and relevant codes.</w:t>
      </w:r>
    </w:p>
    <w:p>
      <w:pPr>
        <w:pStyle w:val="ListBullet"/>
      </w:pPr>
      <w:r>
        <w:t>Write (optional, depending on policy): draft work-order recommendations or notifications for human approval.</w:t>
      </w:r>
    </w:p>
    <w:p>
      <w:pPr>
        <w:pStyle w:val="ListBullet"/>
      </w:pPr>
      <w:r>
        <w:t>Linkage: every recommendation should reference the originating computation record IDs and be linkable to the final CMMS work order.</w:t>
      </w:r>
    </w:p>
    <w:p>
      <w:r>
        <w:t>Important: if automatic work-order creation is not allowed, implement a 'recommendation export' workflow for manual entry with consistent identifiers.</w:t>
      </w:r>
    </w:p>
    <w:p>
      <w:r>
        <w:br w:type="page"/>
      </w:r>
    </w:p>
    <w:p>
      <w:pPr>
        <w:pStyle w:val="Heading1"/>
      </w:pPr>
      <w:r>
        <w:t>8. Software Engineering Requirements</w:t>
      </w:r>
    </w:p>
    <w:p>
      <w:r>
        <w:t>This section defines what the software development team must build, how components interact, and the engineering standards required for production deployment. The system must be maintainable, testable, and auditable across multiple plants.</w:t>
      </w:r>
    </w:p>
    <w:p>
      <w:pPr>
        <w:pStyle w:val="Heading2"/>
      </w:pPr>
      <w:r>
        <w:t>8.1 Deterministic Thermal Engine (DTE) – Implementation Guidance</w:t>
      </w:r>
    </w:p>
    <w:p>
      <w:pPr>
        <w:pStyle w:val="ListBullet"/>
      </w:pPr>
      <w:r>
        <w:t>Implement DTE as a pure-function library (stateless) plus a thin API wrapper service.</w:t>
      </w:r>
    </w:p>
    <w:p>
      <w:pPr>
        <w:pStyle w:val="ListBullet"/>
      </w:pPr>
      <w:r>
        <w:t>Use strict unit handling (e.g., a units library) and reject mixed/unknown units at runtime.</w:t>
      </w:r>
    </w:p>
    <w:p>
      <w:pPr>
        <w:pStyle w:val="ListBullet"/>
      </w:pPr>
      <w:r>
        <w:t>Provide configuration-specific models: flow arrangement, shell/tube passes, correction factor handling, phase-change flags.</w:t>
      </w:r>
    </w:p>
    <w:p>
      <w:pPr>
        <w:pStyle w:val="ListBullet"/>
      </w:pPr>
      <w:r>
        <w:t>Return structured outputs: numeric results + warning/error codes + input quality summary.</w:t>
      </w:r>
    </w:p>
    <w:p>
      <w:pPr>
        <w:pStyle w:val="ListBullet"/>
      </w:pPr>
      <w:r>
        <w:t>Version the DTE independently; include version in every computation record.</w:t>
      </w:r>
    </w:p>
    <w:p>
      <w:r>
        <w:t>Recommended DTE output structure (per timestamp/asset): Q_hot, Q_cold, Q_reconciled, UA_LMTD, UA_NTU, epsilon, NTU, LMTD, F (if used), ΔP_hot, ΔP_cold, approach temperatures, validity flags, and diagnostic messages.</w:t>
      </w:r>
    </w:p>
    <w:p>
      <w:pPr>
        <w:pStyle w:val="Heading2"/>
      </w:pPr>
      <w:r>
        <w:t>8.2 Application Services</w:t>
      </w:r>
    </w:p>
    <w:p>
      <w:pPr>
        <w:pStyle w:val="ListBullet"/>
      </w:pPr>
      <w:r>
        <w:t>Thermal service: exposes deterministic computations and health checks.</w:t>
      </w:r>
    </w:p>
    <w:p>
      <w:pPr>
        <w:pStyle w:val="ListBullet"/>
      </w:pPr>
      <w:r>
        <w:t>ML service: hosts fouling models, feature transforms (or connects to feature store), and explanation endpoints.</w:t>
      </w:r>
    </w:p>
    <w:p>
      <w:pPr>
        <w:pStyle w:val="ListBullet"/>
      </w:pPr>
      <w:r>
        <w:t>Optimizer service: computes cleaning schedules and what-if scenarios.</w:t>
      </w:r>
    </w:p>
    <w:p>
      <w:pPr>
        <w:pStyle w:val="ListBullet"/>
      </w:pPr>
      <w:r>
        <w:t>Reporting service: generates dashboards and scheduled PDF/HTML reports.</w:t>
      </w:r>
    </w:p>
    <w:p>
      <w:pPr>
        <w:pStyle w:val="ListBullet"/>
      </w:pPr>
      <w:r>
        <w:t>Orchestrator: coordinates periodic computations, manages dependencies, and writes computation records to storage.</w:t>
      </w:r>
    </w:p>
    <w:p>
      <w:pPr>
        <w:pStyle w:val="Heading2"/>
      </w:pPr>
      <w:r>
        <w:t>8.3 Error Handling and Deterministic Behavior</w:t>
      </w:r>
    </w:p>
    <w:p>
      <w:pPr>
        <w:pStyle w:val="ListBullet"/>
      </w:pPr>
      <w:r>
        <w:t>Determinism: same inputs + same versions -&gt; identical outputs. Log all configuration and random seeds (if any).</w:t>
      </w:r>
    </w:p>
    <w:p>
      <w:pPr>
        <w:pStyle w:val="ListBullet"/>
      </w:pPr>
      <w:r>
        <w:t>Explicit failures: missing data, out-of-range values, and ill-conditioned math must produce error codes, not silent fallbacks.</w:t>
      </w:r>
    </w:p>
    <w:p>
      <w:pPr>
        <w:pStyle w:val="ListBullet"/>
      </w:pPr>
      <w:r>
        <w:t>Graceful degradation: if ML service is unavailable, continue deterministic monitoring and mark forecasts as unavailable.</w:t>
      </w:r>
    </w:p>
    <w:p>
      <w:pPr>
        <w:pStyle w:val="ListBullet"/>
      </w:pPr>
      <w:r>
        <w:t>Idempotency: repeated processing of the same time window should not create duplicate records (use stable IDs/hashes).</w:t>
      </w:r>
    </w:p>
    <w:p>
      <w:pPr>
        <w:pStyle w:val="Heading2"/>
      </w:pPr>
      <w:r>
        <w:t>8.4 Performance and Scalability</w:t>
      </w:r>
    </w:p>
    <w:p>
      <w:pPr>
        <w:pStyle w:val="ListBullet"/>
      </w:pPr>
      <w:r>
        <w:t>Target throughput: support fleet-scale computation (hundreds to thousands of exchangers) with minute-level resolution.</w:t>
      </w:r>
    </w:p>
    <w:p>
      <w:pPr>
        <w:pStyle w:val="ListBullet"/>
      </w:pPr>
      <w:r>
        <w:t>Batching: compute KPIs in micro-batches (e.g., 1–5 minutes) to reduce overhead.</w:t>
      </w:r>
    </w:p>
    <w:p>
      <w:pPr>
        <w:pStyle w:val="ListBullet"/>
      </w:pPr>
      <w:r>
        <w:t>Caching: cache fluid properties or intermediate results when safe and version-consistent.</w:t>
      </w:r>
    </w:p>
    <w:p>
      <w:pPr>
        <w:pStyle w:val="ListBullet"/>
      </w:pPr>
      <w:r>
        <w:t>Latency: near-real-time dashboards should update within acceptable plant limits (often 1–10 minutes).</w:t>
      </w:r>
    </w:p>
    <w:p>
      <w:pPr>
        <w:pStyle w:val="Heading2"/>
      </w:pPr>
      <w:r>
        <w:t>8.5 UX, Reporting, and Human Factors</w:t>
      </w:r>
    </w:p>
    <w:p>
      <w:pPr>
        <w:pStyle w:val="ListBullet"/>
      </w:pPr>
      <w:r>
        <w:t>Dashboards: show current UA degradation, ε, ΔP, predicted risk, and recommended actions.</w:t>
      </w:r>
    </w:p>
    <w:p>
      <w:pPr>
        <w:pStyle w:val="ListBullet"/>
      </w:pPr>
      <w:r>
        <w:t>Reports: provide engineering-style summaries including inputs used, calculation method versions, and explanation highlights.</w:t>
      </w:r>
    </w:p>
    <w:p>
      <w:pPr>
        <w:pStyle w:val="ListBullet"/>
      </w:pPr>
      <w:r>
        <w:t>Transparency: show 'why' and 'what changed' compared to last period (e.g., ΔUA trend and drivers).</w:t>
      </w:r>
    </w:p>
    <w:p>
      <w:pPr>
        <w:pStyle w:val="ListBullet"/>
      </w:pPr>
      <w:r>
        <w:t>User roles: operator vs engineer views; permissions aligned to site policy.</w:t>
      </w:r>
    </w:p>
    <w:p>
      <w:pPr>
        <w:pStyle w:val="Heading2"/>
      </w:pPr>
      <w:r>
        <w:t>8.6 DevOps and Release Engineering</w:t>
      </w:r>
    </w:p>
    <w:p>
      <w:pPr>
        <w:pStyle w:val="ListBullet"/>
      </w:pPr>
      <w:r>
        <w:t>Containerization: ship services as containers; prefer Kubernetes where available.</w:t>
      </w:r>
    </w:p>
    <w:p>
      <w:pPr>
        <w:pStyle w:val="ListBullet"/>
      </w:pPr>
      <w:r>
        <w:t>CI/CD: automated testing, security scanning, and artifact signing.</w:t>
      </w:r>
    </w:p>
    <w:p>
      <w:pPr>
        <w:pStyle w:val="ListBullet"/>
      </w:pPr>
      <w:r>
        <w:t>Versioning: semantic versioning for services and the DTE; pinned dependency versions for property engines.</w:t>
      </w:r>
    </w:p>
    <w:p>
      <w:pPr>
        <w:pStyle w:val="ListBullet"/>
      </w:pPr>
      <w:r>
        <w:t>Rollback: support safe rollback of models and service versions (blue/green or canary deployments).</w:t>
      </w:r>
    </w:p>
    <w:p>
      <w:r>
        <w:br w:type="page"/>
      </w:r>
    </w:p>
    <w:p>
      <w:pPr>
        <w:pStyle w:val="Heading1"/>
      </w:pPr>
      <w:r>
        <w:t>9. OT/Controls and Instrumentation Requirements</w:t>
      </w:r>
    </w:p>
    <w:p>
      <w:r>
        <w:t>Successful deployment depends on instrumentation fidelity and safe OT integration. This section defines instrumentation expectations, tag mapping responsibilities, and OT security constraints.</w:t>
      </w:r>
    </w:p>
    <w:p>
      <w:pPr>
        <w:pStyle w:val="Heading2"/>
      </w:pPr>
      <w:r>
        <w:t>9.1 Minimum Instrumentation for Reliable Optimization</w:t>
      </w:r>
    </w:p>
    <w:p>
      <w:pPr>
        <w:pStyle w:val="ListBullet"/>
      </w:pPr>
      <w:r>
        <w:t>Four temperatures: hot in/out, cold in/out (placed to minimize mixing and downstream heat losses).</w:t>
      </w:r>
    </w:p>
    <w:p>
      <w:pPr>
        <w:pStyle w:val="ListBullet"/>
      </w:pPr>
      <w:r>
        <w:t>Two flow measurements: hot-side and cold-side (mass flow preferred).</w:t>
      </w:r>
    </w:p>
    <w:p>
      <w:pPr>
        <w:pStyle w:val="ListBullet"/>
      </w:pPr>
      <w:r>
        <w:t>Two pressure measurements (or ΔP transmitters): hot-side and cold-side (required for fouling/plugging detection).</w:t>
      </w:r>
    </w:p>
    <w:p>
      <w:pPr>
        <w:pStyle w:val="ListBullet"/>
      </w:pPr>
      <w:r>
        <w:t>Operating/bypass state indicators (run status, bypass valve position or discrete bypass open).</w:t>
      </w:r>
    </w:p>
    <w:p>
      <w:pPr>
        <w:pStyle w:val="Heading2"/>
      </w:pPr>
      <w:r>
        <w:t>9.2 Recommended Accuracy and Calibration Practices</w:t>
      </w:r>
    </w:p>
    <w:p>
      <w:pPr>
        <w:pStyle w:val="ListBullet"/>
      </w:pPr>
      <w:r>
        <w:t>Temperature sensors: specify accuracy appropriate to approach temperatures; small errors can dominate UA calculations.</w:t>
      </w:r>
    </w:p>
    <w:p>
      <w:pPr>
        <w:pStyle w:val="ListBullet"/>
      </w:pPr>
      <w:r>
        <w:t>Flow meters: ensure turndown and density compensation where needed; document meter type and calibration intervals.</w:t>
      </w:r>
    </w:p>
    <w:p>
      <w:pPr>
        <w:pStyle w:val="ListBullet"/>
      </w:pPr>
      <w:r>
        <w:t>ΔP transmitters: range selection should capture both clean and fouled states; validate impulse line health.</w:t>
      </w:r>
    </w:p>
    <w:p>
      <w:pPr>
        <w:pStyle w:val="ListBullet"/>
      </w:pPr>
      <w:r>
        <w:t>Calibration records should be accessible for troubleshooting when the agent flags persistent energy imbalance.</w:t>
      </w:r>
    </w:p>
    <w:p>
      <w:pPr>
        <w:pStyle w:val="Heading2"/>
      </w:pPr>
      <w:r>
        <w:t>9.3 OT Integration Principles</w:t>
      </w:r>
    </w:p>
    <w:p>
      <w:pPr>
        <w:pStyle w:val="ListBullet"/>
      </w:pPr>
      <w:r>
        <w:t>Read-only by default: GL-014 should not write to PLC/DCS unless a formal control change project exists.</w:t>
      </w:r>
    </w:p>
    <w:p>
      <w:pPr>
        <w:pStyle w:val="ListBullet"/>
      </w:pPr>
      <w:r>
        <w:t>Network segmentation: deploy OPC-UA clients in approved DMZ/edge zones with strict firewall rules.</w:t>
      </w:r>
    </w:p>
    <w:p>
      <w:pPr>
        <w:pStyle w:val="ListBullet"/>
      </w:pPr>
      <w:r>
        <w:t>Credential and certificate management: align with site OT security standards.</w:t>
      </w:r>
    </w:p>
    <w:p>
      <w:pPr>
        <w:pStyle w:val="ListBullet"/>
      </w:pPr>
      <w:r>
        <w:t>Change control: any tag mapping changes must go through site MOC (Management of Change) processes.</w:t>
      </w:r>
    </w:p>
    <w:p>
      <w:pPr>
        <w:pStyle w:val="Heading2"/>
      </w:pPr>
      <w:r>
        <w:t>9.4 Cleaning Systems Integration</w:t>
      </w:r>
    </w:p>
    <w:p>
      <w:pPr>
        <w:pStyle w:val="ListBullet"/>
      </w:pPr>
      <w:r>
        <w:t>If automated cleaning systems exist (CIP, backflush, pigging), ingest their event logs as MaintenanceEvents.</w:t>
      </w:r>
    </w:p>
    <w:p>
      <w:pPr>
        <w:pStyle w:val="ListBullet"/>
      </w:pPr>
      <w:r>
        <w:t>Capture cleaning triggers, duration, and outcomes (pressure recovery, temperature approach recovery).</w:t>
      </w:r>
    </w:p>
    <w:p>
      <w:pPr>
        <w:pStyle w:val="ListBullet"/>
      </w:pPr>
      <w:r>
        <w:t>Ensure cleaning events are time-synchronized with process data to correctly train and evaluate fouling models.</w:t>
      </w:r>
    </w:p>
    <w:p>
      <w:r>
        <w:br w:type="page"/>
      </w:r>
    </w:p>
    <w:p>
      <w:pPr>
        <w:pStyle w:val="Heading1"/>
      </w:pPr>
      <w:r>
        <w:t>10. Climate Intelligence and Sustainability Accounting</w:t>
      </w:r>
    </w:p>
    <w:p>
      <w:r>
        <w:t>GL-014 is an optimization agent with direct energy and emissions impact. The climate intelligence team must define consistent accounting rules so reported savings are credible and comparable across sites.</w:t>
      </w:r>
    </w:p>
    <w:p>
      <w:pPr>
        <w:pStyle w:val="Heading2"/>
      </w:pPr>
      <w:r>
        <w:t>10.1 Energy Savings Methodology (Recommended)</w:t>
      </w:r>
    </w:p>
    <w:p>
      <w:pPr>
        <w:pStyle w:val="ListBullet"/>
      </w:pPr>
      <w:r>
        <w:t>Define baseline: typically 'post-clean performance at comparable operating conditions' or a validated clean-model estimate.</w:t>
      </w:r>
    </w:p>
    <w:p>
      <w:pPr>
        <w:pStyle w:val="ListBullet"/>
      </w:pPr>
      <w:r>
        <w:t>Compute recoverable heat loss: ΔQ_recoverable = Q_baseline - Q_current (or equivalent based on outlet temperature targets).</w:t>
      </w:r>
    </w:p>
    <w:p>
      <w:pPr>
        <w:pStyle w:val="ListBullet"/>
      </w:pPr>
      <w:r>
        <w:t>Translate ΔQ into utility savings using unit-specific mappings (e.g., reduced fired heater duty, reduced steam consumption, reduced cooling duty).</w:t>
      </w:r>
    </w:p>
    <w:p>
      <w:pPr>
        <w:pStyle w:val="ListBullet"/>
      </w:pPr>
      <w:r>
        <w:t>Account for constraints: if the process cannot fully utilize recovered heat, cap savings accordingly.</w:t>
      </w:r>
    </w:p>
    <w:p>
      <w:pPr>
        <w:pStyle w:val="Heading2"/>
      </w:pPr>
      <w:r>
        <w:t>10.2 CO2e Accounting</w:t>
      </w:r>
    </w:p>
    <w:p>
      <w:pPr>
        <w:pStyle w:val="ListBullet"/>
      </w:pPr>
      <w:r>
        <w:t>Use site-approved emission factors (steam, fuel gas, electricity). Maintain versioned emission factor tables.</w:t>
      </w:r>
    </w:p>
    <w:p>
      <w:pPr>
        <w:pStyle w:val="ListBullet"/>
      </w:pPr>
      <w:r>
        <w:t>Support both location-based and market-based electricity factors if required by corporate reporting.</w:t>
      </w:r>
    </w:p>
    <w:p>
      <w:pPr>
        <w:pStyle w:val="ListBullet"/>
      </w:pPr>
      <w:r>
        <w:t>Report CO2e avoided with clear boundaries (Scope 1 vs Scope 2) based on which utilities are impacted.</w:t>
      </w:r>
    </w:p>
    <w:p>
      <w:pPr>
        <w:pStyle w:val="ListBullet"/>
      </w:pPr>
      <w:r>
        <w:t>Include uncertainty ranges when savings depend on model forecasts or variable operating context.</w:t>
      </w:r>
    </w:p>
    <w:p>
      <w:pPr>
        <w:pStyle w:val="Heading2"/>
      </w:pPr>
      <w:r>
        <w:t>10.3 Sustainability KPIs and Reporting</w:t>
      </w:r>
    </w:p>
    <w:p>
      <w:pPr>
        <w:pStyle w:val="ListBullet"/>
      </w:pPr>
      <w:r>
        <w:t>Energy saved (GJ, MMBtu, kWh) by asset, unit, site, and fleet</w:t>
      </w:r>
    </w:p>
    <w:p>
      <w:pPr>
        <w:pStyle w:val="ListBullet"/>
      </w:pPr>
      <w:r>
        <w:t>CO2e avoided (tCO2e) by scope and utility type</w:t>
      </w:r>
    </w:p>
    <w:p>
      <w:pPr>
        <w:pStyle w:val="ListBullet"/>
      </w:pPr>
      <w:r>
        <w:t>Economic savings ($) using standardized energy price inputs</w:t>
      </w:r>
    </w:p>
    <w:p>
      <w:pPr>
        <w:pStyle w:val="ListBullet"/>
      </w:pPr>
      <w:r>
        <w:t>Maintenance efficiency: cleanings avoided, cleanings shifted to better windows, reduced emergency outages</w:t>
      </w:r>
    </w:p>
    <w:p>
      <w:pPr>
        <w:pStyle w:val="ListBullet"/>
      </w:pPr>
      <w:r>
        <w:t>Data-quality coverage: percentage of time savings are based on valid data vs suppressed due to quality</w:t>
      </w:r>
    </w:p>
    <w:p>
      <w:pPr>
        <w:pStyle w:val="Heading2"/>
      </w:pPr>
      <w:r>
        <w:t>10.4 Verification and Audit Readiness</w:t>
      </w:r>
    </w:p>
    <w:p>
      <w:pPr>
        <w:pStyle w:val="ListBullet"/>
      </w:pPr>
      <w:r>
        <w:t>Every savings claim must be traceable to computation records and baseline assumptions.</w:t>
      </w:r>
    </w:p>
    <w:p>
      <w:pPr>
        <w:pStyle w:val="ListBullet"/>
      </w:pPr>
      <w:r>
        <w:t>Store monthly snapshots of baselines and emission factors used.</w:t>
      </w:r>
    </w:p>
    <w:p>
      <w:pPr>
        <w:pStyle w:val="ListBullet"/>
      </w:pPr>
      <w:r>
        <w:t>Provide a 'savings narrative' in reports explaining why savings occurred (e.g., restored UA after cleaning).</w:t>
      </w:r>
    </w:p>
    <w:p>
      <w:r>
        <w:br w:type="page"/>
      </w:r>
    </w:p>
    <w:p>
      <w:pPr>
        <w:pStyle w:val="Heading1"/>
      </w:pPr>
      <w:r>
        <w:t>11. Testing, QA, and Acceptance Criteria</w:t>
      </w:r>
    </w:p>
    <w:p>
      <w:r>
        <w:t>GL-014 must be treated as an engineering-grade system. QA includes numerical correctness, data quality robustness, model validity, and operational usability. This section defines acceptance gates for production rollout.</w:t>
      </w:r>
    </w:p>
    <w:p>
      <w:pPr>
        <w:pStyle w:val="Heading2"/>
      </w:pPr>
      <w:r>
        <w:t>11.1 Deterministic Calculation QA (Hard Gate)</w:t>
      </w:r>
    </w:p>
    <w:p>
      <w:pPr>
        <w:pStyle w:val="ListBullet"/>
      </w:pPr>
      <w:r>
        <w:t>Benchmark suite: thermal engineering provides canonical cases; DTE must match within defined tolerances.</w:t>
      </w:r>
    </w:p>
    <w:p>
      <w:pPr>
        <w:pStyle w:val="ListBullet"/>
      </w:pPr>
      <w:r>
        <w:t>Unit test coverage: target high coverage for core formulas, edge cases, and unit conversions.</w:t>
      </w:r>
    </w:p>
    <w:p>
      <w:pPr>
        <w:pStyle w:val="ListBullet"/>
      </w:pPr>
      <w:r>
        <w:t>Numerical edge cases: LMTD near-equality, temperature cross, near-zero flows, missing tags.</w:t>
      </w:r>
    </w:p>
    <w:p>
      <w:pPr>
        <w:pStyle w:val="ListBullet"/>
      </w:pPr>
      <w:r>
        <w:t>Property validation: lock property library versions and run regression tests on upgrades.</w:t>
      </w:r>
    </w:p>
    <w:p>
      <w:pPr>
        <w:pStyle w:val="ListBullet"/>
      </w:pPr>
      <w:r>
        <w:t>Audit record: each computation stores inputs, outputs, versions, and warnings.</w:t>
      </w:r>
    </w:p>
    <w:p>
      <w:pPr>
        <w:pStyle w:val="Heading2"/>
      </w:pPr>
      <w:r>
        <w:t>11.2 ML and Optimizer QA</w:t>
      </w:r>
    </w:p>
    <w:p>
      <w:pPr>
        <w:pStyle w:val="ListBullet"/>
      </w:pPr>
      <w:r>
        <w:t>Offline evaluation: backtest fouling forecasts across multiple cleaning cycles; report error distributions.</w:t>
      </w:r>
    </w:p>
    <w:p>
      <w:pPr>
        <w:pStyle w:val="ListBullet"/>
      </w:pPr>
      <w:r>
        <w:t>Calibration: risk predictions must be calibrated (e.g., reliability diagrams) before operational use.</w:t>
      </w:r>
    </w:p>
    <w:p>
      <w:pPr>
        <w:pStyle w:val="ListBullet"/>
      </w:pPr>
      <w:r>
        <w:t>Stress tests: evaluate under regime changes (startup/shutdown, throughput swings).</w:t>
      </w:r>
    </w:p>
    <w:p>
      <w:pPr>
        <w:pStyle w:val="ListBullet"/>
      </w:pPr>
      <w:r>
        <w:t>Shadow mode: run recommendations without action for an initial period to validate operational fit.</w:t>
      </w:r>
    </w:p>
    <w:p>
      <w:pPr>
        <w:pStyle w:val="ListBullet"/>
      </w:pPr>
      <w:r>
        <w:t>Post-deployment monitoring: detect drift and performance degradation; alert when retraining is required.</w:t>
      </w:r>
    </w:p>
    <w:p>
      <w:pPr>
        <w:pStyle w:val="Heading2"/>
      </w:pPr>
      <w:r>
        <w:t>11.3 End-to-End Integration Testing</w:t>
      </w:r>
    </w:p>
    <w:p>
      <w:pPr>
        <w:pStyle w:val="ListBullet"/>
      </w:pPr>
      <w:r>
        <w:t>OPC-UA to Kafka: verify tag mapping, unit normalization, timestamp correctness, and quality propagation.</w:t>
      </w:r>
    </w:p>
    <w:p>
      <w:pPr>
        <w:pStyle w:val="ListBullet"/>
      </w:pPr>
      <w:r>
        <w:t>Kafka to storage: verify retention, partitioning, schema evolution, and replay/backfill behavior.</w:t>
      </w:r>
    </w:p>
    <w:p>
      <w:pPr>
        <w:pStyle w:val="ListBullet"/>
      </w:pPr>
      <w:r>
        <w:t>Service orchestration: verify DTE -&gt; ML -&gt; optimizer -&gt; reporting data flow with trace IDs.</w:t>
      </w:r>
    </w:p>
    <w:p>
      <w:pPr>
        <w:pStyle w:val="ListBullet"/>
      </w:pPr>
      <w:r>
        <w:t>CMMS linkage: verify maintenance events are ingested and recommendations can reference work orders.</w:t>
      </w:r>
    </w:p>
    <w:p>
      <w:pPr>
        <w:pStyle w:val="Heading2"/>
      </w:pPr>
      <w:r>
        <w:t>11.4 Acceptance Criteria (Minimum for Go-Live)</w:t>
      </w:r>
    </w:p>
    <w:p>
      <w:pPr>
        <w:pStyle w:val="ListBullet"/>
      </w:pPr>
      <w:r>
        <w:t>Deterministic KPIs (Q, UA, ε, LMTD, ΔP) validated on representative assets with engineering sign-off.</w:t>
      </w:r>
    </w:p>
    <w:p>
      <w:pPr>
        <w:pStyle w:val="ListBullet"/>
      </w:pPr>
      <w:r>
        <w:t>Data quality coverage above an agreed threshold (e.g., &gt;90% valid points for required tags).</w:t>
      </w:r>
    </w:p>
    <w:p>
      <w:pPr>
        <w:pStyle w:val="ListBullet"/>
      </w:pPr>
      <w:r>
        <w:t>Fouling forecast provides measurable improvement over baseline heuristics (defined by site).</w:t>
      </w:r>
    </w:p>
    <w:p>
      <w:pPr>
        <w:pStyle w:val="ListBullet"/>
      </w:pPr>
      <w:r>
        <w:t>Recommendations are explainable and actionable; reliability engineers accept workflow integration.</w:t>
      </w:r>
    </w:p>
    <w:p>
      <w:pPr>
        <w:pStyle w:val="ListBullet"/>
      </w:pPr>
      <w:r>
        <w:t>Security review completed; OT integration approved; audit logging enabled.</w:t>
      </w:r>
    </w:p>
    <w:p>
      <w:pPr>
        <w:pStyle w:val="ListBullet"/>
      </w:pPr>
      <w:r>
        <w:t>Operational runbook and incident response procedures completed.</w:t>
      </w:r>
    </w:p>
    <w:p>
      <w:r>
        <w:br w:type="page"/>
      </w:r>
    </w:p>
    <w:p>
      <w:pPr>
        <w:pStyle w:val="Heading1"/>
      </w:pPr>
      <w:r>
        <w:t>12. Security, Privacy, and Governance</w:t>
      </w:r>
    </w:p>
    <w:p>
      <w:r>
        <w:t>GL-014 operates in industrial environments with strict cybersecurity requirements. Security and governance must be designed in from day one, especially when bridging OT and IT.</w:t>
      </w:r>
    </w:p>
    <w:p>
      <w:pPr>
        <w:pStyle w:val="Heading2"/>
      </w:pPr>
      <w:r>
        <w:t>12.1 Security Requirements</w:t>
      </w:r>
    </w:p>
    <w:p>
      <w:pPr>
        <w:pStyle w:val="ListBullet"/>
      </w:pPr>
      <w:r>
        <w:t>Network segmentation between OT and IT; deploy edge connectors in approved zones.</w:t>
      </w:r>
    </w:p>
    <w:p>
      <w:pPr>
        <w:pStyle w:val="ListBullet"/>
      </w:pPr>
      <w:r>
        <w:t>Encrypt data in transit (TLS) and at rest where required by policy.</w:t>
      </w:r>
    </w:p>
    <w:p>
      <w:pPr>
        <w:pStyle w:val="ListBullet"/>
      </w:pPr>
      <w:r>
        <w:t>Authentication/authorization: integrate with enterprise identity where possible; enforce least privilege.</w:t>
      </w:r>
    </w:p>
    <w:p>
      <w:pPr>
        <w:pStyle w:val="ListBullet"/>
      </w:pPr>
      <w:r>
        <w:t>Secrets management: use approved secret stores; never hardcode credentials or certificates.</w:t>
      </w:r>
    </w:p>
    <w:p>
      <w:pPr>
        <w:pStyle w:val="ListBullet"/>
      </w:pPr>
      <w:r>
        <w:t>Kafka security: SASL/TLS, ACLs per topic; schema registry access controls.</w:t>
      </w:r>
    </w:p>
    <w:p>
      <w:pPr>
        <w:pStyle w:val="ListBullet"/>
      </w:pPr>
      <w:r>
        <w:t>Logging: capture security-relevant events (auth failures, config changes) with immutable storage where required.</w:t>
      </w:r>
    </w:p>
    <w:p>
      <w:pPr>
        <w:pStyle w:val="Heading2"/>
      </w:pPr>
      <w:r>
        <w:t>12.2 Governance and Change Management</w:t>
      </w:r>
    </w:p>
    <w:p>
      <w:pPr>
        <w:pStyle w:val="ListBullet"/>
      </w:pPr>
      <w:r>
        <w:t>Model governance: formal approval for production model changes; maintain model cards and evaluation artifacts.</w:t>
      </w:r>
    </w:p>
    <w:p>
      <w:pPr>
        <w:pStyle w:val="ListBullet"/>
      </w:pPr>
      <w:r>
        <w:t>Calculation governance: any change to DTE formulas or property libraries requires engineering review and re-benchmarking.</w:t>
      </w:r>
    </w:p>
    <w:p>
      <w:pPr>
        <w:pStyle w:val="ListBullet"/>
      </w:pPr>
      <w:r>
        <w:t>Configuration governance: asset metadata and tag mappings must be versioned; changes require review.</w:t>
      </w:r>
    </w:p>
    <w:p>
      <w:pPr>
        <w:pStyle w:val="ListBullet"/>
      </w:pPr>
      <w:r>
        <w:t>Audit trails: recommendation-to-action traceability, including who approved cleanings and what data was used.</w:t>
      </w:r>
    </w:p>
    <w:p>
      <w:pPr>
        <w:pStyle w:val="Heading2"/>
      </w:pPr>
      <w:r>
        <w:t>12.3 Data Privacy and Confidentiality</w:t>
      </w:r>
    </w:p>
    <w:p>
      <w:pPr>
        <w:pStyle w:val="ListBullet"/>
      </w:pPr>
      <w:r>
        <w:t>Treat process data and maintenance cost data as confidential business information.</w:t>
      </w:r>
    </w:p>
    <w:p>
      <w:pPr>
        <w:pStyle w:val="ListBullet"/>
      </w:pPr>
      <w:r>
        <w:t>Define data sharing boundaries across sites and corporate analytics; anonymize where required.</w:t>
      </w:r>
    </w:p>
    <w:p>
      <w:pPr>
        <w:pStyle w:val="ListBullet"/>
      </w:pPr>
      <w:r>
        <w:t>If cloud is used, comply with site and regional data residency constraints.</w:t>
      </w:r>
    </w:p>
    <w:p>
      <w:r>
        <w:br w:type="page"/>
      </w:r>
    </w:p>
    <w:p>
      <w:pPr>
        <w:pStyle w:val="Heading1"/>
      </w:pPr>
      <w:r>
        <w:t>13. Team Workplan and Deliverables</w:t>
      </w:r>
    </w:p>
    <w:p>
      <w:r>
        <w:t>This section assigns concrete deliverables by team. Teams may execute in parallel, but dependencies are explicitly called out. Where site-specific details are required, treat them as configuration, not code forks.</w:t>
      </w:r>
    </w:p>
    <w:p>
      <w:pPr>
        <w:pStyle w:val="Heading2"/>
      </w:pPr>
      <w:r>
        <w:t>13.1 Thermal / Process Engineering Team</w:t>
      </w:r>
    </w:p>
    <w:p>
      <w:pPr>
        <w:pStyle w:val="ListBullet"/>
      </w:pPr>
      <w:r>
        <w:t>Provide exchanger configuration inventory (TEMA type, passes, area, geometry where available).</w:t>
      </w:r>
    </w:p>
    <w:p>
      <w:pPr>
        <w:pStyle w:val="ListBullet"/>
      </w:pPr>
      <w:r>
        <w:t>Define configuration support matrix for v1 (which exchanger families are supported with full fidelity).</w:t>
      </w:r>
    </w:p>
    <w:p>
      <w:pPr>
        <w:pStyle w:val="ListBullet"/>
      </w:pPr>
      <w:r>
        <w:t>Provide benchmark cases and expected KPI outputs for automated validation.</w:t>
      </w:r>
    </w:p>
    <w:p>
      <w:pPr>
        <w:pStyle w:val="ListBullet"/>
      </w:pPr>
      <w:r>
        <w:t>Define tolerance thresholds for energy balance and KPI plausibility checks.</w:t>
      </w:r>
    </w:p>
    <w:p>
      <w:pPr>
        <w:pStyle w:val="ListBullet"/>
      </w:pPr>
      <w:r>
        <w:t>Approve baseline definitions (UA_reference) and interpretation rules for each unit.</w:t>
      </w:r>
    </w:p>
    <w:p>
      <w:pPr>
        <w:pStyle w:val="Heading2"/>
      </w:pPr>
      <w:r>
        <w:t>13.2 AI/ML Team</w:t>
      </w:r>
    </w:p>
    <w:p>
      <w:pPr>
        <w:pStyle w:val="ListBullet"/>
      </w:pPr>
      <w:r>
        <w:t>Define prediction targets and horizons per site (UA degradation, ΔP risk, temperature risk).</w:t>
      </w:r>
    </w:p>
    <w:p>
      <w:pPr>
        <w:pStyle w:val="ListBullet"/>
      </w:pPr>
      <w:r>
        <w:t>Build training dataset using computation records + maintenance events; implement feature pipelines.</w:t>
      </w:r>
    </w:p>
    <w:p>
      <w:pPr>
        <w:pStyle w:val="ListBullet"/>
      </w:pPr>
      <w:r>
        <w:t>Train baseline models (tree-based) and quantify uncertainty; create model evaluation reports.</w:t>
      </w:r>
    </w:p>
    <w:p>
      <w:pPr>
        <w:pStyle w:val="ListBullet"/>
      </w:pPr>
      <w:r>
        <w:t>Implement SHAP/LIME explainability endpoints and operator-friendly explanation mapping.</w:t>
      </w:r>
    </w:p>
    <w:p>
      <w:pPr>
        <w:pStyle w:val="ListBullet"/>
      </w:pPr>
      <w:r>
        <w:t>Set up model monitoring, drift detection, and retraining triggers with governance workflow.</w:t>
      </w:r>
    </w:p>
    <w:p>
      <w:pPr>
        <w:pStyle w:val="Heading2"/>
      </w:pPr>
      <w:r>
        <w:t>13.3 Data Engineering Team</w:t>
      </w:r>
    </w:p>
    <w:p>
      <w:pPr>
        <w:pStyle w:val="ListBullet"/>
      </w:pPr>
      <w:r>
        <w:t>Deliver canonical tag manifest template and onboard initial site exchanger tags.</w:t>
      </w:r>
    </w:p>
    <w:p>
      <w:pPr>
        <w:pStyle w:val="ListBullet"/>
      </w:pPr>
      <w:r>
        <w:t>Implement OPC-UA ingestion connectors with quality and unit normalization.</w:t>
      </w:r>
    </w:p>
    <w:p>
      <w:pPr>
        <w:pStyle w:val="ListBullet"/>
      </w:pPr>
      <w:r>
        <w:t>Stand up Kafka topics, schema registry, and storage sinks (time-series DB + lake).</w:t>
      </w:r>
    </w:p>
    <w:p>
      <w:pPr>
        <w:pStyle w:val="ListBullet"/>
      </w:pPr>
      <w:r>
        <w:t>Implement data quality checks and dashboards; integrate alerting for persistent issues.</w:t>
      </w:r>
    </w:p>
    <w:p>
      <w:pPr>
        <w:pStyle w:val="ListBullet"/>
      </w:pPr>
      <w:r>
        <w:t>Integrate CMMS maintenance events and standardize MaintenanceEvent schema.</w:t>
      </w:r>
    </w:p>
    <w:p>
      <w:pPr>
        <w:pStyle w:val="Heading2"/>
      </w:pPr>
      <w:r>
        <w:t>13.4 Software Development Team</w:t>
      </w:r>
    </w:p>
    <w:p>
      <w:pPr>
        <w:pStyle w:val="ListBullet"/>
      </w:pPr>
      <w:r>
        <w:t>Implement deterministic thermal engine library and API; achieve benchmark parity with engineering cases.</w:t>
      </w:r>
    </w:p>
    <w:p>
      <w:pPr>
        <w:pStyle w:val="ListBullet"/>
      </w:pPr>
      <w:r>
        <w:t>Implement orchestrator and computation record writer (traceable, idempotent).</w:t>
      </w:r>
    </w:p>
    <w:p>
      <w:pPr>
        <w:pStyle w:val="ListBullet"/>
      </w:pPr>
      <w:r>
        <w:t>Implement optimizer service and what-if analysis capabilities; integrate with ML forecasts.</w:t>
      </w:r>
    </w:p>
    <w:p>
      <w:pPr>
        <w:pStyle w:val="ListBullet"/>
      </w:pPr>
      <w:r>
        <w:t>Build dashboards and scheduled reporting; include audit details (versions, inputs used).</w:t>
      </w:r>
    </w:p>
    <w:p>
      <w:pPr>
        <w:pStyle w:val="ListBullet"/>
      </w:pPr>
      <w:r>
        <w:t>Implement role-based access controls and production-ready observability (logs, metrics, traces).</w:t>
      </w:r>
    </w:p>
    <w:p>
      <w:pPr>
        <w:pStyle w:val="Heading2"/>
      </w:pPr>
      <w:r>
        <w:t>13.5 Reliability and Maintenance Team</w:t>
      </w:r>
    </w:p>
    <w:p>
      <w:pPr>
        <w:pStyle w:val="ListBullet"/>
      </w:pPr>
      <w:r>
        <w:t>Define cleaning policies and constraints (allowed windows, methods, crew constraints).</w:t>
      </w:r>
    </w:p>
    <w:p>
      <w:pPr>
        <w:pStyle w:val="ListBullet"/>
      </w:pPr>
      <w:r>
        <w:t>Validate recommendation thresholds and approve CMMS workflow integration model.</w:t>
      </w:r>
    </w:p>
    <w:p>
      <w:pPr>
        <w:pStyle w:val="ListBullet"/>
      </w:pPr>
      <w:r>
        <w:t>Provide historical cleaning effectiveness assessments and cost parameters.</w:t>
      </w:r>
    </w:p>
    <w:p>
      <w:pPr>
        <w:pStyle w:val="ListBullet"/>
      </w:pPr>
      <w:r>
        <w:t>Run shadow-mode evaluation and approve transition to active recommendation mode.</w:t>
      </w:r>
    </w:p>
    <w:p>
      <w:pPr>
        <w:pStyle w:val="ListBullet"/>
      </w:pPr>
      <w:r>
        <w:t>Own operational playbook: how to respond to high-risk or anomaly alerts.</w:t>
      </w:r>
    </w:p>
    <w:p>
      <w:pPr>
        <w:pStyle w:val="Heading2"/>
      </w:pPr>
      <w:r>
        <w:t>13.6 OT/Controls and Instrumentation Team</w:t>
      </w:r>
    </w:p>
    <w:p>
      <w:pPr>
        <w:pStyle w:val="ListBullet"/>
      </w:pPr>
      <w:r>
        <w:t>Confirm instrumentation availability and accuracy; identify gaps and remediation plans.</w:t>
      </w:r>
    </w:p>
    <w:p>
      <w:pPr>
        <w:pStyle w:val="ListBullet"/>
      </w:pPr>
      <w:r>
        <w:t>Approve OPC-UA connectivity, certificates, firewall rules, and network zoning.</w:t>
      </w:r>
    </w:p>
    <w:p>
      <w:pPr>
        <w:pStyle w:val="ListBullet"/>
      </w:pPr>
      <w:r>
        <w:t>Deliver tag mapping and scaling validation; ensure correct placement semantics (true nozzle vs downstream).</w:t>
      </w:r>
    </w:p>
    <w:p>
      <w:pPr>
        <w:pStyle w:val="ListBullet"/>
      </w:pPr>
      <w:r>
        <w:t>Coordinate change management for any additional sensors or tag rework.</w:t>
      </w:r>
    </w:p>
    <w:p>
      <w:pPr>
        <w:pStyle w:val="ListBullet"/>
      </w:pPr>
      <w:r>
        <w:t>Support troubleshooting when the agent flags persistent energy imbalance or implausible KPIs.</w:t>
      </w:r>
    </w:p>
    <w:p>
      <w:pPr>
        <w:pStyle w:val="Heading2"/>
      </w:pPr>
      <w:r>
        <w:t>13.7 Climate Intelligence / Sustainability Team</w:t>
      </w:r>
    </w:p>
    <w:p>
      <w:pPr>
        <w:pStyle w:val="ListBullet"/>
      </w:pPr>
      <w:r>
        <w:t>Define standard energy and CO2e accounting rules and emission factor sources.</w:t>
      </w:r>
    </w:p>
    <w:p>
      <w:pPr>
        <w:pStyle w:val="ListBullet"/>
      </w:pPr>
      <w:r>
        <w:t>Provide energy price and emission factor tables; version and governance processes.</w:t>
      </w:r>
    </w:p>
    <w:p>
      <w:pPr>
        <w:pStyle w:val="ListBullet"/>
      </w:pPr>
      <w:r>
        <w:t>Validate savings methodologies with engineering and finance stakeholders.</w:t>
      </w:r>
    </w:p>
    <w:p>
      <w:pPr>
        <w:pStyle w:val="ListBullet"/>
      </w:pPr>
      <w:r>
        <w:t>Define reporting formats and KPIs for site, corporate, and external sustainability reporting.</w:t>
      </w:r>
    </w:p>
    <w:p>
      <w:pPr>
        <w:pStyle w:val="ListBullet"/>
      </w:pPr>
      <w:r>
        <w:t>Support verification and audit readiness by defining traceability requirements.</w:t>
      </w:r>
    </w:p>
    <w:p>
      <w:pPr>
        <w:pStyle w:val="Heading2"/>
      </w:pPr>
      <w:r>
        <w:t>13.8 Program Management / Delivery Team</w:t>
      </w:r>
    </w:p>
    <w:p>
      <w:pPr>
        <w:pStyle w:val="ListBullet"/>
      </w:pPr>
      <w:r>
        <w:t>Maintain integrated project plan to Q2 2026; manage dependencies and readiness gates.</w:t>
      </w:r>
    </w:p>
    <w:p>
      <w:pPr>
        <w:pStyle w:val="ListBullet"/>
      </w:pPr>
      <w:r>
        <w:t>Define go-live criteria per site and track progress (data readiness, model readiness, security readiness).</w:t>
      </w:r>
    </w:p>
    <w:p>
      <w:pPr>
        <w:pStyle w:val="ListBullet"/>
      </w:pPr>
      <w:r>
        <w:t>Coordinate stakeholder reviews and approvals (engineering, OT security, reliability).</w:t>
      </w:r>
    </w:p>
    <w:p>
      <w:pPr>
        <w:pStyle w:val="ListBullet"/>
      </w:pPr>
      <w:r>
        <w:t>Manage change control and communication plan across plants and teams.</w:t>
      </w:r>
    </w:p>
    <w:p>
      <w:pPr>
        <w:pStyle w:val="ListBullet"/>
      </w:pPr>
      <w:r>
        <w:t>Track realized value ($ savings, CO2e avoided) after deployment and close the loop into roadmap.</w:t>
      </w:r>
    </w:p>
    <w:p>
      <w:r>
        <w:br w:type="page"/>
      </w:r>
    </w:p>
    <w:p>
      <w:pPr>
        <w:pStyle w:val="Heading1"/>
      </w:pPr>
      <w:r>
        <w:t>14. Milestones and Timeline (Target: Q2 2026)</w:t>
      </w:r>
    </w:p>
    <w:p>
      <w:r>
        <w:t>The milestones below assume the program is in an 'implemented design baseline' state and is moving toward production scaling. Adjust dates per site readiness and corporate release governance.</w:t>
      </w:r>
    </w:p>
    <w:tbl>
      <w:tblPr>
        <w:tblStyle w:val="TableGrid"/>
        <w:tblW w:type="auto" w:w="0"/>
        <w:jc w:val="center"/>
        <w:tblLayout w:type="autofit"/>
        <w:tblLook w:firstColumn="1" w:firstRow="1" w:lastColumn="0" w:lastRow="0" w:noHBand="0" w:noVBand="1" w:val="04A0"/>
      </w:tblPr>
      <w:tblGrid>
        <w:gridCol w:w="3249"/>
        <w:gridCol w:w="3249"/>
        <w:gridCol w:w="3249"/>
      </w:tblGrid>
      <w:tr>
        <w:trPr>
          <w:tblHeader w:val="true"/>
        </w:trPr>
        <w:tc>
          <w:tcPr>
            <w:tcW w:type="dxa" w:w="2268"/>
            <w:shd w:val="clear" w:color="auto" w:fill="1F4E79"/>
            <w:vAlign w:val="center"/>
          </w:tcPr>
          <w:p>
            <w:pPr>
              <w:spacing w:after="0" w:before="0"/>
              <w:jc w:val="center"/>
            </w:pPr>
            <w:r/>
            <w:r>
              <w:rPr>
                <w:b/>
                <w:color w:val="FFFFFF"/>
              </w:rPr>
              <w:t>Phase</w:t>
            </w:r>
          </w:p>
        </w:tc>
        <w:tc>
          <w:tcPr>
            <w:tcW w:type="dxa" w:w="1814"/>
            <w:shd w:val="clear" w:color="auto" w:fill="1F4E79"/>
            <w:vAlign w:val="center"/>
          </w:tcPr>
          <w:p>
            <w:pPr>
              <w:spacing w:after="0" w:before="0"/>
              <w:jc w:val="center"/>
            </w:pPr>
            <w:r/>
            <w:r>
              <w:rPr>
                <w:b/>
                <w:color w:val="FFFFFF"/>
              </w:rPr>
              <w:t>Target Window</w:t>
            </w:r>
          </w:p>
        </w:tc>
        <w:tc>
          <w:tcPr>
            <w:tcW w:type="dxa" w:w="4989"/>
            <w:shd w:val="clear" w:color="auto" w:fill="1F4E79"/>
            <w:vAlign w:val="center"/>
          </w:tcPr>
          <w:p>
            <w:pPr>
              <w:spacing w:after="0" w:before="0"/>
              <w:jc w:val="center"/>
            </w:pPr>
            <w:r/>
            <w:r>
              <w:rPr>
                <w:b/>
                <w:color w:val="FFFFFF"/>
              </w:rPr>
              <w:t>Key Deliverables / Exit Criteria</w:t>
            </w:r>
          </w:p>
        </w:tc>
      </w:tr>
      <w:tr>
        <w:tc>
          <w:tcPr>
            <w:tcW w:type="dxa" w:w="2268"/>
            <w:vAlign w:val="top"/>
          </w:tcPr>
          <w:p>
            <w:pPr>
              <w:spacing w:after="0" w:before="0"/>
            </w:pPr>
            <w:r/>
            <w:r>
              <w:rPr>
                <w:b w:val="0"/>
              </w:rPr>
              <w:t>Data &amp; Asset Readiness</w:t>
            </w:r>
          </w:p>
        </w:tc>
        <w:tc>
          <w:tcPr>
            <w:tcW w:type="dxa" w:w="1814"/>
            <w:vAlign w:val="top"/>
          </w:tcPr>
          <w:p>
            <w:pPr>
              <w:spacing w:after="0" w:before="0"/>
            </w:pPr>
            <w:r/>
            <w:r>
              <w:rPr>
                <w:b w:val="0"/>
              </w:rPr>
              <w:t>Jan–Feb 2026</w:t>
            </w:r>
          </w:p>
        </w:tc>
        <w:tc>
          <w:tcPr>
            <w:tcW w:type="dxa" w:w="4989"/>
            <w:vAlign w:val="top"/>
          </w:tcPr>
          <w:p>
            <w:pPr>
              <w:spacing w:after="0" w:before="0"/>
            </w:pPr>
            <w:r/>
            <w:r>
              <w:rPr>
                <w:b w:val="0"/>
              </w:rPr>
              <w:t>Tag manifests complete; OPC-UA ingestion stable; asset metadata populated; data quality dashboards operational</w:t>
            </w:r>
          </w:p>
        </w:tc>
      </w:tr>
      <w:tr>
        <w:tc>
          <w:tcPr>
            <w:tcW w:type="dxa" w:w="2268"/>
            <w:vAlign w:val="top"/>
          </w:tcPr>
          <w:p>
            <w:pPr>
              <w:spacing w:after="0" w:before="0"/>
            </w:pPr>
            <w:r/>
            <w:r>
              <w:rPr>
                <w:b w:val="0"/>
              </w:rPr>
              <w:t>Deterministic Engine Validation</w:t>
            </w:r>
          </w:p>
        </w:tc>
        <w:tc>
          <w:tcPr>
            <w:tcW w:type="dxa" w:w="1814"/>
            <w:vAlign w:val="top"/>
          </w:tcPr>
          <w:p>
            <w:pPr>
              <w:spacing w:after="0" w:before="0"/>
            </w:pPr>
            <w:r/>
            <w:r>
              <w:rPr>
                <w:b w:val="0"/>
              </w:rPr>
              <w:t>Jan–Mar 2026</w:t>
            </w:r>
          </w:p>
        </w:tc>
        <w:tc>
          <w:tcPr>
            <w:tcW w:type="dxa" w:w="4989"/>
            <w:vAlign w:val="top"/>
          </w:tcPr>
          <w:p>
            <w:pPr>
              <w:spacing w:after="0" w:before="0"/>
            </w:pPr>
            <w:r/>
            <w:r>
              <w:rPr>
                <w:b w:val="0"/>
              </w:rPr>
              <w:t>Benchmark suite passed; UAT with thermal engineers; computation record auditability confirmed</w:t>
            </w:r>
          </w:p>
        </w:tc>
      </w:tr>
      <w:tr>
        <w:tc>
          <w:tcPr>
            <w:tcW w:type="dxa" w:w="2268"/>
            <w:vAlign w:val="top"/>
          </w:tcPr>
          <w:p>
            <w:pPr>
              <w:spacing w:after="0" w:before="0"/>
            </w:pPr>
            <w:r/>
            <w:r>
              <w:rPr>
                <w:b w:val="0"/>
              </w:rPr>
              <w:t>ML Baseline + Explainability</w:t>
            </w:r>
          </w:p>
        </w:tc>
        <w:tc>
          <w:tcPr>
            <w:tcW w:type="dxa" w:w="1814"/>
            <w:vAlign w:val="top"/>
          </w:tcPr>
          <w:p>
            <w:pPr>
              <w:spacing w:after="0" w:before="0"/>
            </w:pPr>
            <w:r/>
            <w:r>
              <w:rPr>
                <w:b w:val="0"/>
              </w:rPr>
              <w:t>Feb–Mar 2026</w:t>
            </w:r>
          </w:p>
        </w:tc>
        <w:tc>
          <w:tcPr>
            <w:tcW w:type="dxa" w:w="4989"/>
            <w:vAlign w:val="top"/>
          </w:tcPr>
          <w:p>
            <w:pPr>
              <w:spacing w:after="0" w:before="0"/>
            </w:pPr>
            <w:r/>
            <w:r>
              <w:rPr>
                <w:b w:val="0"/>
              </w:rPr>
              <w:t>Backtested models; SHAP/LIME reports validated; drift monitoring implemented</w:t>
            </w:r>
          </w:p>
        </w:tc>
      </w:tr>
      <w:tr>
        <w:tc>
          <w:tcPr>
            <w:tcW w:type="dxa" w:w="2268"/>
            <w:vAlign w:val="top"/>
          </w:tcPr>
          <w:p>
            <w:pPr>
              <w:spacing w:after="0" w:before="0"/>
            </w:pPr>
            <w:r/>
            <w:r>
              <w:rPr>
                <w:b w:val="0"/>
              </w:rPr>
              <w:t>Optimizer + CMMS Workflow</w:t>
            </w:r>
          </w:p>
        </w:tc>
        <w:tc>
          <w:tcPr>
            <w:tcW w:type="dxa" w:w="1814"/>
            <w:vAlign w:val="top"/>
          </w:tcPr>
          <w:p>
            <w:pPr>
              <w:spacing w:after="0" w:before="0"/>
            </w:pPr>
            <w:r/>
            <w:r>
              <w:rPr>
                <w:b w:val="0"/>
              </w:rPr>
              <w:t>Mar–Apr 2026</w:t>
            </w:r>
          </w:p>
        </w:tc>
        <w:tc>
          <w:tcPr>
            <w:tcW w:type="dxa" w:w="4989"/>
            <w:vAlign w:val="top"/>
          </w:tcPr>
          <w:p>
            <w:pPr>
              <w:spacing w:after="0" w:before="0"/>
            </w:pPr>
            <w:r/>
            <w:r>
              <w:rPr>
                <w:b w:val="0"/>
              </w:rPr>
              <w:t>Cleaning recommendation logic validated; CMMS integration in place; shadow-mode results reviewed</w:t>
            </w:r>
          </w:p>
        </w:tc>
      </w:tr>
      <w:tr>
        <w:tc>
          <w:tcPr>
            <w:tcW w:type="dxa" w:w="2268"/>
            <w:vAlign w:val="top"/>
          </w:tcPr>
          <w:p>
            <w:pPr>
              <w:spacing w:after="0" w:before="0"/>
            </w:pPr>
            <w:r/>
            <w:r>
              <w:rPr>
                <w:b w:val="0"/>
              </w:rPr>
              <w:t>Pilot Go-Live (1–2 sites)</w:t>
            </w:r>
          </w:p>
        </w:tc>
        <w:tc>
          <w:tcPr>
            <w:tcW w:type="dxa" w:w="1814"/>
            <w:vAlign w:val="top"/>
          </w:tcPr>
          <w:p>
            <w:pPr>
              <w:spacing w:after="0" w:before="0"/>
            </w:pPr>
            <w:r/>
            <w:r>
              <w:rPr>
                <w:b w:val="0"/>
              </w:rPr>
              <w:t>Apr–May 2026</w:t>
            </w:r>
          </w:p>
        </w:tc>
        <w:tc>
          <w:tcPr>
            <w:tcW w:type="dxa" w:w="4989"/>
            <w:vAlign w:val="top"/>
          </w:tcPr>
          <w:p>
            <w:pPr>
              <w:spacing w:after="0" w:before="0"/>
            </w:pPr>
            <w:r/>
            <w:r>
              <w:rPr>
                <w:b w:val="0"/>
              </w:rPr>
              <w:t>Active recommendations with human approval; savings tracking live; incident response/runbooks tested</w:t>
            </w:r>
          </w:p>
        </w:tc>
      </w:tr>
      <w:tr>
        <w:tc>
          <w:tcPr>
            <w:tcW w:type="dxa" w:w="2268"/>
            <w:vAlign w:val="top"/>
          </w:tcPr>
          <w:p>
            <w:pPr>
              <w:spacing w:after="0" w:before="0"/>
            </w:pPr>
            <w:r/>
            <w:r>
              <w:rPr>
                <w:b w:val="0"/>
              </w:rPr>
              <w:t>Scale-Out Release</w:t>
            </w:r>
          </w:p>
        </w:tc>
        <w:tc>
          <w:tcPr>
            <w:tcW w:type="dxa" w:w="1814"/>
            <w:vAlign w:val="top"/>
          </w:tcPr>
          <w:p>
            <w:pPr>
              <w:spacing w:after="0" w:before="0"/>
            </w:pPr>
            <w:r/>
            <w:r>
              <w:rPr>
                <w:b w:val="0"/>
              </w:rPr>
              <w:t>May–Jun 2026 (Q2 2026)</w:t>
            </w:r>
          </w:p>
        </w:tc>
        <w:tc>
          <w:tcPr>
            <w:tcW w:type="dxa" w:w="4989"/>
            <w:vAlign w:val="top"/>
          </w:tcPr>
          <w:p>
            <w:pPr>
              <w:spacing w:after="0" w:before="0"/>
            </w:pPr>
            <w:r/>
            <w:r>
              <w:rPr>
                <w:b w:val="0"/>
              </w:rPr>
              <w:t>Multi-site rollout package; standardized onboarding; security approvals; post-go-live value reporting</w:t>
            </w:r>
          </w:p>
        </w:tc>
      </w:tr>
    </w:tbl>
    <w:p/>
    <w:p>
      <w:r>
        <w:br w:type="page"/>
      </w:r>
    </w:p>
    <w:p>
      <w:pPr>
        <w:pStyle w:val="Heading1"/>
      </w:pPr>
      <w:r>
        <w:t>15. RACI Matrix (High-Level)</w:t>
      </w:r>
    </w:p>
    <w:tbl>
      <w:tblPr>
        <w:tblStyle w:val="TableGrid"/>
        <w:tblW w:type="auto" w:w="0"/>
        <w:jc w:val="center"/>
        <w:tblLayout w:type="autofit"/>
        <w:tblLook w:firstColumn="1" w:firstRow="1" w:lastColumn="0" w:lastRow="0" w:noHBand="0" w:noVBand="1" w:val="04A0"/>
      </w:tblPr>
      <w:tblGrid>
        <w:gridCol w:w="1949"/>
        <w:gridCol w:w="1949"/>
        <w:gridCol w:w="1949"/>
        <w:gridCol w:w="1949"/>
        <w:gridCol w:w="1949"/>
      </w:tblGrid>
      <w:tr>
        <w:trPr>
          <w:tblHeader w:val="true"/>
        </w:trPr>
        <w:tc>
          <w:tcPr>
            <w:tcW w:type="dxa" w:w="2835"/>
            <w:shd w:val="clear" w:color="auto" w:fill="1F4E79"/>
            <w:vAlign w:val="center"/>
          </w:tcPr>
          <w:p>
            <w:pPr>
              <w:spacing w:after="0" w:before="0"/>
              <w:jc w:val="center"/>
            </w:pPr>
            <w:r/>
            <w:r>
              <w:rPr>
                <w:b/>
                <w:color w:val="FFFFFF"/>
              </w:rPr>
              <w:t>Work Item</w:t>
            </w:r>
          </w:p>
        </w:tc>
        <w:tc>
          <w:tcPr>
            <w:tcW w:type="dxa" w:w="1701"/>
            <w:shd w:val="clear" w:color="auto" w:fill="1F4E79"/>
            <w:vAlign w:val="center"/>
          </w:tcPr>
          <w:p>
            <w:pPr>
              <w:spacing w:after="0" w:before="0"/>
              <w:jc w:val="center"/>
            </w:pPr>
            <w:r/>
            <w:r>
              <w:rPr>
                <w:b/>
                <w:color w:val="FFFFFF"/>
              </w:rPr>
              <w:t>Accountable</w:t>
            </w:r>
          </w:p>
        </w:tc>
        <w:tc>
          <w:tcPr>
            <w:tcW w:type="dxa" w:w="1814"/>
            <w:shd w:val="clear" w:color="auto" w:fill="1F4E79"/>
            <w:vAlign w:val="center"/>
          </w:tcPr>
          <w:p>
            <w:pPr>
              <w:spacing w:after="0" w:before="0"/>
              <w:jc w:val="center"/>
            </w:pPr>
            <w:r/>
            <w:r>
              <w:rPr>
                <w:b/>
                <w:color w:val="FFFFFF"/>
              </w:rPr>
              <w:t>Responsible</w:t>
            </w:r>
          </w:p>
        </w:tc>
        <w:tc>
          <w:tcPr>
            <w:tcW w:type="dxa" w:w="1814"/>
            <w:shd w:val="clear" w:color="auto" w:fill="1F4E79"/>
            <w:vAlign w:val="center"/>
          </w:tcPr>
          <w:p>
            <w:pPr>
              <w:spacing w:after="0" w:before="0"/>
              <w:jc w:val="center"/>
            </w:pPr>
            <w:r/>
            <w:r>
              <w:rPr>
                <w:b/>
                <w:color w:val="FFFFFF"/>
              </w:rPr>
              <w:t>Consulted</w:t>
            </w:r>
          </w:p>
        </w:tc>
        <w:tc>
          <w:tcPr>
            <w:tcW w:type="dxa" w:w="1247"/>
            <w:shd w:val="clear" w:color="auto" w:fill="1F4E79"/>
            <w:vAlign w:val="center"/>
          </w:tcPr>
          <w:p>
            <w:pPr>
              <w:spacing w:after="0" w:before="0"/>
              <w:jc w:val="center"/>
            </w:pPr>
            <w:r/>
            <w:r>
              <w:rPr>
                <w:b/>
                <w:color w:val="FFFFFF"/>
              </w:rPr>
              <w:t>Informed</w:t>
            </w:r>
          </w:p>
        </w:tc>
      </w:tr>
      <w:tr>
        <w:tc>
          <w:tcPr>
            <w:tcW w:type="dxa" w:w="2835"/>
            <w:vAlign w:val="top"/>
          </w:tcPr>
          <w:p>
            <w:pPr>
              <w:spacing w:after="0" w:before="0"/>
            </w:pPr>
            <w:r/>
            <w:r>
              <w:rPr>
                <w:b w:val="0"/>
              </w:rPr>
              <w:t>Asset metadata completeness</w:t>
            </w:r>
          </w:p>
        </w:tc>
        <w:tc>
          <w:tcPr>
            <w:tcW w:type="dxa" w:w="1701"/>
            <w:vAlign w:val="top"/>
          </w:tcPr>
          <w:p>
            <w:pPr>
              <w:spacing w:after="0" w:before="0"/>
            </w:pPr>
            <w:r/>
            <w:r>
              <w:rPr>
                <w:b w:val="0"/>
              </w:rPr>
              <w:t>Thermal/Process Eng</w:t>
            </w:r>
          </w:p>
        </w:tc>
        <w:tc>
          <w:tcPr>
            <w:tcW w:type="dxa" w:w="1814"/>
            <w:vAlign w:val="top"/>
          </w:tcPr>
          <w:p>
            <w:pPr>
              <w:spacing w:after="0" w:before="0"/>
            </w:pPr>
            <w:r/>
            <w:r>
              <w:rPr>
                <w:b w:val="0"/>
              </w:rPr>
              <w:t>Thermal/Process Eng + Data Eng</w:t>
            </w:r>
          </w:p>
        </w:tc>
        <w:tc>
          <w:tcPr>
            <w:tcW w:type="dxa" w:w="1814"/>
            <w:vAlign w:val="top"/>
          </w:tcPr>
          <w:p>
            <w:pPr>
              <w:spacing w:after="0" w:before="0"/>
            </w:pPr>
            <w:r/>
            <w:r>
              <w:rPr>
                <w:b w:val="0"/>
              </w:rPr>
              <w:t>Reliability, OT</w:t>
            </w:r>
          </w:p>
        </w:tc>
        <w:tc>
          <w:tcPr>
            <w:tcW w:type="dxa" w:w="1247"/>
            <w:vAlign w:val="top"/>
          </w:tcPr>
          <w:p>
            <w:pPr>
              <w:spacing w:after="0" w:before="0"/>
            </w:pPr>
            <w:r/>
            <w:r>
              <w:rPr>
                <w:b w:val="0"/>
              </w:rPr>
              <w:t>PM, Dev, AI/ML</w:t>
            </w:r>
          </w:p>
        </w:tc>
      </w:tr>
      <w:tr>
        <w:tc>
          <w:tcPr>
            <w:tcW w:type="dxa" w:w="2835"/>
            <w:vAlign w:val="top"/>
          </w:tcPr>
          <w:p>
            <w:pPr>
              <w:spacing w:after="0" w:before="0"/>
            </w:pPr>
            <w:r/>
            <w:r>
              <w:rPr>
                <w:b w:val="0"/>
              </w:rPr>
              <w:t>Tag mapping &amp; OPC-UA ingestion</w:t>
            </w:r>
          </w:p>
        </w:tc>
        <w:tc>
          <w:tcPr>
            <w:tcW w:type="dxa" w:w="1701"/>
            <w:vAlign w:val="top"/>
          </w:tcPr>
          <w:p>
            <w:pPr>
              <w:spacing w:after="0" w:before="0"/>
            </w:pPr>
            <w:r/>
            <w:r>
              <w:rPr>
                <w:b w:val="0"/>
              </w:rPr>
              <w:t>OT/Controls</w:t>
            </w:r>
          </w:p>
        </w:tc>
        <w:tc>
          <w:tcPr>
            <w:tcW w:type="dxa" w:w="1814"/>
            <w:vAlign w:val="top"/>
          </w:tcPr>
          <w:p>
            <w:pPr>
              <w:spacing w:after="0" w:before="0"/>
            </w:pPr>
            <w:r/>
            <w:r>
              <w:rPr>
                <w:b w:val="0"/>
              </w:rPr>
              <w:t>Data Eng + OT/Controls</w:t>
            </w:r>
          </w:p>
        </w:tc>
        <w:tc>
          <w:tcPr>
            <w:tcW w:type="dxa" w:w="1814"/>
            <w:vAlign w:val="top"/>
          </w:tcPr>
          <w:p>
            <w:pPr>
              <w:spacing w:after="0" w:before="0"/>
            </w:pPr>
            <w:r/>
            <w:r>
              <w:rPr>
                <w:b w:val="0"/>
              </w:rPr>
              <w:t>Security, Thermal Eng</w:t>
            </w:r>
          </w:p>
        </w:tc>
        <w:tc>
          <w:tcPr>
            <w:tcW w:type="dxa" w:w="1247"/>
            <w:vAlign w:val="top"/>
          </w:tcPr>
          <w:p>
            <w:pPr>
              <w:spacing w:after="0" w:before="0"/>
            </w:pPr>
            <w:r/>
            <w:r>
              <w:rPr>
                <w:b w:val="0"/>
              </w:rPr>
              <w:t>PM, Dev, AI/ML</w:t>
            </w:r>
          </w:p>
        </w:tc>
      </w:tr>
      <w:tr>
        <w:tc>
          <w:tcPr>
            <w:tcW w:type="dxa" w:w="2835"/>
            <w:vAlign w:val="top"/>
          </w:tcPr>
          <w:p>
            <w:pPr>
              <w:spacing w:after="0" w:before="0"/>
            </w:pPr>
            <w:r/>
            <w:r>
              <w:rPr>
                <w:b w:val="0"/>
              </w:rPr>
              <w:t>Deterministic thermal engine implementation</w:t>
            </w:r>
          </w:p>
        </w:tc>
        <w:tc>
          <w:tcPr>
            <w:tcW w:type="dxa" w:w="1701"/>
            <w:vAlign w:val="top"/>
          </w:tcPr>
          <w:p>
            <w:pPr>
              <w:spacing w:after="0" w:before="0"/>
            </w:pPr>
            <w:r/>
            <w:r>
              <w:rPr>
                <w:b w:val="0"/>
              </w:rPr>
              <w:t>Dev</w:t>
            </w:r>
          </w:p>
        </w:tc>
        <w:tc>
          <w:tcPr>
            <w:tcW w:type="dxa" w:w="1814"/>
            <w:vAlign w:val="top"/>
          </w:tcPr>
          <w:p>
            <w:pPr>
              <w:spacing w:after="0" w:before="0"/>
            </w:pPr>
            <w:r/>
            <w:r>
              <w:rPr>
                <w:b w:val="0"/>
              </w:rPr>
              <w:t>Dev</w:t>
            </w:r>
          </w:p>
        </w:tc>
        <w:tc>
          <w:tcPr>
            <w:tcW w:type="dxa" w:w="1814"/>
            <w:vAlign w:val="top"/>
          </w:tcPr>
          <w:p>
            <w:pPr>
              <w:spacing w:after="0" w:before="0"/>
            </w:pPr>
            <w:r/>
            <w:r>
              <w:rPr>
                <w:b w:val="0"/>
              </w:rPr>
              <w:t>Thermal/Process Eng</w:t>
            </w:r>
          </w:p>
        </w:tc>
        <w:tc>
          <w:tcPr>
            <w:tcW w:type="dxa" w:w="1247"/>
            <w:vAlign w:val="top"/>
          </w:tcPr>
          <w:p>
            <w:pPr>
              <w:spacing w:after="0" w:before="0"/>
            </w:pPr>
            <w:r/>
            <w:r>
              <w:rPr>
                <w:b w:val="0"/>
              </w:rPr>
              <w:t>PM, Reliability, AI/ML</w:t>
            </w:r>
          </w:p>
        </w:tc>
      </w:tr>
      <w:tr>
        <w:tc>
          <w:tcPr>
            <w:tcW w:type="dxa" w:w="2835"/>
            <w:vAlign w:val="top"/>
          </w:tcPr>
          <w:p>
            <w:pPr>
              <w:spacing w:after="0" w:before="0"/>
            </w:pPr>
            <w:r/>
            <w:r>
              <w:rPr>
                <w:b w:val="0"/>
              </w:rPr>
              <w:t>Thermal benchmark validation &amp; sign-off</w:t>
            </w:r>
          </w:p>
        </w:tc>
        <w:tc>
          <w:tcPr>
            <w:tcW w:type="dxa" w:w="1701"/>
            <w:vAlign w:val="top"/>
          </w:tcPr>
          <w:p>
            <w:pPr>
              <w:spacing w:after="0" w:before="0"/>
            </w:pPr>
            <w:r/>
            <w:r>
              <w:rPr>
                <w:b w:val="0"/>
              </w:rPr>
              <w:t>Thermal/Process Eng</w:t>
            </w:r>
          </w:p>
        </w:tc>
        <w:tc>
          <w:tcPr>
            <w:tcW w:type="dxa" w:w="1814"/>
            <w:vAlign w:val="top"/>
          </w:tcPr>
          <w:p>
            <w:pPr>
              <w:spacing w:after="0" w:before="0"/>
            </w:pPr>
            <w:r/>
            <w:r>
              <w:rPr>
                <w:b w:val="0"/>
              </w:rPr>
              <w:t>Thermal/Process Eng + Dev</w:t>
            </w:r>
          </w:p>
        </w:tc>
        <w:tc>
          <w:tcPr>
            <w:tcW w:type="dxa" w:w="1814"/>
            <w:vAlign w:val="top"/>
          </w:tcPr>
          <w:p>
            <w:pPr>
              <w:spacing w:after="0" w:before="0"/>
            </w:pPr>
            <w:r/>
            <w:r>
              <w:rPr>
                <w:b w:val="0"/>
              </w:rPr>
              <w:t>Reliability</w:t>
            </w:r>
          </w:p>
        </w:tc>
        <w:tc>
          <w:tcPr>
            <w:tcW w:type="dxa" w:w="1247"/>
            <w:vAlign w:val="top"/>
          </w:tcPr>
          <w:p>
            <w:pPr>
              <w:spacing w:after="0" w:before="0"/>
            </w:pPr>
            <w:r/>
            <w:r>
              <w:rPr>
                <w:b w:val="0"/>
              </w:rPr>
              <w:t>PM, OT</w:t>
            </w:r>
          </w:p>
        </w:tc>
      </w:tr>
      <w:tr>
        <w:tc>
          <w:tcPr>
            <w:tcW w:type="dxa" w:w="2835"/>
            <w:vAlign w:val="top"/>
          </w:tcPr>
          <w:p>
            <w:pPr>
              <w:spacing w:after="0" w:before="0"/>
            </w:pPr>
            <w:r/>
            <w:r>
              <w:rPr>
                <w:b w:val="0"/>
              </w:rPr>
              <w:t>Fouling model development</w:t>
            </w:r>
          </w:p>
        </w:tc>
        <w:tc>
          <w:tcPr>
            <w:tcW w:type="dxa" w:w="1701"/>
            <w:vAlign w:val="top"/>
          </w:tcPr>
          <w:p>
            <w:pPr>
              <w:spacing w:after="0" w:before="0"/>
            </w:pPr>
            <w:r/>
            <w:r>
              <w:rPr>
                <w:b w:val="0"/>
              </w:rPr>
              <w:t>AI/ML</w:t>
            </w:r>
          </w:p>
        </w:tc>
        <w:tc>
          <w:tcPr>
            <w:tcW w:type="dxa" w:w="1814"/>
            <w:vAlign w:val="top"/>
          </w:tcPr>
          <w:p>
            <w:pPr>
              <w:spacing w:after="0" w:before="0"/>
            </w:pPr>
            <w:r/>
            <w:r>
              <w:rPr>
                <w:b w:val="0"/>
              </w:rPr>
              <w:t>AI/ML</w:t>
            </w:r>
          </w:p>
        </w:tc>
        <w:tc>
          <w:tcPr>
            <w:tcW w:type="dxa" w:w="1814"/>
            <w:vAlign w:val="top"/>
          </w:tcPr>
          <w:p>
            <w:pPr>
              <w:spacing w:after="0" w:before="0"/>
            </w:pPr>
            <w:r/>
            <w:r>
              <w:rPr>
                <w:b w:val="0"/>
              </w:rPr>
              <w:t>Thermal Eng, Reliability, Data Eng</w:t>
            </w:r>
          </w:p>
        </w:tc>
        <w:tc>
          <w:tcPr>
            <w:tcW w:type="dxa" w:w="1247"/>
            <w:vAlign w:val="top"/>
          </w:tcPr>
          <w:p>
            <w:pPr>
              <w:spacing w:after="0" w:before="0"/>
            </w:pPr>
            <w:r/>
            <w:r>
              <w:rPr>
                <w:b w:val="0"/>
              </w:rPr>
              <w:t>PM, Dev</w:t>
            </w:r>
          </w:p>
        </w:tc>
      </w:tr>
      <w:tr>
        <w:tc>
          <w:tcPr>
            <w:tcW w:type="dxa" w:w="2835"/>
            <w:vAlign w:val="top"/>
          </w:tcPr>
          <w:p>
            <w:pPr>
              <w:spacing w:after="0" w:before="0"/>
            </w:pPr>
            <w:r/>
            <w:r>
              <w:rPr>
                <w:b w:val="0"/>
              </w:rPr>
              <w:t>Explainability (SHAP/LIME) integration</w:t>
            </w:r>
          </w:p>
        </w:tc>
        <w:tc>
          <w:tcPr>
            <w:tcW w:type="dxa" w:w="1701"/>
            <w:vAlign w:val="top"/>
          </w:tcPr>
          <w:p>
            <w:pPr>
              <w:spacing w:after="0" w:before="0"/>
            </w:pPr>
            <w:r/>
            <w:r>
              <w:rPr>
                <w:b w:val="0"/>
              </w:rPr>
              <w:t>AI/ML</w:t>
            </w:r>
          </w:p>
        </w:tc>
        <w:tc>
          <w:tcPr>
            <w:tcW w:type="dxa" w:w="1814"/>
            <w:vAlign w:val="top"/>
          </w:tcPr>
          <w:p>
            <w:pPr>
              <w:spacing w:after="0" w:before="0"/>
            </w:pPr>
            <w:r/>
            <w:r>
              <w:rPr>
                <w:b w:val="0"/>
              </w:rPr>
              <w:t>AI/ML + Dev</w:t>
            </w:r>
          </w:p>
        </w:tc>
        <w:tc>
          <w:tcPr>
            <w:tcW w:type="dxa" w:w="1814"/>
            <w:vAlign w:val="top"/>
          </w:tcPr>
          <w:p>
            <w:pPr>
              <w:spacing w:after="0" w:before="0"/>
            </w:pPr>
            <w:r/>
            <w:r>
              <w:rPr>
                <w:b w:val="0"/>
              </w:rPr>
              <w:t>Thermal Eng, Reliability</w:t>
            </w:r>
          </w:p>
        </w:tc>
        <w:tc>
          <w:tcPr>
            <w:tcW w:type="dxa" w:w="1247"/>
            <w:vAlign w:val="top"/>
          </w:tcPr>
          <w:p>
            <w:pPr>
              <w:spacing w:after="0" w:before="0"/>
            </w:pPr>
            <w:r/>
            <w:r>
              <w:rPr>
                <w:b w:val="0"/>
              </w:rPr>
              <w:t>PM, OT</w:t>
            </w:r>
          </w:p>
        </w:tc>
      </w:tr>
      <w:tr>
        <w:tc>
          <w:tcPr>
            <w:tcW w:type="dxa" w:w="2835"/>
            <w:vAlign w:val="top"/>
          </w:tcPr>
          <w:p>
            <w:pPr>
              <w:spacing w:after="0" w:before="0"/>
            </w:pPr>
            <w:r/>
            <w:r>
              <w:rPr>
                <w:b w:val="0"/>
              </w:rPr>
              <w:t>Cleaning optimizer development</w:t>
            </w:r>
          </w:p>
        </w:tc>
        <w:tc>
          <w:tcPr>
            <w:tcW w:type="dxa" w:w="1701"/>
            <w:vAlign w:val="top"/>
          </w:tcPr>
          <w:p>
            <w:pPr>
              <w:spacing w:after="0" w:before="0"/>
            </w:pPr>
            <w:r/>
            <w:r>
              <w:rPr>
                <w:b w:val="0"/>
              </w:rPr>
              <w:t>Reliability</w:t>
            </w:r>
          </w:p>
        </w:tc>
        <w:tc>
          <w:tcPr>
            <w:tcW w:type="dxa" w:w="1814"/>
            <w:vAlign w:val="top"/>
          </w:tcPr>
          <w:p>
            <w:pPr>
              <w:spacing w:after="0" w:before="0"/>
            </w:pPr>
            <w:r/>
            <w:r>
              <w:rPr>
                <w:b w:val="0"/>
              </w:rPr>
              <w:t>Dev + Reliability</w:t>
            </w:r>
          </w:p>
        </w:tc>
        <w:tc>
          <w:tcPr>
            <w:tcW w:type="dxa" w:w="1814"/>
            <w:vAlign w:val="top"/>
          </w:tcPr>
          <w:p>
            <w:pPr>
              <w:spacing w:after="0" w:before="0"/>
            </w:pPr>
            <w:r/>
            <w:r>
              <w:rPr>
                <w:b w:val="0"/>
              </w:rPr>
              <w:t>AI/ML, Thermal Eng</w:t>
            </w:r>
          </w:p>
        </w:tc>
        <w:tc>
          <w:tcPr>
            <w:tcW w:type="dxa" w:w="1247"/>
            <w:vAlign w:val="top"/>
          </w:tcPr>
          <w:p>
            <w:pPr>
              <w:spacing w:after="0" w:before="0"/>
            </w:pPr>
            <w:r/>
            <w:r>
              <w:rPr>
                <w:b w:val="0"/>
              </w:rPr>
              <w:t>PM, OT</w:t>
            </w:r>
          </w:p>
        </w:tc>
      </w:tr>
      <w:tr>
        <w:tc>
          <w:tcPr>
            <w:tcW w:type="dxa" w:w="2835"/>
            <w:vAlign w:val="top"/>
          </w:tcPr>
          <w:p>
            <w:pPr>
              <w:spacing w:after="0" w:before="0"/>
            </w:pPr>
            <w:r/>
            <w:r>
              <w:rPr>
                <w:b w:val="0"/>
              </w:rPr>
              <w:t>CMMS workflow integration</w:t>
            </w:r>
          </w:p>
        </w:tc>
        <w:tc>
          <w:tcPr>
            <w:tcW w:type="dxa" w:w="1701"/>
            <w:vAlign w:val="top"/>
          </w:tcPr>
          <w:p>
            <w:pPr>
              <w:spacing w:after="0" w:before="0"/>
            </w:pPr>
            <w:r/>
            <w:r>
              <w:rPr>
                <w:b w:val="0"/>
              </w:rPr>
              <w:t>Reliability</w:t>
            </w:r>
          </w:p>
        </w:tc>
        <w:tc>
          <w:tcPr>
            <w:tcW w:type="dxa" w:w="1814"/>
            <w:vAlign w:val="top"/>
          </w:tcPr>
          <w:p>
            <w:pPr>
              <w:spacing w:after="0" w:before="0"/>
            </w:pPr>
            <w:r/>
            <w:r>
              <w:rPr>
                <w:b w:val="0"/>
              </w:rPr>
              <w:t>Data Eng + Dev</w:t>
            </w:r>
          </w:p>
        </w:tc>
        <w:tc>
          <w:tcPr>
            <w:tcW w:type="dxa" w:w="1814"/>
            <w:vAlign w:val="top"/>
          </w:tcPr>
          <w:p>
            <w:pPr>
              <w:spacing w:after="0" w:before="0"/>
            </w:pPr>
            <w:r/>
            <w:r>
              <w:rPr>
                <w:b w:val="0"/>
              </w:rPr>
              <w:t>CMMS owners, Security</w:t>
            </w:r>
          </w:p>
        </w:tc>
        <w:tc>
          <w:tcPr>
            <w:tcW w:type="dxa" w:w="1247"/>
            <w:vAlign w:val="top"/>
          </w:tcPr>
          <w:p>
            <w:pPr>
              <w:spacing w:after="0" w:before="0"/>
            </w:pPr>
            <w:r/>
            <w:r>
              <w:rPr>
                <w:b w:val="0"/>
              </w:rPr>
              <w:t>PM, OT, AI/ML</w:t>
            </w:r>
          </w:p>
        </w:tc>
      </w:tr>
      <w:tr>
        <w:tc>
          <w:tcPr>
            <w:tcW w:type="dxa" w:w="2835"/>
            <w:vAlign w:val="top"/>
          </w:tcPr>
          <w:p>
            <w:pPr>
              <w:spacing w:after="0" w:before="0"/>
            </w:pPr>
            <w:r/>
            <w:r>
              <w:rPr>
                <w:b w:val="0"/>
              </w:rPr>
              <w:t>Energy/CO2 accounting rules</w:t>
            </w:r>
          </w:p>
        </w:tc>
        <w:tc>
          <w:tcPr>
            <w:tcW w:type="dxa" w:w="1701"/>
            <w:vAlign w:val="top"/>
          </w:tcPr>
          <w:p>
            <w:pPr>
              <w:spacing w:after="0" w:before="0"/>
            </w:pPr>
            <w:r/>
            <w:r>
              <w:rPr>
                <w:b w:val="0"/>
              </w:rPr>
              <w:t>Climate Intelligence</w:t>
            </w:r>
          </w:p>
        </w:tc>
        <w:tc>
          <w:tcPr>
            <w:tcW w:type="dxa" w:w="1814"/>
            <w:vAlign w:val="top"/>
          </w:tcPr>
          <w:p>
            <w:pPr>
              <w:spacing w:after="0" w:before="0"/>
            </w:pPr>
            <w:r/>
            <w:r>
              <w:rPr>
                <w:b w:val="0"/>
              </w:rPr>
              <w:t>Climate Intelligence</w:t>
            </w:r>
          </w:p>
        </w:tc>
        <w:tc>
          <w:tcPr>
            <w:tcW w:type="dxa" w:w="1814"/>
            <w:vAlign w:val="top"/>
          </w:tcPr>
          <w:p>
            <w:pPr>
              <w:spacing w:after="0" w:before="0"/>
            </w:pPr>
            <w:r/>
            <w:r>
              <w:rPr>
                <w:b w:val="0"/>
              </w:rPr>
              <w:t>Thermal Eng, Finance</w:t>
            </w:r>
          </w:p>
        </w:tc>
        <w:tc>
          <w:tcPr>
            <w:tcW w:type="dxa" w:w="1247"/>
            <w:vAlign w:val="top"/>
          </w:tcPr>
          <w:p>
            <w:pPr>
              <w:spacing w:after="0" w:before="0"/>
            </w:pPr>
            <w:r/>
            <w:r>
              <w:rPr>
                <w:b w:val="0"/>
              </w:rPr>
              <w:t>PM, Reliability</w:t>
            </w:r>
          </w:p>
        </w:tc>
      </w:tr>
      <w:tr>
        <w:tc>
          <w:tcPr>
            <w:tcW w:type="dxa" w:w="2835"/>
            <w:vAlign w:val="top"/>
          </w:tcPr>
          <w:p>
            <w:pPr>
              <w:spacing w:after="0" w:before="0"/>
            </w:pPr>
            <w:r/>
            <w:r>
              <w:rPr>
                <w:b w:val="0"/>
              </w:rPr>
              <w:t>Security review and approvals</w:t>
            </w:r>
          </w:p>
        </w:tc>
        <w:tc>
          <w:tcPr>
            <w:tcW w:type="dxa" w:w="1701"/>
            <w:vAlign w:val="top"/>
          </w:tcPr>
          <w:p>
            <w:pPr>
              <w:spacing w:after="0" w:before="0"/>
            </w:pPr>
            <w:r/>
            <w:r>
              <w:rPr>
                <w:b w:val="0"/>
              </w:rPr>
              <w:t>Security/IT</w:t>
            </w:r>
          </w:p>
        </w:tc>
        <w:tc>
          <w:tcPr>
            <w:tcW w:type="dxa" w:w="1814"/>
            <w:vAlign w:val="top"/>
          </w:tcPr>
          <w:p>
            <w:pPr>
              <w:spacing w:after="0" w:before="0"/>
            </w:pPr>
            <w:r/>
            <w:r>
              <w:rPr>
                <w:b w:val="0"/>
              </w:rPr>
              <w:t>Dev + Data Eng + OT</w:t>
            </w:r>
          </w:p>
        </w:tc>
        <w:tc>
          <w:tcPr>
            <w:tcW w:type="dxa" w:w="1814"/>
            <w:vAlign w:val="top"/>
          </w:tcPr>
          <w:p>
            <w:pPr>
              <w:spacing w:after="0" w:before="0"/>
            </w:pPr>
            <w:r/>
            <w:r>
              <w:rPr>
                <w:b w:val="0"/>
              </w:rPr>
              <w:t>All teams</w:t>
            </w:r>
          </w:p>
        </w:tc>
        <w:tc>
          <w:tcPr>
            <w:tcW w:type="dxa" w:w="1247"/>
            <w:vAlign w:val="top"/>
          </w:tcPr>
          <w:p>
            <w:pPr>
              <w:spacing w:after="0" w:before="0"/>
            </w:pPr>
            <w:r/>
            <w:r>
              <w:rPr>
                <w:b w:val="0"/>
              </w:rPr>
              <w:t>PM</w:t>
            </w:r>
          </w:p>
        </w:tc>
      </w:tr>
      <w:tr>
        <w:tc>
          <w:tcPr>
            <w:tcW w:type="dxa" w:w="2835"/>
            <w:vAlign w:val="top"/>
          </w:tcPr>
          <w:p>
            <w:pPr>
              <w:spacing w:after="0" w:before="0"/>
            </w:pPr>
            <w:r/>
            <w:r>
              <w:rPr>
                <w:b w:val="0"/>
              </w:rPr>
              <w:t>Pilot go-live readiness</w:t>
            </w:r>
          </w:p>
        </w:tc>
        <w:tc>
          <w:tcPr>
            <w:tcW w:type="dxa" w:w="1701"/>
            <w:vAlign w:val="top"/>
          </w:tcPr>
          <w:p>
            <w:pPr>
              <w:spacing w:after="0" w:before="0"/>
            </w:pPr>
            <w:r/>
            <w:r>
              <w:rPr>
                <w:b w:val="0"/>
              </w:rPr>
              <w:t>PM</w:t>
            </w:r>
          </w:p>
        </w:tc>
        <w:tc>
          <w:tcPr>
            <w:tcW w:type="dxa" w:w="1814"/>
            <w:vAlign w:val="top"/>
          </w:tcPr>
          <w:p>
            <w:pPr>
              <w:spacing w:after="0" w:before="0"/>
            </w:pPr>
            <w:r/>
            <w:r>
              <w:rPr>
                <w:b w:val="0"/>
              </w:rPr>
              <w:t>All teams</w:t>
            </w:r>
          </w:p>
        </w:tc>
        <w:tc>
          <w:tcPr>
            <w:tcW w:type="dxa" w:w="1814"/>
            <w:vAlign w:val="top"/>
          </w:tcPr>
          <w:p>
            <w:pPr>
              <w:spacing w:after="0" w:before="0"/>
            </w:pPr>
            <w:r/>
            <w:r>
              <w:rPr>
                <w:b w:val="0"/>
              </w:rPr>
              <w:t>Site leadership</w:t>
            </w:r>
          </w:p>
        </w:tc>
        <w:tc>
          <w:tcPr>
            <w:tcW w:type="dxa" w:w="1247"/>
            <w:vAlign w:val="top"/>
          </w:tcPr>
          <w:p>
            <w:pPr>
              <w:spacing w:after="0" w:before="0"/>
            </w:pPr>
            <w:r/>
            <w:r>
              <w:rPr>
                <w:b w:val="0"/>
              </w:rPr>
              <w:t>Stakeholders</w:t>
            </w:r>
          </w:p>
        </w:tc>
      </w:tr>
    </w:tbl>
    <w:p/>
    <w:p>
      <w:r>
        <w:br w:type="page"/>
      </w:r>
    </w:p>
    <w:p>
      <w:pPr>
        <w:pStyle w:val="Heading1"/>
      </w:pPr>
      <w:r>
        <w:t>Appendix A. Glossary</w:t>
      </w:r>
    </w:p>
    <w:tbl>
      <w:tblPr>
        <w:tblStyle w:val="TableGrid"/>
        <w:tblW w:type="auto" w:w="0"/>
        <w:jc w:val="center"/>
        <w:tblLayout w:type="autofit"/>
        <w:tblLook w:firstColumn="1" w:firstRow="1" w:lastColumn="0" w:lastRow="0" w:noHBand="0" w:noVBand="1" w:val="04A0"/>
      </w:tblPr>
      <w:tblGrid>
        <w:gridCol w:w="4873"/>
        <w:gridCol w:w="4873"/>
      </w:tblGrid>
      <w:tr>
        <w:trPr>
          <w:tblHeader w:val="true"/>
        </w:trPr>
        <w:tc>
          <w:tcPr>
            <w:tcW w:type="dxa" w:w="2268"/>
            <w:shd w:val="clear" w:color="auto" w:fill="1F4E79"/>
            <w:vAlign w:val="center"/>
          </w:tcPr>
          <w:p>
            <w:pPr>
              <w:spacing w:after="0" w:before="0"/>
              <w:jc w:val="center"/>
            </w:pPr>
            <w:r/>
            <w:r>
              <w:rPr>
                <w:b/>
                <w:color w:val="FFFFFF"/>
              </w:rPr>
              <w:t>Term</w:t>
            </w:r>
          </w:p>
        </w:tc>
        <w:tc>
          <w:tcPr>
            <w:tcW w:type="dxa" w:w="6803"/>
            <w:shd w:val="clear" w:color="auto" w:fill="1F4E79"/>
            <w:vAlign w:val="center"/>
          </w:tcPr>
          <w:p>
            <w:pPr>
              <w:spacing w:after="0" w:before="0"/>
              <w:jc w:val="center"/>
            </w:pPr>
            <w:r/>
            <w:r>
              <w:rPr>
                <w:b/>
                <w:color w:val="FFFFFF"/>
              </w:rPr>
              <w:t>Definition</w:t>
            </w:r>
          </w:p>
        </w:tc>
      </w:tr>
      <w:tr>
        <w:tc>
          <w:tcPr>
            <w:tcW w:type="dxa" w:w="2268"/>
            <w:vAlign w:val="top"/>
          </w:tcPr>
          <w:p>
            <w:pPr>
              <w:spacing w:after="0" w:before="0"/>
            </w:pPr>
            <w:r/>
            <w:r>
              <w:rPr>
                <w:b w:val="0"/>
              </w:rPr>
              <w:t>A (Area)</w:t>
            </w:r>
          </w:p>
        </w:tc>
        <w:tc>
          <w:tcPr>
            <w:tcW w:type="dxa" w:w="6803"/>
            <w:vAlign w:val="top"/>
          </w:tcPr>
          <w:p>
            <w:pPr>
              <w:spacing w:after="0" w:before="0"/>
            </w:pPr>
            <w:r/>
            <w:r>
              <w:rPr>
                <w:b w:val="0"/>
              </w:rPr>
              <w:t>Effective heat transfer area of the exchanger (m²).</w:t>
            </w:r>
          </w:p>
        </w:tc>
      </w:tr>
      <w:tr>
        <w:tc>
          <w:tcPr>
            <w:tcW w:type="dxa" w:w="2268"/>
            <w:vAlign w:val="top"/>
          </w:tcPr>
          <w:p>
            <w:pPr>
              <w:spacing w:after="0" w:before="0"/>
            </w:pPr>
            <w:r/>
            <w:r>
              <w:rPr>
                <w:b w:val="0"/>
              </w:rPr>
              <w:t>C_h, C_c</w:t>
            </w:r>
          </w:p>
        </w:tc>
        <w:tc>
          <w:tcPr>
            <w:tcW w:type="dxa" w:w="6803"/>
            <w:vAlign w:val="top"/>
          </w:tcPr>
          <w:p>
            <w:pPr>
              <w:spacing w:after="0" w:before="0"/>
            </w:pPr>
            <w:r/>
            <w:r>
              <w:rPr>
                <w:b w:val="0"/>
              </w:rPr>
              <w:t>Heat capacity rates (W/K) for hot and cold streams (m_dot * Cp for single-phase).</w:t>
            </w:r>
          </w:p>
        </w:tc>
      </w:tr>
      <w:tr>
        <w:tc>
          <w:tcPr>
            <w:tcW w:type="dxa" w:w="2268"/>
            <w:vAlign w:val="top"/>
          </w:tcPr>
          <w:p>
            <w:pPr>
              <w:spacing w:after="0" w:before="0"/>
            </w:pPr>
            <w:r/>
            <w:r>
              <w:rPr>
                <w:b w:val="0"/>
              </w:rPr>
              <w:t>C_min, C_max</w:t>
            </w:r>
          </w:p>
        </w:tc>
        <w:tc>
          <w:tcPr>
            <w:tcW w:type="dxa" w:w="6803"/>
            <w:vAlign w:val="top"/>
          </w:tcPr>
          <w:p>
            <w:pPr>
              <w:spacing w:after="0" w:before="0"/>
            </w:pPr>
            <w:r/>
            <w:r>
              <w:rPr>
                <w:b w:val="0"/>
              </w:rPr>
              <w:t>Minimum/maximum heat capacity rate; used in epsilon-NTU.</w:t>
            </w:r>
          </w:p>
        </w:tc>
      </w:tr>
      <w:tr>
        <w:tc>
          <w:tcPr>
            <w:tcW w:type="dxa" w:w="2268"/>
            <w:vAlign w:val="top"/>
          </w:tcPr>
          <w:p>
            <w:pPr>
              <w:spacing w:after="0" w:before="0"/>
            </w:pPr>
            <w:r/>
            <w:r>
              <w:rPr>
                <w:b w:val="0"/>
              </w:rPr>
              <w:t>C_r</w:t>
            </w:r>
          </w:p>
        </w:tc>
        <w:tc>
          <w:tcPr>
            <w:tcW w:type="dxa" w:w="6803"/>
            <w:vAlign w:val="top"/>
          </w:tcPr>
          <w:p>
            <w:pPr>
              <w:spacing w:after="0" w:before="0"/>
            </w:pPr>
            <w:r/>
            <w:r>
              <w:rPr>
                <w:b w:val="0"/>
              </w:rPr>
              <w:t>Capacity-rate ratio, C_min/C_max.</w:t>
            </w:r>
          </w:p>
        </w:tc>
      </w:tr>
      <w:tr>
        <w:tc>
          <w:tcPr>
            <w:tcW w:type="dxa" w:w="2268"/>
            <w:vAlign w:val="top"/>
          </w:tcPr>
          <w:p>
            <w:pPr>
              <w:spacing w:after="0" w:before="0"/>
            </w:pPr>
            <w:r/>
            <w:r>
              <w:rPr>
                <w:b w:val="0"/>
              </w:rPr>
              <w:t>CMMS</w:t>
            </w:r>
          </w:p>
        </w:tc>
        <w:tc>
          <w:tcPr>
            <w:tcW w:type="dxa" w:w="6803"/>
            <w:vAlign w:val="top"/>
          </w:tcPr>
          <w:p>
            <w:pPr>
              <w:spacing w:after="0" w:before="0"/>
            </w:pPr>
            <w:r/>
            <w:r>
              <w:rPr>
                <w:b w:val="0"/>
              </w:rPr>
              <w:t>Computerized Maintenance Management System (work orders, costs, history).</w:t>
            </w:r>
          </w:p>
        </w:tc>
      </w:tr>
      <w:tr>
        <w:tc>
          <w:tcPr>
            <w:tcW w:type="dxa" w:w="2268"/>
            <w:vAlign w:val="top"/>
          </w:tcPr>
          <w:p>
            <w:pPr>
              <w:spacing w:after="0" w:before="0"/>
            </w:pPr>
            <w:r/>
            <w:r>
              <w:rPr>
                <w:b w:val="0"/>
              </w:rPr>
              <w:t>ΔP</w:t>
            </w:r>
          </w:p>
        </w:tc>
        <w:tc>
          <w:tcPr>
            <w:tcW w:type="dxa" w:w="6803"/>
            <w:vAlign w:val="top"/>
          </w:tcPr>
          <w:p>
            <w:pPr>
              <w:spacing w:after="0" w:before="0"/>
            </w:pPr>
            <w:r/>
            <w:r>
              <w:rPr>
                <w:b w:val="0"/>
              </w:rPr>
              <w:t>Pressure drop across the exchanger side (kPa, bar).</w:t>
            </w:r>
          </w:p>
        </w:tc>
      </w:tr>
      <w:tr>
        <w:tc>
          <w:tcPr>
            <w:tcW w:type="dxa" w:w="2268"/>
            <w:vAlign w:val="top"/>
          </w:tcPr>
          <w:p>
            <w:pPr>
              <w:spacing w:after="0" w:before="0"/>
            </w:pPr>
            <w:r/>
            <w:r>
              <w:rPr>
                <w:b w:val="0"/>
              </w:rPr>
              <w:t>DTE</w:t>
            </w:r>
          </w:p>
        </w:tc>
        <w:tc>
          <w:tcPr>
            <w:tcW w:type="dxa" w:w="6803"/>
            <w:vAlign w:val="top"/>
          </w:tcPr>
          <w:p>
            <w:pPr>
              <w:spacing w:after="0" w:before="0"/>
            </w:pPr>
            <w:r/>
            <w:r>
              <w:rPr>
                <w:b w:val="0"/>
              </w:rPr>
              <w:t>Deterministic Thermal Engine – the physics calculation library/service.</w:t>
            </w:r>
          </w:p>
        </w:tc>
      </w:tr>
      <w:tr>
        <w:tc>
          <w:tcPr>
            <w:tcW w:type="dxa" w:w="2268"/>
            <w:vAlign w:val="top"/>
          </w:tcPr>
          <w:p>
            <w:pPr>
              <w:spacing w:after="0" w:before="0"/>
            </w:pPr>
            <w:r/>
            <w:r>
              <w:rPr>
                <w:b w:val="0"/>
              </w:rPr>
              <w:t>Epsilon (ε)</w:t>
            </w:r>
          </w:p>
        </w:tc>
        <w:tc>
          <w:tcPr>
            <w:tcW w:type="dxa" w:w="6803"/>
            <w:vAlign w:val="top"/>
          </w:tcPr>
          <w:p>
            <w:pPr>
              <w:spacing w:after="0" w:before="0"/>
            </w:pPr>
            <w:r/>
            <w:r>
              <w:rPr>
                <w:b w:val="0"/>
              </w:rPr>
              <w:t>Heat exchanger effectiveness: Q/Q_max.</w:t>
            </w:r>
          </w:p>
        </w:tc>
      </w:tr>
      <w:tr>
        <w:tc>
          <w:tcPr>
            <w:tcW w:type="dxa" w:w="2268"/>
            <w:vAlign w:val="top"/>
          </w:tcPr>
          <w:p>
            <w:pPr>
              <w:spacing w:after="0" w:before="0"/>
            </w:pPr>
            <w:r/>
            <w:r>
              <w:rPr>
                <w:b w:val="0"/>
              </w:rPr>
              <w:t>F</w:t>
            </w:r>
          </w:p>
        </w:tc>
        <w:tc>
          <w:tcPr>
            <w:tcW w:type="dxa" w:w="6803"/>
            <w:vAlign w:val="top"/>
          </w:tcPr>
          <w:p>
            <w:pPr>
              <w:spacing w:after="0" w:before="0"/>
            </w:pPr>
            <w:r/>
            <w:r>
              <w:rPr>
                <w:b w:val="0"/>
              </w:rPr>
              <w:t>LMTD correction factor for multipass/complex configurations.</w:t>
            </w:r>
          </w:p>
        </w:tc>
      </w:tr>
      <w:tr>
        <w:tc>
          <w:tcPr>
            <w:tcW w:type="dxa" w:w="2268"/>
            <w:vAlign w:val="top"/>
          </w:tcPr>
          <w:p>
            <w:pPr>
              <w:spacing w:after="0" w:before="0"/>
            </w:pPr>
            <w:r/>
            <w:r>
              <w:rPr>
                <w:b w:val="0"/>
              </w:rPr>
              <w:t>Fouling factor (Rf)</w:t>
            </w:r>
          </w:p>
        </w:tc>
        <w:tc>
          <w:tcPr>
            <w:tcW w:type="dxa" w:w="6803"/>
            <w:vAlign w:val="top"/>
          </w:tcPr>
          <w:p>
            <w:pPr>
              <w:spacing w:after="0" w:before="0"/>
            </w:pPr>
            <w:r/>
            <w:r>
              <w:rPr>
                <w:b w:val="0"/>
              </w:rPr>
              <w:t>Thermal resistance due to deposits; often expressed as m²·K/W.</w:t>
            </w:r>
          </w:p>
        </w:tc>
      </w:tr>
      <w:tr>
        <w:tc>
          <w:tcPr>
            <w:tcW w:type="dxa" w:w="2268"/>
            <w:vAlign w:val="top"/>
          </w:tcPr>
          <w:p>
            <w:pPr>
              <w:spacing w:after="0" w:before="0"/>
            </w:pPr>
            <w:r/>
            <w:r>
              <w:rPr>
                <w:b w:val="0"/>
              </w:rPr>
              <w:t>Kafka</w:t>
            </w:r>
          </w:p>
        </w:tc>
        <w:tc>
          <w:tcPr>
            <w:tcW w:type="dxa" w:w="6803"/>
            <w:vAlign w:val="top"/>
          </w:tcPr>
          <w:p>
            <w:pPr>
              <w:spacing w:after="0" w:before="0"/>
            </w:pPr>
            <w:r/>
            <w:r>
              <w:rPr>
                <w:b w:val="0"/>
              </w:rPr>
              <w:t>Distributed event streaming platform used for ingestion and integration.</w:t>
            </w:r>
          </w:p>
        </w:tc>
      </w:tr>
      <w:tr>
        <w:tc>
          <w:tcPr>
            <w:tcW w:type="dxa" w:w="2268"/>
            <w:vAlign w:val="top"/>
          </w:tcPr>
          <w:p>
            <w:pPr>
              <w:spacing w:after="0" w:before="0"/>
            </w:pPr>
            <w:r/>
            <w:r>
              <w:rPr>
                <w:b w:val="0"/>
              </w:rPr>
              <w:t>LIME</w:t>
            </w:r>
          </w:p>
        </w:tc>
        <w:tc>
          <w:tcPr>
            <w:tcW w:type="dxa" w:w="6803"/>
            <w:vAlign w:val="top"/>
          </w:tcPr>
          <w:p>
            <w:pPr>
              <w:spacing w:after="0" w:before="0"/>
            </w:pPr>
            <w:r/>
            <w:r>
              <w:rPr>
                <w:b w:val="0"/>
              </w:rPr>
              <w:t>Local Interpretable Model-agnostic Explanations – explanation technique.</w:t>
            </w:r>
          </w:p>
        </w:tc>
      </w:tr>
      <w:tr>
        <w:tc>
          <w:tcPr>
            <w:tcW w:type="dxa" w:w="2268"/>
            <w:vAlign w:val="top"/>
          </w:tcPr>
          <w:p>
            <w:pPr>
              <w:spacing w:after="0" w:before="0"/>
            </w:pPr>
            <w:r/>
            <w:r>
              <w:rPr>
                <w:b w:val="0"/>
              </w:rPr>
              <w:t>LMTD</w:t>
            </w:r>
          </w:p>
        </w:tc>
        <w:tc>
          <w:tcPr>
            <w:tcW w:type="dxa" w:w="6803"/>
            <w:vAlign w:val="top"/>
          </w:tcPr>
          <w:p>
            <w:pPr>
              <w:spacing w:after="0" w:before="0"/>
            </w:pPr>
            <w:r/>
            <w:r>
              <w:rPr>
                <w:b w:val="0"/>
              </w:rPr>
              <w:t>Log Mean Temperature Difference used in UA calculations.</w:t>
            </w:r>
          </w:p>
        </w:tc>
      </w:tr>
      <w:tr>
        <w:tc>
          <w:tcPr>
            <w:tcW w:type="dxa" w:w="2268"/>
            <w:vAlign w:val="top"/>
          </w:tcPr>
          <w:p>
            <w:pPr>
              <w:spacing w:after="0" w:before="0"/>
            </w:pPr>
            <w:r/>
            <w:r>
              <w:rPr>
                <w:b w:val="0"/>
              </w:rPr>
              <w:t>NTU</w:t>
            </w:r>
          </w:p>
        </w:tc>
        <w:tc>
          <w:tcPr>
            <w:tcW w:type="dxa" w:w="6803"/>
            <w:vAlign w:val="top"/>
          </w:tcPr>
          <w:p>
            <w:pPr>
              <w:spacing w:after="0" w:before="0"/>
            </w:pPr>
            <w:r/>
            <w:r>
              <w:rPr>
                <w:b w:val="0"/>
              </w:rPr>
              <w:t>Number of Transfer Units: UA/C_min.</w:t>
            </w:r>
          </w:p>
        </w:tc>
      </w:tr>
      <w:tr>
        <w:tc>
          <w:tcPr>
            <w:tcW w:type="dxa" w:w="2268"/>
            <w:vAlign w:val="top"/>
          </w:tcPr>
          <w:p>
            <w:pPr>
              <w:spacing w:after="0" w:before="0"/>
            </w:pPr>
            <w:r/>
            <w:r>
              <w:rPr>
                <w:b w:val="0"/>
              </w:rPr>
              <w:t>OPC-UA</w:t>
            </w:r>
          </w:p>
        </w:tc>
        <w:tc>
          <w:tcPr>
            <w:tcW w:type="dxa" w:w="6803"/>
            <w:vAlign w:val="top"/>
          </w:tcPr>
          <w:p>
            <w:pPr>
              <w:spacing w:after="0" w:before="0"/>
            </w:pPr>
            <w:r/>
            <w:r>
              <w:rPr>
                <w:b w:val="0"/>
              </w:rPr>
              <w:t>OPC Unified Architecture – industrial communication standard.</w:t>
            </w:r>
          </w:p>
        </w:tc>
      </w:tr>
      <w:tr>
        <w:tc>
          <w:tcPr>
            <w:tcW w:type="dxa" w:w="2268"/>
            <w:vAlign w:val="top"/>
          </w:tcPr>
          <w:p>
            <w:pPr>
              <w:spacing w:after="0" w:before="0"/>
            </w:pPr>
            <w:r/>
            <w:r>
              <w:rPr>
                <w:b w:val="0"/>
              </w:rPr>
              <w:t>Q</w:t>
            </w:r>
          </w:p>
        </w:tc>
        <w:tc>
          <w:tcPr>
            <w:tcW w:type="dxa" w:w="6803"/>
            <w:vAlign w:val="top"/>
          </w:tcPr>
          <w:p>
            <w:pPr>
              <w:spacing w:after="0" w:before="0"/>
            </w:pPr>
            <w:r/>
            <w:r>
              <w:rPr>
                <w:b w:val="0"/>
              </w:rPr>
              <w:t>Heat duty (W) transferred in the exchanger.</w:t>
            </w:r>
          </w:p>
        </w:tc>
      </w:tr>
      <w:tr>
        <w:tc>
          <w:tcPr>
            <w:tcW w:type="dxa" w:w="2268"/>
            <w:vAlign w:val="top"/>
          </w:tcPr>
          <w:p>
            <w:pPr>
              <w:spacing w:after="0" w:before="0"/>
            </w:pPr>
            <w:r/>
            <w:r>
              <w:rPr>
                <w:b w:val="0"/>
              </w:rPr>
              <w:t>SHAP</w:t>
            </w:r>
          </w:p>
        </w:tc>
        <w:tc>
          <w:tcPr>
            <w:tcW w:type="dxa" w:w="6803"/>
            <w:vAlign w:val="top"/>
          </w:tcPr>
          <w:p>
            <w:pPr>
              <w:spacing w:after="0" w:before="0"/>
            </w:pPr>
            <w:r/>
            <w:r>
              <w:rPr>
                <w:b w:val="0"/>
              </w:rPr>
              <w:t>SHapley Additive exPlanations – feature attribution method.</w:t>
            </w:r>
          </w:p>
        </w:tc>
      </w:tr>
      <w:tr>
        <w:tc>
          <w:tcPr>
            <w:tcW w:type="dxa" w:w="2268"/>
            <w:vAlign w:val="top"/>
          </w:tcPr>
          <w:p>
            <w:pPr>
              <w:spacing w:after="0" w:before="0"/>
            </w:pPr>
            <w:r/>
            <w:r>
              <w:rPr>
                <w:b w:val="0"/>
              </w:rPr>
              <w:t>TEMA</w:t>
            </w:r>
          </w:p>
        </w:tc>
        <w:tc>
          <w:tcPr>
            <w:tcW w:type="dxa" w:w="6803"/>
            <w:vAlign w:val="top"/>
          </w:tcPr>
          <w:p>
            <w:pPr>
              <w:spacing w:after="0" w:before="0"/>
            </w:pPr>
            <w:r/>
            <w:r>
              <w:rPr>
                <w:b w:val="0"/>
              </w:rPr>
              <w:t>Tubular Exchanger Manufacturers Association – standards and nomenclature commonly used for shell-and-tube exchangers.</w:t>
            </w:r>
          </w:p>
        </w:tc>
      </w:tr>
      <w:tr>
        <w:tc>
          <w:tcPr>
            <w:tcW w:type="dxa" w:w="2268"/>
            <w:vAlign w:val="top"/>
          </w:tcPr>
          <w:p>
            <w:pPr>
              <w:spacing w:after="0" w:before="0"/>
            </w:pPr>
            <w:r/>
            <w:r>
              <w:rPr>
                <w:b w:val="0"/>
              </w:rPr>
              <w:t>UA</w:t>
            </w:r>
          </w:p>
        </w:tc>
        <w:tc>
          <w:tcPr>
            <w:tcW w:type="dxa" w:w="6803"/>
            <w:vAlign w:val="top"/>
          </w:tcPr>
          <w:p>
            <w:pPr>
              <w:spacing w:after="0" w:before="0"/>
            </w:pPr>
            <w:r/>
            <w:r>
              <w:rPr>
                <w:b w:val="0"/>
              </w:rPr>
              <w:t>Overall heat transfer conductance (W/K); U times area.</w:t>
            </w:r>
          </w:p>
        </w:tc>
      </w:tr>
    </w:tbl>
    <w:p/>
    <w:p>
      <w:pPr>
        <w:pStyle w:val="Heading1"/>
      </w:pPr>
      <w:r>
        <w:t>Appendix B. Sample Event Schemas (Illustrative)</w:t>
      </w:r>
    </w:p>
    <w:p>
      <w:r>
        <w:t>These schemas are illustrative. Final schemas must be reviewed and aligned with the enterprise data standards and the selected serialization format.</w:t>
      </w:r>
    </w:p>
    <w:p>
      <w:pPr>
        <w:pStyle w:val="Heading2"/>
      </w:pPr>
      <w:r>
        <w:t>TimeseriesPoint</w:t>
      </w:r>
    </w:p>
    <w:p>
      <w:pPr>
        <w:pStyle w:val="CodeBlock"/>
      </w:pPr>
      <w:r>
        <w:t>{</w:t>
        <w:br/>
        <w:t xml:space="preserve">  "asset_id": "HX-101A",</w:t>
        <w:br/>
        <w:t xml:space="preserve">  "tag": "T_h_in",</w:t>
        <w:br/>
        <w:t xml:space="preserve">  "timestamp_utc": "2026-01-15T12:34:00Z",</w:t>
        <w:br/>
        <w:t xml:space="preserve">  "value": 245.3,</w:t>
        <w:br/>
        <w:t xml:space="preserve">  "unit": "degC",</w:t>
        <w:br/>
        <w:t xml:space="preserve">  "quality": "GOOD",</w:t>
        <w:br/>
        <w:t xml:space="preserve">  "source": "OPCUA",</w:t>
        <w:br/>
        <w:t xml:space="preserve">  "source_node": "ns=2;s=Plant1/HX101A/T_h_in"</w:t>
        <w:br/>
        <w:t>}</w:t>
      </w:r>
    </w:p>
    <w:p>
      <w:pPr>
        <w:pStyle w:val="Heading2"/>
      </w:pPr>
      <w:r>
        <w:t>MaintenanceEvent</w:t>
      </w:r>
    </w:p>
    <w:p>
      <w:pPr>
        <w:pStyle w:val="CodeBlock"/>
      </w:pPr>
      <w:r>
        <w:t>{</w:t>
        <w:br/>
        <w:t xml:space="preserve">  "asset_id": "HX-101A",</w:t>
        <w:br/>
        <w:t xml:space="preserve">  "event_type": "CLEANING_COMPLETED",</w:t>
        <w:br/>
        <w:t xml:space="preserve">  "start_time_utc": "2026-01-10T08:00:00Z",</w:t>
        <w:br/>
        <w:t xml:space="preserve">  "end_time_utc": "2026-01-10T20:00:00Z",</w:t>
        <w:br/>
        <w:t xml:space="preserve">  "method": "HYDROBLAST",</w:t>
        <w:br/>
        <w:t xml:space="preserve">  "cmms_work_order_id": "WO-543210",</w:t>
        <w:br/>
        <w:t xml:space="preserve">  "notes": "Bundle cleaned; post-clean ΔP restored"</w:t>
        <w:br/>
        <w:t>}</w:t>
      </w:r>
    </w:p>
    <w:p>
      <w:pPr>
        <w:pStyle w:val="Heading2"/>
      </w:pPr>
      <w:r>
        <w:t>ComputationRecord</w:t>
      </w:r>
    </w:p>
    <w:p>
      <w:pPr>
        <w:pStyle w:val="CodeBlock"/>
      </w:pPr>
      <w:r>
        <w:t>{</w:t>
        <w:br/>
        <w:t xml:space="preserve">  "asset_id": "HX-101A",</w:t>
        <w:br/>
        <w:t xml:space="preserve">  "timestamp_utc": "2026-01-15T12:34:00Z",</w:t>
        <w:br/>
        <w:t xml:space="preserve">  "inputs_hash": "sha256:... ",</w:t>
        <w:br/>
        <w:t xml:space="preserve">  "dte_version": "1.2.0",</w:t>
        <w:br/>
        <w:t xml:space="preserve">  "property_library": {"name": "CoolProp", "version": "6.6.0"},</w:t>
        <w:br/>
        <w:t xml:space="preserve">  "kpis": {</w:t>
        <w:br/>
        <w:t xml:space="preserve">    "Q_reconciled_W": 1250000,</w:t>
        <w:br/>
        <w:t xml:space="preserve">    "UA_W_per_K": 18500,</w:t>
        <w:br/>
        <w:t xml:space="preserve">    "epsilon": 0.62,</w:t>
        <w:br/>
        <w:t xml:space="preserve">    "NTU": 1.8,</w:t>
        <w:br/>
        <w:t xml:space="preserve">    "LMTD_K": 22.4,</w:t>
        <w:br/>
        <w:t xml:space="preserve">    "deltaP_hot_kPa": 35.2,</w:t>
        <w:br/>
        <w:t xml:space="preserve">    "deltaP_cold_kPa": 28.7,</w:t>
        <w:br/>
        <w:t xml:space="preserve">    "UA_degradation": 0.78</w:t>
        <w:br/>
        <w:t xml:space="preserve">  },</w:t>
        <w:br/>
        <w:t xml:space="preserve">  "warnings": ["ENERGY_IMBALANCE_8_PERCENT"]</w:t>
        <w:br/>
        <w:t>}</w:t>
      </w:r>
    </w:p>
    <w:p>
      <w:pPr>
        <w:pStyle w:val="Heading2"/>
      </w:pPr>
      <w:r>
        <w:t>Recommendation</w:t>
      </w:r>
    </w:p>
    <w:p>
      <w:pPr>
        <w:pStyle w:val="CodeBlock"/>
      </w:pPr>
      <w:r>
        <w:t>{</w:t>
        <w:br/>
        <w:t xml:space="preserve">  "asset_id": "HX-101A",</w:t>
        <w:br/>
        <w:t xml:space="preserve">  "recommendation_type": "CLEANING",</w:t>
        <w:br/>
        <w:t xml:space="preserve">  "generated_time_utc": "2026-01-15T12:40:00Z",</w:t>
        <w:br/>
        <w:t xml:space="preserve">  "recommended_window": {"start": "2026-01-22T00:00:00Z", "end": "2026-01-24T23:59:59Z"},</w:t>
        <w:br/>
        <w:t xml:space="preserve">  "expected_benefits": {</w:t>
        <w:br/>
        <w:t xml:space="preserve">    "UA_recovery_fraction": 0.20,</w:t>
        <w:br/>
        <w:t xml:space="preserve">    "energy_saved_GJ": 450,</w:t>
        <w:br/>
        <w:t xml:space="preserve">    "co2e_avoided_tonnes": 25</w:t>
        <w:br/>
        <w:t xml:space="preserve">  },</w:t>
        <w:br/>
        <w:t xml:space="preserve">  "risk_reduction": {"deltaP_violation_probability_reduction": 0.35},</w:t>
        <w:br/>
        <w:t xml:space="preserve">  "explanations": {</w:t>
        <w:br/>
        <w:t xml:space="preserve">    "top_drivers": [</w:t>
        <w:br/>
        <w:t xml:space="preserve">      {"feature": "hours_since_cleaning", "contribution": 0.18},</w:t>
        <w:br/>
        <w:t xml:space="preserve">      {"feature": "normalized_deltaP_hot", "contribution": 0.14},</w:t>
        <w:br/>
        <w:t xml:space="preserve">      {"feature": "approach_temp_hot_end", "contribution": 0.10}</w:t>
        <w:br/>
        <w:t xml:space="preserve">    ]</w:t>
        <w:br/>
        <w:t xml:space="preserve">  }</w:t>
        <w:br/>
        <w:t>}</w:t>
      </w:r>
    </w:p>
    <w:p>
      <w:pPr>
        <w:pStyle w:val="Heading1"/>
      </w:pPr>
      <w:r>
        <w:t>Appendix C. Site Onboarding Checklist</w:t>
      </w:r>
    </w:p>
    <w:p>
      <w:pPr>
        <w:pStyle w:val="ListBullet"/>
      </w:pPr>
      <w:r>
        <w:t>Identify target exchangers and confirm asset IDs across historian and CMMS.</w:t>
      </w:r>
    </w:p>
    <w:p>
      <w:pPr>
        <w:pStyle w:val="ListBullet"/>
      </w:pPr>
      <w:r>
        <w:t>Collect exchanger datasheets (area, configuration, design limits).</w:t>
      </w:r>
    </w:p>
    <w:p>
      <w:pPr>
        <w:pStyle w:val="ListBullet"/>
      </w:pPr>
      <w:r>
        <w:t>Confirm required instrumentation tags and validate units/scaling.</w:t>
      </w:r>
    </w:p>
    <w:p>
      <w:pPr>
        <w:pStyle w:val="ListBullet"/>
      </w:pPr>
      <w:r>
        <w:t>Set up OPC-UA ingestion and Kafka topics; verify time synchronization and quality.</w:t>
      </w:r>
    </w:p>
    <w:p>
      <w:pPr>
        <w:pStyle w:val="ListBullet"/>
      </w:pPr>
      <w:r>
        <w:t>Run deterministic KPIs in shadow mode; review with thermal engineers for plausibility.</w:t>
      </w:r>
    </w:p>
    <w:p>
      <w:pPr>
        <w:pStyle w:val="ListBullet"/>
      </w:pPr>
      <w:r>
        <w:t>Ingest cleaning history; validate event timestamps and methods.</w:t>
      </w:r>
    </w:p>
    <w:p>
      <w:pPr>
        <w:pStyle w:val="ListBullet"/>
      </w:pPr>
      <w:r>
        <w:t>Train or fine-tune fouling model; validate explainability with engineers.</w:t>
      </w:r>
    </w:p>
    <w:p>
      <w:pPr>
        <w:pStyle w:val="ListBullet"/>
      </w:pPr>
      <w:r>
        <w:t>Enable optimizer recommendations in shadow mode; calibrate cost model and thresholds.</w:t>
      </w:r>
    </w:p>
    <w:p>
      <w:pPr>
        <w:pStyle w:val="ListBullet"/>
      </w:pPr>
      <w:r>
        <w:t>Complete OT security approval and operational runbooks.</w:t>
      </w:r>
    </w:p>
    <w:p>
      <w:pPr>
        <w:pStyle w:val="ListBullet"/>
      </w:pPr>
      <w:r>
        <w:t>Go-live with human approval workflow; start savings and KPI tracking.</w:t>
      </w:r>
    </w:p>
    <w:p/>
    <w:p>
      <w:pPr>
        <w:jc w:val="center"/>
      </w:pPr>
      <w:r>
        <w:rPr>
          <w:b/>
        </w:rPr>
        <w:t>End of Document</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120" w:after="120"/>
      <w:ind w:left="283" w:right="283"/>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GL-014 EXCHANGERPRO – Heat Exchanger Optimizer Implementation Guide</dc:title>
  <dc:subject>TEMA-compliant heat exchanger optimization with epsilon-NTU, LMTD, fouling prediction, and cleaning schedule optimization</dc:subject>
  <dc:creator>GreenLang Agents – GL-014 Program</dc:creator>
  <cp:keywords/>
  <dc:description>generated by python-docx</dc:description>
  <cp:lastModifiedBy/>
  <cp:revision>1</cp:revision>
  <dcterms:created xsi:type="dcterms:W3CDTF">2013-12-23T23:15:00Z</dcterms:created>
  <dcterms:modified xsi:type="dcterms:W3CDTF">2013-12-23T23:15:00Z</dcterms:modified>
  <cp:category/>
</cp:coreProperties>
</file>