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GL-019 HeatScheduler</w:t>
      </w:r>
    </w:p>
    <w:p/>
    <w:p>
      <w:pPr>
        <w:jc w:val="center"/>
      </w:pPr>
      <w:r>
        <w:rPr>
          <w:sz w:val="28"/>
        </w:rPr>
        <w:t>ProcessHeatingScheduler Agent — Team Implementation &amp; Integration Plan</w:t>
      </w:r>
    </w:p>
    <w:p/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Agent ID</w:t>
            </w:r>
          </w:p>
        </w:tc>
        <w:tc>
          <w:tcPr>
            <w:tcW w:type="dxa" w:w="4680"/>
          </w:tcPr>
          <w:p>
            <w:r>
              <w:t>GL-019</w:t>
            </w:r>
          </w:p>
        </w:tc>
      </w:tr>
      <w:tr>
        <w:tc>
          <w:tcPr>
            <w:tcW w:type="dxa" w:w="4680"/>
          </w:tcPr>
          <w:p>
            <w:r>
              <w:t>Agent Name</w:t>
            </w:r>
          </w:p>
        </w:tc>
        <w:tc>
          <w:tcPr>
            <w:tcW w:type="dxa" w:w="4680"/>
          </w:tcPr>
          <w:p>
            <w:r>
              <w:t>HEATSCHEDULER</w:t>
            </w:r>
          </w:p>
        </w:tc>
      </w:tr>
      <w:tr>
        <w:tc>
          <w:tcPr>
            <w:tcW w:type="dxa" w:w="4680"/>
          </w:tcPr>
          <w:p>
            <w:r>
              <w:t>Capability</w:t>
            </w:r>
          </w:p>
        </w:tc>
        <w:tc>
          <w:tcPr>
            <w:tcW w:type="dxa" w:w="4680"/>
          </w:tcPr>
          <w:p>
            <w:r>
              <w:t>ML demand forecasting (SHAP/LIME) + thermal storage optimization + TOU arbitrage + UQ + production integration + SSE streaming</w:t>
            </w:r>
          </w:p>
        </w:tc>
      </w:tr>
      <w:tr>
        <w:tc>
          <w:tcPr>
            <w:tcW w:type="dxa" w:w="4680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Planning / Coordinator Agent</w:t>
            </w:r>
          </w:p>
        </w:tc>
      </w:tr>
      <w:tr>
        <w:tc>
          <w:tcPr>
            <w:tcW w:type="dxa" w:w="4680"/>
          </w:tcPr>
          <w:p>
            <w:r>
              <w:t>Complexity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Program Value</w:t>
            </w:r>
          </w:p>
        </w:tc>
        <w:tc>
          <w:tcPr>
            <w:tcW w:type="dxa" w:w="4680"/>
          </w:tcPr>
          <w:p>
            <w:r>
              <w:t>$7B (as provided)</w:t>
            </w:r>
          </w:p>
        </w:tc>
      </w:tr>
      <w:tr>
        <w:tc>
          <w:tcPr>
            <w:tcW w:type="dxa" w:w="4680"/>
          </w:tcPr>
          <w:p>
            <w:r>
              <w:t>Target Delivery</w:t>
            </w:r>
          </w:p>
        </w:tc>
        <w:tc>
          <w:tcPr>
            <w:tcW w:type="dxa" w:w="4680"/>
          </w:tcPr>
          <w:p>
            <w:r>
              <w:t>Q2 2026</w:t>
            </w:r>
          </w:p>
        </w:tc>
      </w:tr>
      <w:tr>
        <w:tc>
          <w:tcPr>
            <w:tcW w:type="dxa" w:w="4680"/>
          </w:tcPr>
          <w:p>
            <w:r>
              <w:t>Maturity / Readiness</w:t>
            </w:r>
          </w:p>
        </w:tc>
        <w:tc>
          <w:tcPr>
            <w:tcW w:type="dxa" w:w="4680"/>
          </w:tcPr>
          <w:p>
            <w:r>
              <w:t>95 (as provided)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Implemented (as provided) — confirm in roadmap</w:t>
            </w:r>
          </w:p>
        </w:tc>
      </w:tr>
      <w:tr>
        <w:tc>
          <w:tcPr>
            <w:tcW w:type="dxa" w:w="4680"/>
          </w:tcPr>
          <w:p>
            <w:r>
              <w:t>Document Version</w:t>
            </w:r>
          </w:p>
        </w:tc>
        <w:tc>
          <w:tcPr>
            <w:tcW w:type="dxa" w:w="4680"/>
          </w:tcPr>
          <w:p>
            <w:r>
              <w:t>1.1</w:t>
            </w:r>
          </w:p>
        </w:tc>
      </w:tr>
      <w:tr>
        <w:tc>
          <w:tcPr>
            <w:tcW w:type="dxa" w:w="4680"/>
          </w:tcPr>
          <w:p>
            <w:r>
              <w:t>Last Updated</w:t>
            </w:r>
          </w:p>
        </w:tc>
        <w:tc>
          <w:tcPr>
            <w:tcW w:type="dxa" w:w="4680"/>
          </w:tcPr>
          <w:p>
            <w:r>
              <w:t>2025-12-26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Note: In Microsoft Word, right‑click the table of contents and select “Update Field” to populate page numbers.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GL‑019 HeatScheduler is a planning‑layer agent that coordinates process heating assets and thermal storage to meet production heat demand at minimum cost and risk. It combines probabilistic ML demand forecasting with explainability (SHAP/LIME) and a constrained optimization engine that accounts for time‑of‑use (TOU) tariffs, demand charges, equipment availability, storage constraints, and grid signals.</w:t>
      </w:r>
    </w:p>
    <w:p>
      <w:r>
        <w:t>This document is written for all teams: AI/ML, software development, data engineering, process/thermal engineering, mechanical/facilities engineering, controls/OT engineering, energy &amp; market intelligence, operational intelligence/BI, climate intelligence, security/compliance, QA/validation, and operations/SRE.</w:t>
      </w:r>
    </w:p>
    <w:p>
      <w:pPr>
        <w:pStyle w:val="Heading1"/>
      </w:pPr>
      <w:r>
        <w:t>2. Inputs, Outputs, and Interfaces</w:t>
      </w:r>
    </w:p>
    <w:p>
      <w:pPr>
        <w:pStyle w:val="Heading2"/>
      </w:pPr>
      <w:r>
        <w:t>2.1 Inputs</w:t>
      </w:r>
    </w:p>
    <w:p>
      <w:pPr>
        <w:pStyle w:val="ListBullet"/>
      </w:pPr>
      <w:r>
        <w:t>Production schedule: planned batches/runs, product mix, throughput targets, changeovers/CIP events.</w:t>
      </w:r>
    </w:p>
    <w:p>
      <w:pPr>
        <w:pStyle w:val="ListBullet"/>
      </w:pPr>
      <w:r>
        <w:t>Energy tariffs: TOU periods, demand charges, seasonal rates, fuel prices; optional real‑time prices.</w:t>
      </w:r>
    </w:p>
    <w:p>
      <w:pPr>
        <w:pStyle w:val="ListBullet"/>
      </w:pPr>
      <w:r>
        <w:t>Equipment availability: online/offline/derated, maintenance windows, start/stop limitations.</w:t>
      </w:r>
    </w:p>
    <w:p>
      <w:pPr>
        <w:pStyle w:val="ListBullet"/>
      </w:pPr>
      <w:r>
        <w:t>Weather forecasts: temperature, humidity, wind, solar (as applicable), forecast uncertainty.</w:t>
      </w:r>
    </w:p>
    <w:p>
      <w:pPr>
        <w:pStyle w:val="ListBullet"/>
      </w:pPr>
      <w:r>
        <w:t>Historical demand: steam/heat meter readings, header pressures, temperatures, flows, and relevant derived signals.</w:t>
      </w:r>
    </w:p>
    <w:p>
      <w:pPr>
        <w:pStyle w:val="ListBullet"/>
      </w:pPr>
      <w:r>
        <w:t>Thermal storage telemetry: state of charge/temperature, losses, charge/discharge limits, availability.</w:t>
      </w:r>
    </w:p>
    <w:p>
      <w:pPr>
        <w:pStyle w:val="ListBullet"/>
      </w:pPr>
      <w:r>
        <w:t>Grid signals (optional): DR events, curtailment requests, carbon intensity, price spikes.</w:t>
      </w:r>
    </w:p>
    <w:p>
      <w:pPr>
        <w:pStyle w:val="Heading2"/>
      </w:pPr>
      <w:r>
        <w:t>2.2 Outputs</w:t>
      </w:r>
    </w:p>
    <w:p>
      <w:pPr>
        <w:pStyle w:val="ListBullet"/>
      </w:pPr>
      <w:r>
        <w:t>Optimized heating schedule (asset setpoints/states on the planning grid).</w:t>
      </w:r>
    </w:p>
    <w:p>
      <w:pPr>
        <w:pStyle w:val="ListBullet"/>
      </w:pPr>
      <w:r>
        <w:t>Thermal storage dispatch plan (charge/discharge + projected SoC).</w:t>
      </w:r>
    </w:p>
    <w:p>
      <w:pPr>
        <w:pStyle w:val="ListBullet"/>
      </w:pPr>
      <w:r>
        <w:t>Cost and savings forecast vs baseline (energy, demand charge, fuel, carbon).</w:t>
      </w:r>
    </w:p>
    <w:p>
      <w:pPr>
        <w:pStyle w:val="ListBullet"/>
      </w:pPr>
      <w:r>
        <w:t>Demand forecast with uncertainty bounds (quantiles/scenarios).</w:t>
      </w:r>
    </w:p>
    <w:p>
      <w:pPr>
        <w:pStyle w:val="ListBullet"/>
      </w:pPr>
      <w:r>
        <w:t>Explainability reports for demand forecasts and schedule drivers.</w:t>
      </w:r>
    </w:p>
    <w:p>
      <w:pPr>
        <w:pStyle w:val="ListBullet"/>
      </w:pPr>
      <w:r>
        <w:t>Streaming updates via SSE and publish/subscribe via Kafka.</w:t>
      </w:r>
    </w:p>
    <w:p>
      <w:pPr>
        <w:pStyle w:val="Heading2"/>
      </w:pPr>
      <w:r>
        <w:t>2.3 Primary Interfaces</w:t>
      </w:r>
    </w:p>
    <w:p>
      <w:pPr>
        <w:pStyle w:val="ListBullet"/>
      </w:pPr>
      <w:r>
        <w:t>Production planning systems (MES/APS/ERP) via API, file drop, or message bus.</w:t>
      </w:r>
    </w:p>
    <w:p>
      <w:pPr>
        <w:pStyle w:val="ListBullet"/>
      </w:pPr>
      <w:r>
        <w:t>Energy management systems (EMS) for metering, tariffs, and reporting.</w:t>
      </w:r>
    </w:p>
    <w:p>
      <w:pPr>
        <w:pStyle w:val="ListBullet"/>
      </w:pPr>
      <w:r>
        <w:t>Thermal storage controllers via OT integration (OPC‑UA).</w:t>
      </w:r>
    </w:p>
    <w:p>
      <w:pPr>
        <w:pStyle w:val="ListBullet"/>
      </w:pPr>
      <w:r>
        <w:t>Kafka event bus for internal integration; SSE for external real‑time consumers.</w:t>
      </w:r>
    </w:p>
    <w:p>
      <w:pPr>
        <w:pStyle w:val="Heading1"/>
      </w:pPr>
      <w:r>
        <w:t>3. Key Decisions Required Early</w:t>
      </w:r>
    </w:p>
    <w:p>
      <w:r>
        <w:t>These decisions unblock engineering work and should be resolved in Phase 0 workshops.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Guidance</w:t>
            </w:r>
          </w:p>
        </w:tc>
      </w:tr>
      <w:tr>
        <w:tc>
          <w:tcPr>
            <w:tcW w:type="dxa" w:w="4680"/>
          </w:tcPr>
          <w:p>
            <w:r>
              <w:t>Planning grid</w:t>
            </w:r>
          </w:p>
        </w:tc>
        <w:tc>
          <w:tcPr>
            <w:tcW w:type="dxa" w:w="4680"/>
          </w:tcPr>
          <w:p>
            <w:r>
              <w:t>Choose Δt (recommended 15 min) and horizon (recommended 72 h) based on tariff granularity and storage duration.</w:t>
            </w:r>
          </w:p>
        </w:tc>
      </w:tr>
      <w:tr>
        <w:tc>
          <w:tcPr>
            <w:tcW w:type="dxa" w:w="4680"/>
          </w:tcPr>
          <w:p>
            <w:r>
              <w:t>Demand definition</w:t>
            </w:r>
          </w:p>
        </w:tc>
        <w:tc>
          <w:tcPr>
            <w:tcW w:type="dxa" w:w="4680"/>
          </w:tcPr>
          <w:p>
            <w:r>
              <w:t>Define the canonical thermal demand signal (kWth vs steam kg/h vs enthalpy flow) and conversion rules.</w:t>
            </w:r>
          </w:p>
        </w:tc>
      </w:tr>
      <w:tr>
        <w:tc>
          <w:tcPr>
            <w:tcW w:type="dxa" w:w="4680"/>
          </w:tcPr>
          <w:p>
            <w:r>
              <w:t>Storage model fidelity</w:t>
            </w:r>
          </w:p>
        </w:tc>
        <w:tc>
          <w:tcPr>
            <w:tcW w:type="dxa" w:w="4680"/>
          </w:tcPr>
          <w:p>
            <w:r>
              <w:t>Choose baseline energy‑buffer model vs stratified/pressure‑based model; set acceptable error.</w:t>
            </w:r>
          </w:p>
        </w:tc>
      </w:tr>
      <w:tr>
        <w:tc>
          <w:tcPr>
            <w:tcW w:type="dxa" w:w="4680"/>
          </w:tcPr>
          <w:p>
            <w:r>
              <w:t>Operating mode</w:t>
            </w:r>
          </w:p>
        </w:tc>
        <w:tc>
          <w:tcPr>
            <w:tcW w:type="dxa" w:w="4680"/>
          </w:tcPr>
          <w:p>
            <w:r>
              <w:t>Shadow vs advisory vs supervised vs automatic; define approval workflow if any actuation is planned.</w:t>
            </w:r>
          </w:p>
        </w:tc>
      </w:tr>
      <w:tr>
        <w:tc>
          <w:tcPr>
            <w:tcW w:type="dxa" w:w="4680"/>
          </w:tcPr>
          <w:p>
            <w:r>
              <w:t>Baseline for savings</w:t>
            </w:r>
          </w:p>
        </w:tc>
        <w:tc>
          <w:tcPr>
            <w:tcW w:type="dxa" w:w="4680"/>
          </w:tcPr>
          <w:p>
            <w:r>
              <w:t>Define baseline schedule/cost method (historical, rule‑based, current operator practice).</w:t>
            </w:r>
          </w:p>
        </w:tc>
      </w:tr>
      <w:tr>
        <w:tc>
          <w:tcPr>
            <w:tcW w:type="dxa" w:w="4680"/>
          </w:tcPr>
          <w:p>
            <w:r>
              <w:t>Solver stack</w:t>
            </w:r>
          </w:p>
        </w:tc>
        <w:tc>
          <w:tcPr>
            <w:tcW w:type="dxa" w:w="4680"/>
          </w:tcPr>
          <w:p>
            <w:r>
              <w:t>Select MILP/LP/NLP solver (commercial vs open source) and acceptable optimality gap/timeouts.</w:t>
            </w:r>
          </w:p>
        </w:tc>
      </w:tr>
    </w:tbl>
    <w:p>
      <w:pPr>
        <w:pStyle w:val="Heading1"/>
      </w:pPr>
      <w:r>
        <w:t>4. Team Workstreams and What To Do</w:t>
      </w:r>
    </w:p>
    <w:p>
      <w:r>
        <w:t>Each workstream below includes concrete tasks and deliverables. Owners should translate this into sprint backlogs.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Workstream</w:t>
            </w:r>
          </w:p>
        </w:tc>
        <w:tc>
          <w:tcPr>
            <w:tcW w:type="dxa" w:w="3120"/>
          </w:tcPr>
          <w:p>
            <w:r>
              <w:t>Key Tasks</w:t>
            </w:r>
          </w:p>
        </w:tc>
        <w:tc>
          <w:tcPr>
            <w:tcW w:type="dxa" w:w="3120"/>
          </w:tcPr>
          <w:p>
            <w:r>
              <w:t>Deliverables</w:t>
            </w:r>
          </w:p>
        </w:tc>
      </w:tr>
      <w:tr>
        <w:tc>
          <w:tcPr>
            <w:tcW w:type="dxa" w:w="3120"/>
          </w:tcPr>
          <w:p>
            <w:r>
              <w:t>AI/ML (Forecasting + Explainability + UQ)</w:t>
            </w:r>
          </w:p>
        </w:tc>
        <w:tc>
          <w:tcPr>
            <w:tcW w:type="dxa" w:w="3120"/>
          </w:tcPr>
          <w:p>
            <w:r>
              <w:t>• Define forecasting target(s) aligned with thermal engineering definitions.</w:t>
              <w:br/>
              <w:t>• Build baseline + production model (probabilistic) and integrate into inference service.</w:t>
              <w:br/>
              <w:t>• Implement UQ (quantiles + conformal) and calibration monitoring.</w:t>
              <w:br/>
              <w:t>• Implement SHAP/LIME pipelines and operator‑friendly explanation narratives.</w:t>
              <w:br/>
              <w:t>• Provide model governance: model registry, model card, approval, and rollback.</w:t>
            </w:r>
          </w:p>
        </w:tc>
        <w:tc>
          <w:tcPr>
            <w:tcW w:type="dxa" w:w="3120"/>
          </w:tcPr>
          <w:p>
            <w:r>
              <w:t>• Forecast model artifacts + inference container</w:t>
              <w:br/>
              <w:t>• Quantile/scenario forecast outputs</w:t>
              <w:br/>
              <w:t>• Explainability report templates + storage</w:t>
              <w:br/>
              <w:t>• Monitoring dashboards and retrain triggers</w:t>
              <w:br/>
              <w:t>• Model card + limitations</w:t>
            </w:r>
          </w:p>
        </w:tc>
      </w:tr>
      <w:tr>
        <w:tc>
          <w:tcPr>
            <w:tcW w:type="dxa" w:w="3120"/>
          </w:tcPr>
          <w:p>
            <w:r>
              <w:t>Data Engineering (Ingestion + Contracts + Quality)</w:t>
            </w:r>
          </w:p>
        </w:tc>
        <w:tc>
          <w:tcPr>
            <w:tcW w:type="dxa" w:w="3120"/>
          </w:tcPr>
          <w:p>
            <w:r>
              <w:t>• Implement ingestion from production planning, tariffs, weather, grid signals, and OPC‑UA.</w:t>
              <w:br/>
              <w:t>• Define and publish versioned schemas/data contracts and unit normalization rules.</w:t>
              <w:br/>
              <w:t>• Build curated feature pipeline and storage (time‑series DB + lake/warehouse).</w:t>
              <w:br/>
              <w:t>• Implement data quality checks (range, missingness, staleness, consistency) and alerting.</w:t>
              <w:br/>
              <w:t>• Enable backfills and replay for offline testing and audits.</w:t>
            </w:r>
          </w:p>
        </w:tc>
        <w:tc>
          <w:tcPr>
            <w:tcW w:type="dxa" w:w="3120"/>
          </w:tcPr>
          <w:p>
            <w:r>
              <w:t>• Kafka topics (raw + curated) with schemas</w:t>
              <w:br/>
              <w:t>• Time‑series and warehouse datasets</w:t>
              <w:br/>
              <w:t>• Data dictionary and lineage</w:t>
              <w:br/>
              <w:t>• DQ dashboards + alerts</w:t>
              <w:br/>
              <w:t>• Replay harness datasets</w:t>
            </w:r>
          </w:p>
        </w:tc>
      </w:tr>
      <w:tr>
        <w:tc>
          <w:tcPr>
            <w:tcW w:type="dxa" w:w="3120"/>
          </w:tcPr>
          <w:p>
            <w:r>
              <w:t>Software Development / Platform (Optimization + APIs + Streaming)</w:t>
            </w:r>
          </w:p>
        </w:tc>
        <w:tc>
          <w:tcPr>
            <w:tcW w:type="dxa" w:w="3120"/>
          </w:tcPr>
          <w:p>
            <w:r>
              <w:t>• Implement optimization service (MPC) with pluggable solver and configuration‑driven constraints.</w:t>
              <w:br/>
              <w:t>• Implement orchestration: event‑triggered replanning, caching, run_id tracking, and schedule versioning.</w:t>
              <w:br/>
              <w:t>• Build REST APIs and SSE gateway; provide SDK/client examples.</w:t>
              <w:br/>
              <w:t>• Compute and persist KPIs (cost, savings, peak, emissions) with baseline comparison.</w:t>
              <w:br/>
              <w:t>• Prepare deployment (containers, CI/CD, environment configs) and operational hooks.</w:t>
            </w:r>
          </w:p>
        </w:tc>
        <w:tc>
          <w:tcPr>
            <w:tcW w:type="dxa" w:w="3120"/>
          </w:tcPr>
          <w:p>
            <w:r>
              <w:t>• Optimization service + solver integration</w:t>
              <w:br/>
              <w:t>• REST endpoints + OpenAPI spec</w:t>
              <w:br/>
              <w:t>• SSE streaming endpoint + taxonomy</w:t>
              <w:br/>
              <w:t>• KPI engine + persistence</w:t>
              <w:br/>
              <w:t>• Deployment manifests (K8s/VM) + CI/CD</w:t>
            </w:r>
          </w:p>
        </w:tc>
      </w:tr>
      <w:tr>
        <w:tc>
          <w:tcPr>
            <w:tcW w:type="dxa" w:w="3120"/>
          </w:tcPr>
          <w:p>
            <w:r>
              <w:t>Process &amp; Thermal Engineering</w:t>
            </w:r>
          </w:p>
        </w:tc>
        <w:tc>
          <w:tcPr>
            <w:tcW w:type="dxa" w:w="3120"/>
          </w:tcPr>
          <w:p>
            <w:r>
              <w:t>• Define and validate the canonical thermal demand signal and conversions (enthalpy, Cp·ΔT).</w:t>
              <w:br/>
              <w:t>• Provide equipment constraints, operating envelopes, efficiency curves, and maintenance derates.</w:t>
              <w:br/>
              <w:t>• Define and validate storage model parameters (capacity, losses, max charge/discharge).</w:t>
              <w:br/>
              <w:t>• Create recipe‑to‑load mapping library (product/batch → thermal profile + variance).</w:t>
              <w:br/>
              <w:t>• Review optimization outputs in pilot; sign off on constraints and safety policy.</w:t>
            </w:r>
          </w:p>
        </w:tc>
        <w:tc>
          <w:tcPr>
            <w:tcW w:type="dxa" w:w="3120"/>
          </w:tcPr>
          <w:p>
            <w:r>
              <w:t>• Thermal model spec + sign‑off</w:t>
              <w:br/>
              <w:t>• Constraint library and parameter tables</w:t>
              <w:br/>
              <w:t>• Recipe/load mapping library</w:t>
              <w:br/>
              <w:t>• Safety envelope definitions</w:t>
              <w:br/>
              <w:t>• Pilot validation report</w:t>
            </w:r>
          </w:p>
        </w:tc>
      </w:tr>
      <w:tr>
        <w:tc>
          <w:tcPr>
            <w:tcW w:type="dxa" w:w="3120"/>
          </w:tcPr>
          <w:p>
            <w:r>
              <w:t>Mechanical / Facilities Engineering (Related Engineering)</w:t>
            </w:r>
          </w:p>
        </w:tc>
        <w:tc>
          <w:tcPr>
            <w:tcW w:type="dxa" w:w="3120"/>
          </w:tcPr>
          <w:p>
            <w:r>
              <w:t>• Validate physical equipment ratings, instrumentation accuracy, and maintenance constraints.</w:t>
              <w:br/>
              <w:t>• Provide heat loss coefficients (pipes/tanks), insulation status, and retrofit opportunities impacting model parameters.</w:t>
              <w:br/>
              <w:t>• Support identification of measurement gaps (missing heat meters, unreliable sensors).</w:t>
            </w:r>
          </w:p>
        </w:tc>
        <w:tc>
          <w:tcPr>
            <w:tcW w:type="dxa" w:w="3120"/>
          </w:tcPr>
          <w:p>
            <w:r>
              <w:t>• Equipment rating/metadata register</w:t>
              <w:br/>
              <w:t>• Heat loss parameter estimates</w:t>
              <w:br/>
              <w:t>• Instrumentation gap list + remediation plan</w:t>
            </w:r>
          </w:p>
        </w:tc>
      </w:tr>
      <w:tr>
        <w:tc>
          <w:tcPr>
            <w:tcW w:type="dxa" w:w="3120"/>
          </w:tcPr>
          <w:p>
            <w:r>
              <w:t>Controls / OT Engineering</w:t>
            </w:r>
          </w:p>
        </w:tc>
        <w:tc>
          <w:tcPr>
            <w:tcW w:type="dxa" w:w="3120"/>
          </w:tcPr>
          <w:p>
            <w:r>
              <w:t>• Define OPC‑UA tag mapping (node IDs, scaling, units, quality flags) and connectivity architecture.</w:t>
              <w:br/>
              <w:t>• Implement secure OT gateway and ensure network segmentation and allow‑listed flows.</w:t>
              <w:br/>
              <w:t>• If actuation is planned: design write‑back strategy, interlocks, manual override, and commissioning steps.</w:t>
              <w:br/>
              <w:t>• Run commissioning: shadow → advisory → supervised (and optional automatic).</w:t>
            </w:r>
          </w:p>
        </w:tc>
        <w:tc>
          <w:tcPr>
            <w:tcW w:type="dxa" w:w="3120"/>
          </w:tcPr>
          <w:p>
            <w:r>
              <w:t>• OPC‑UA tag map + test results</w:t>
              <w:br/>
              <w:t>• Connectivity/certificate configuration</w:t>
              <w:br/>
              <w:t>• Commissioning plan + SOP updates</w:t>
              <w:br/>
              <w:t>• Actuation gating workflow (if applicable)</w:t>
            </w:r>
          </w:p>
        </w:tc>
      </w:tr>
      <w:tr>
        <w:tc>
          <w:tcPr>
            <w:tcW w:type="dxa" w:w="3120"/>
          </w:tcPr>
          <w:p>
            <w:r>
              <w:t>Energy &amp; Market Intelligence</w:t>
            </w:r>
          </w:p>
        </w:tc>
        <w:tc>
          <w:tcPr>
            <w:tcW w:type="dxa" w:w="3120"/>
          </w:tcPr>
          <w:p>
            <w:r>
              <w:t>• Encode tariffs precisely (TOU, seasonal, demand charges, ratchets, penalties).</w:t>
              <w:br/>
              <w:t>• Define baseline cost calculation and savings measurement &amp; verification (M&amp;V) rules.</w:t>
              <w:br/>
              <w:t>• Provide grid signals: DR events, RTP, carbon intensity; define semantics and priority handling.</w:t>
              <w:br/>
              <w:t>• Align objective weights (cost vs peak vs emissions) with business policy.</w:t>
            </w:r>
          </w:p>
        </w:tc>
        <w:tc>
          <w:tcPr>
            <w:tcW w:type="dxa" w:w="3120"/>
          </w:tcPr>
          <w:p>
            <w:r>
              <w:t>• Tariff engine spec + unit tests</w:t>
              <w:br/>
              <w:t>• Baseline + M&amp;V methodology</w:t>
              <w:br/>
              <w:t>• Grid signal normalization spec</w:t>
              <w:br/>
              <w:t>• Objective policy document</w:t>
            </w:r>
          </w:p>
        </w:tc>
      </w:tr>
      <w:tr>
        <w:tc>
          <w:tcPr>
            <w:tcW w:type="dxa" w:w="3120"/>
          </w:tcPr>
          <w:p>
            <w:r>
              <w:t>Operational Intelligence / BI</w:t>
            </w:r>
          </w:p>
        </w:tc>
        <w:tc>
          <w:tcPr>
            <w:tcW w:type="dxa" w:w="3120"/>
          </w:tcPr>
          <w:p>
            <w:r>
              <w:t>• Define dashboards and reporting needs for planners, operators, energy managers, and leadership.</w:t>
              <w:br/>
              <w:t>• Implement KPI reporting, variance analysis, and root‑cause analytics tied to run_id and explanations.</w:t>
              <w:br/>
              <w:t>• Support post‑pilot ROI reporting and continuous improvement insights.</w:t>
            </w:r>
          </w:p>
        </w:tc>
        <w:tc>
          <w:tcPr>
            <w:tcW w:type="dxa" w:w="3120"/>
          </w:tcPr>
          <w:p>
            <w:r>
              <w:t>• Dashboards (schedule, forecasts, costs, savings, emissions)</w:t>
              <w:br/>
              <w:t>• Weekly/monthly KPI reports</w:t>
              <w:br/>
              <w:t>• Anomaly and variance analysis views</w:t>
            </w:r>
          </w:p>
        </w:tc>
      </w:tr>
      <w:tr>
        <w:tc>
          <w:tcPr>
            <w:tcW w:type="dxa" w:w="3120"/>
          </w:tcPr>
          <w:p>
            <w:r>
              <w:t>Climate Intelligence</w:t>
            </w:r>
          </w:p>
        </w:tc>
        <w:tc>
          <w:tcPr>
            <w:tcW w:type="dxa" w:w="3120"/>
          </w:tcPr>
          <w:p>
            <w:r>
              <w:t>• Select weather forecast sources and define fallback chain.</w:t>
              <w:br/>
              <w:t>• Quantify forecast bias for the site; provide bias correction or feature engineering guidance.</w:t>
              <w:br/>
              <w:t>• Provide extreme event indicators (heat waves/cold snaps) and risk flags used by planner.</w:t>
            </w:r>
          </w:p>
        </w:tc>
        <w:tc>
          <w:tcPr>
            <w:tcW w:type="dxa" w:w="3120"/>
          </w:tcPr>
          <w:p>
            <w:r>
              <w:t>• Weather sourcing + SLA document</w:t>
              <w:br/>
              <w:t>• Bias correction parameters/approach</w:t>
              <w:br/>
              <w:t>• Extreme event feature set + thresholds</w:t>
            </w:r>
          </w:p>
        </w:tc>
      </w:tr>
      <w:tr>
        <w:tc>
          <w:tcPr>
            <w:tcW w:type="dxa" w:w="3120"/>
          </w:tcPr>
          <w:p>
            <w:r>
              <w:t>Security &amp; Compliance</w:t>
            </w:r>
          </w:p>
        </w:tc>
        <w:tc>
          <w:tcPr>
            <w:tcW w:type="dxa" w:w="3120"/>
          </w:tcPr>
          <w:p>
            <w:r>
              <w:t>• Threat model for IT/OT integration; define controls and review architecture.</w:t>
              <w:br/>
              <w:t>• RBAC/IAM implementation, secrets management, and audit logging requirements.</w:t>
              <w:br/>
              <w:t>• Coordinate security testing and compliance sign‑offs.</w:t>
            </w:r>
          </w:p>
        </w:tc>
        <w:tc>
          <w:tcPr>
            <w:tcW w:type="dxa" w:w="3120"/>
          </w:tcPr>
          <w:p>
            <w:r>
              <w:t>• Threat model + security architecture</w:t>
              <w:br/>
              <w:t>• IAM/RBAC policy</w:t>
              <w:br/>
              <w:t>• Audit logging + SIEM integration</w:t>
              <w:br/>
              <w:t>• Security review / pen test results</w:t>
            </w:r>
          </w:p>
        </w:tc>
      </w:tr>
      <w:tr>
        <w:tc>
          <w:tcPr>
            <w:tcW w:type="dxa" w:w="3120"/>
          </w:tcPr>
          <w:p>
            <w:r>
              <w:t>QA / Validation</w:t>
            </w:r>
          </w:p>
        </w:tc>
        <w:tc>
          <w:tcPr>
            <w:tcW w:type="dxa" w:w="3120"/>
          </w:tcPr>
          <w:p>
            <w:r>
              <w:t>• Build test strategy: unit, integration, replay, stress, and UAT.</w:t>
              <w:br/>
              <w:t>• Develop simulation/replay harness to test forecasts and optimization against historical weeks.</w:t>
              <w:br/>
              <w:t>• Coordinate operator/SME UAT and document acceptance.</w:t>
            </w:r>
          </w:p>
        </w:tc>
        <w:tc>
          <w:tcPr>
            <w:tcW w:type="dxa" w:w="3120"/>
          </w:tcPr>
          <w:p>
            <w:r>
              <w:t>• Automated regression suite</w:t>
              <w:br/>
              <w:t>• Replay/simulation harness</w:t>
              <w:br/>
              <w:t>• UAT scripts + sign‑off report</w:t>
            </w:r>
          </w:p>
        </w:tc>
      </w:tr>
      <w:tr>
        <w:tc>
          <w:tcPr>
            <w:tcW w:type="dxa" w:w="3120"/>
          </w:tcPr>
          <w:p>
            <w:r>
              <w:t>Operations / SRE</w:t>
            </w:r>
          </w:p>
        </w:tc>
        <w:tc>
          <w:tcPr>
            <w:tcW w:type="dxa" w:w="3120"/>
          </w:tcPr>
          <w:p>
            <w:r>
              <w:t>• Define SLOs, dashboards, and alerting; create runbooks and incident response playbooks.</w:t>
              <w:br/>
              <w:t>• Set up monitoring for data health, model drift, solver health, and streaming reliability.</w:t>
              <w:br/>
              <w:t>• Coordinate deployment, on‑call rotations, and post‑incident reviews.</w:t>
            </w:r>
          </w:p>
        </w:tc>
        <w:tc>
          <w:tcPr>
            <w:tcW w:type="dxa" w:w="3120"/>
          </w:tcPr>
          <w:p>
            <w:r>
              <w:t>• SLO/SLA definitions</w:t>
              <w:br/>
              <w:t>• Runbooks + alerts</w:t>
              <w:br/>
              <w:t>• Operational dashboards</w:t>
              <w:br/>
              <w:t>• Post‑implementation review</w:t>
            </w:r>
          </w:p>
        </w:tc>
      </w:tr>
    </w:tbl>
    <w:p>
      <w:pPr>
        <w:pStyle w:val="Heading1"/>
      </w:pPr>
      <w:r>
        <w:t>5. Reference Architecture</w:t>
      </w:r>
    </w:p>
    <w:p>
      <w:pPr>
        <w:pStyle w:val="Heading2"/>
      </w:pPr>
      <w:r>
        <w:t>5.1 Logical Architecture</w:t>
      </w:r>
    </w:p>
    <w:p>
      <w:pPr>
        <w:pStyle w:val="CodeBlock"/>
      </w:pPr>
      <w:r>
        <w:t>+----------------------+      +------------------------+      +----------------------+</w:t>
      </w:r>
    </w:p>
    <w:p>
      <w:pPr>
        <w:pStyle w:val="CodeBlock"/>
      </w:pPr>
      <w:r>
        <w:t>| Production Planning  |      | Tariffs / Grid Signals |      | Weather Forecasts     |</w:t>
      </w:r>
    </w:p>
    <w:p>
      <w:pPr>
        <w:pStyle w:val="CodeBlock"/>
      </w:pPr>
      <w:r>
        <w:t>| (MES/APS/ERP)        |      | (TOU/RTP/DR/CO2)       |      | (Temp/Humidity/etc.)  |</w:t>
      </w:r>
    </w:p>
    <w:p>
      <w:pPr>
        <w:pStyle w:val="CodeBlock"/>
      </w:pPr>
      <w:r>
        <w:t>+----------+-----------+      +-----------+------------+      +----------+-----------+</w:t>
      </w:r>
    </w:p>
    <w:p>
      <w:pPr>
        <w:pStyle w:val="CodeBlock"/>
      </w:pPr>
      <w:r>
        <w:t xml:space="preserve">           \                         |                              /</w:t>
      </w:r>
    </w:p>
    <w:p>
      <w:pPr>
        <w:pStyle w:val="CodeBlock"/>
      </w:pPr>
      <w:r>
        <w:t xml:space="preserve">            \                        |                             /</w:t>
      </w:r>
    </w:p>
    <w:p>
      <w:pPr>
        <w:pStyle w:val="CodeBlock"/>
      </w:pPr>
      <w:r>
        <w:t xml:space="preserve">             v                       v                            v</w:t>
      </w:r>
    </w:p>
    <w:p>
      <w:pPr>
        <w:pStyle w:val="CodeBlock"/>
      </w:pPr>
      <w:r>
        <w:t xml:space="preserve">        +---------------------------------------------------------------+</w:t>
      </w:r>
    </w:p>
    <w:p>
      <w:pPr>
        <w:pStyle w:val="CodeBlock"/>
      </w:pPr>
      <w:r>
        <w:t xml:space="preserve">        |                  Data Ingestion + Validation                  |</w:t>
      </w:r>
    </w:p>
    <w:p>
      <w:pPr>
        <w:pStyle w:val="CodeBlock"/>
      </w:pPr>
      <w:r>
        <w:t xml:space="preserve">        |   OPC-UA adapters | APIs | File drops | Schema + Unit checks  |</w:t>
      </w:r>
    </w:p>
    <w:p>
      <w:pPr>
        <w:pStyle w:val="CodeBlock"/>
      </w:pPr>
      <w:r>
        <w:t xml:space="preserve">        +---------------------------+-----------------------------------+</w:t>
      </w:r>
    </w:p>
    <w:p>
      <w:pPr>
        <w:pStyle w:val="CodeBlock"/>
      </w:pPr>
      <w:r>
        <w:t xml:space="preserve">                                    |</w:t>
      </w:r>
    </w:p>
    <w:p>
      <w:pPr>
        <w:pStyle w:val="CodeBlock"/>
      </w:pPr>
      <w:r>
        <w:t xml:space="preserve">                                    v</w:t>
      </w:r>
    </w:p>
    <w:p>
      <w:pPr>
        <w:pStyle w:val="CodeBlock"/>
      </w:pPr>
      <w:r>
        <w:t xml:space="preserve">                      +------------------------------+</w:t>
      </w:r>
    </w:p>
    <w:p>
      <w:pPr>
        <w:pStyle w:val="CodeBlock"/>
      </w:pPr>
      <w:r>
        <w:t xml:space="preserve">                      | Kafka Event Bus (raw/curated)|</w:t>
      </w:r>
    </w:p>
    <w:p>
      <w:pPr>
        <w:pStyle w:val="CodeBlock"/>
      </w:pPr>
      <w:r>
        <w:t xml:space="preserve">                      +--------------+---------------+</w:t>
      </w:r>
    </w:p>
    <w:p>
      <w:pPr>
        <w:pStyle w:val="CodeBlock"/>
      </w:pPr>
      <w:r>
        <w:t xml:space="preserve">                                     |</w:t>
      </w:r>
    </w:p>
    <w:p>
      <w:pPr>
        <w:pStyle w:val="CodeBlock"/>
      </w:pPr>
      <w:r>
        <w:t xml:space="preserve">                +--------------------+--------------------+</w:t>
      </w:r>
    </w:p>
    <w:p>
      <w:pPr>
        <w:pStyle w:val="CodeBlock"/>
      </w:pPr>
      <w:r>
        <w:t xml:space="preserve">                |                                         |</w:t>
      </w:r>
    </w:p>
    <w:p>
      <w:pPr>
        <w:pStyle w:val="CodeBlock"/>
      </w:pPr>
      <w:r>
        <w:t xml:space="preserve">                v                                         v</w:t>
      </w:r>
    </w:p>
    <w:p>
      <w:pPr>
        <w:pStyle w:val="CodeBlock"/>
      </w:pPr>
      <w:r>
        <w:t xml:space="preserve">     +--------------------------+             +---------------------------+</w:t>
      </w:r>
    </w:p>
    <w:p>
      <w:pPr>
        <w:pStyle w:val="CodeBlock"/>
      </w:pPr>
      <w:r>
        <w:t xml:space="preserve">     | Feature/Time-Series Store|             | Offline Training Pipeline |</w:t>
      </w:r>
    </w:p>
    <w:p>
      <w:pPr>
        <w:pStyle w:val="CodeBlock"/>
      </w:pPr>
      <w:r>
        <w:t xml:space="preserve">     | (curated signals, SoC)   |             | (batch, backtests)        |</w:t>
      </w:r>
    </w:p>
    <w:p>
      <w:pPr>
        <w:pStyle w:val="CodeBlock"/>
      </w:pPr>
      <w:r>
        <w:t xml:space="preserve">     +------------+-------------+             +------------+--------------+</w:t>
      </w:r>
    </w:p>
    <w:p>
      <w:pPr>
        <w:pStyle w:val="CodeBlock"/>
      </w:pPr>
      <w:r>
        <w:t xml:space="preserve">                  |                                          |</w:t>
      </w:r>
    </w:p>
    <w:p>
      <w:pPr>
        <w:pStyle w:val="CodeBlock"/>
      </w:pPr>
      <w:r>
        <w:t xml:space="preserve">                  v                                          v</w:t>
      </w:r>
    </w:p>
    <w:p>
      <w:pPr>
        <w:pStyle w:val="CodeBlock"/>
      </w:pPr>
      <w:r>
        <w:t xml:space="preserve">     +--------------------------+             +---------------------------+</w:t>
      </w:r>
    </w:p>
    <w:p>
      <w:pPr>
        <w:pStyle w:val="CodeBlock"/>
      </w:pPr>
      <w:r>
        <w:t xml:space="preserve">     | Forecast Service         |             | Model Registry + Monitor  |</w:t>
      </w:r>
    </w:p>
    <w:p>
      <w:pPr>
        <w:pStyle w:val="CodeBlock"/>
      </w:pPr>
      <w:r>
        <w:t xml:space="preserve">     | (UQ + SHAP/LIME)         |             | (approval, rollback)      |</w:t>
      </w:r>
    </w:p>
    <w:p>
      <w:pPr>
        <w:pStyle w:val="CodeBlock"/>
      </w:pPr>
      <w:r>
        <w:t xml:space="preserve">     +------------+-------------+             +---------------------------+</w:t>
      </w:r>
    </w:p>
    <w:p>
      <w:pPr>
        <w:pStyle w:val="CodeBlock"/>
      </w:pPr>
      <w:r>
        <w:t xml:space="preserve">                  |</w:t>
      </w:r>
    </w:p>
    <w:p>
      <w:pPr>
        <w:pStyle w:val="CodeBlock"/>
      </w:pPr>
      <w:r>
        <w:t xml:space="preserve">                  v</w:t>
      </w:r>
    </w:p>
    <w:p>
      <w:pPr>
        <w:pStyle w:val="CodeBlock"/>
      </w:pPr>
      <w:r>
        <w:t xml:space="preserve">     +--------------------------+</w:t>
      </w:r>
    </w:p>
    <w:p>
      <w:pPr>
        <w:pStyle w:val="CodeBlock"/>
      </w:pPr>
      <w:r>
        <w:t xml:space="preserve">     | Optimization Service     |</w:t>
      </w:r>
    </w:p>
    <w:p>
      <w:pPr>
        <w:pStyle w:val="CodeBlock"/>
      </w:pPr>
      <w:r>
        <w:t xml:space="preserve">     | (thermal + storage MPC)  |</w:t>
      </w:r>
    </w:p>
    <w:p>
      <w:pPr>
        <w:pStyle w:val="CodeBlock"/>
      </w:pPr>
      <w:r>
        <w:t xml:space="preserve">     +------------+-------------+</w:t>
      </w:r>
    </w:p>
    <w:p>
      <w:pPr>
        <w:pStyle w:val="CodeBlock"/>
      </w:pPr>
      <w:r>
        <w:t xml:space="preserve">                  |</w:t>
      </w:r>
    </w:p>
    <w:p>
      <w:pPr>
        <w:pStyle w:val="CodeBlock"/>
      </w:pPr>
      <w:r>
        <w:t xml:space="preserve">                  v</w:t>
      </w:r>
    </w:p>
    <w:p>
      <w:pPr>
        <w:pStyle w:val="CodeBlock"/>
      </w:pPr>
      <w:r>
        <w:t xml:space="preserve">     +--------------------------+             +---------------------------+</w:t>
      </w:r>
    </w:p>
    <w:p>
      <w:pPr>
        <w:pStyle w:val="CodeBlock"/>
      </w:pPr>
      <w:r>
        <w:t xml:space="preserve">     | REST API + SSE Gateway   |&lt;-----------&gt;| UI / Dashboards / BI      |</w:t>
      </w:r>
    </w:p>
    <w:p>
      <w:pPr>
        <w:pStyle w:val="CodeBlock"/>
      </w:pPr>
      <w:r>
        <w:t xml:space="preserve">     +------------+-------------+             +---------------------------+</w:t>
      </w:r>
    </w:p>
    <w:p>
      <w:pPr>
        <w:pStyle w:val="CodeBlock"/>
      </w:pPr>
      <w:r>
        <w:t xml:space="preserve">                  |</w:t>
      </w:r>
    </w:p>
    <w:p>
      <w:pPr>
        <w:pStyle w:val="CodeBlock"/>
      </w:pPr>
      <w:r>
        <w:t xml:space="preserve">                  v</w:t>
      </w:r>
    </w:p>
    <w:p>
      <w:pPr>
        <w:pStyle w:val="CodeBlock"/>
      </w:pPr>
      <w:r>
        <w:t xml:space="preserve">     +--------------------------+</w:t>
      </w:r>
    </w:p>
    <w:p>
      <w:pPr>
        <w:pStyle w:val="CodeBlock"/>
      </w:pPr>
      <w:r>
        <w:t xml:space="preserve">     | Optional OT Write-back   |</w:t>
      </w:r>
    </w:p>
    <w:p>
      <w:pPr>
        <w:pStyle w:val="CodeBlock"/>
      </w:pPr>
      <w:r>
        <w:t xml:space="preserve">     | (OPC-UA / DCS interface) |</w:t>
      </w:r>
    </w:p>
    <w:p>
      <w:pPr>
        <w:pStyle w:val="CodeBlock"/>
      </w:pPr>
      <w:r>
        <w:t xml:space="preserve">     +--------------------------+</w:t>
      </w:r>
    </w:p>
    <w:p>
      <w:pPr>
        <w:pStyle w:val="Heading2"/>
      </w:pPr>
      <w:r>
        <w:t>5.2 Technology Baseline (Suggested)</w:t>
      </w:r>
    </w:p>
    <w:p>
      <w:pPr>
        <w:pStyle w:val="ListBullet"/>
      </w:pPr>
      <w:r>
        <w:t>Languages: Python for ML + optimization; TypeScript/Go/Java for high‑throughput services if required (team choice).</w:t>
      </w:r>
    </w:p>
    <w:p>
      <w:pPr>
        <w:pStyle w:val="ListBullet"/>
      </w:pPr>
      <w:r>
        <w:t>API framework: FastAPI or equivalent; OpenAPI spec required.</w:t>
      </w:r>
    </w:p>
    <w:p>
      <w:pPr>
        <w:pStyle w:val="ListBullet"/>
      </w:pPr>
      <w:r>
        <w:t>Streaming: SSE via API gateway; Kafka for internal events.</w:t>
      </w:r>
    </w:p>
    <w:p>
      <w:pPr>
        <w:pStyle w:val="ListBullet"/>
      </w:pPr>
      <w:r>
        <w:t>Optimization: Pyomo/PuLP/OR‑Tools + solver (Gurobi/CPLEX/HiGHS) depending on license constraints.</w:t>
      </w:r>
    </w:p>
    <w:p>
      <w:pPr>
        <w:pStyle w:val="ListBullet"/>
      </w:pPr>
      <w:r>
        <w:t>Data: Kafka + time‑series DB + object store (for artifacts) + warehouse (for analytics).</w:t>
      </w:r>
    </w:p>
    <w:p>
      <w:pPr>
        <w:pStyle w:val="ListBullet"/>
      </w:pPr>
      <w:r>
        <w:t>Deployment: containers (Docker) on Kubernetes or approved runtime; IaC for environments.</w:t>
      </w:r>
    </w:p>
    <w:p>
      <w:pPr>
        <w:pStyle w:val="ListBullet"/>
      </w:pPr>
      <w:r>
        <w:t>Observability: Prometheus + Grafana (or enterprise equivalent), centralized logs, tracing.</w:t>
      </w:r>
    </w:p>
    <w:p>
      <w:pPr>
        <w:pStyle w:val="Heading1"/>
      </w:pPr>
      <w:r>
        <w:t>6. Data Requirements (Detailed)</w:t>
      </w:r>
    </w:p>
    <w:p>
      <w:pPr>
        <w:pStyle w:val="Heading2"/>
      </w:pPr>
      <w:r>
        <w:t>6.1 Canonical Units and Conversions</w:t>
      </w:r>
    </w:p>
    <w:p>
      <w:pPr>
        <w:pStyle w:val="ListBullet"/>
      </w:pPr>
      <w:r>
        <w:t>Thermal power: kWth (recommended) or MWth for large sites.</w:t>
      </w:r>
    </w:p>
    <w:p>
      <w:pPr>
        <w:pStyle w:val="ListBullet"/>
      </w:pPr>
      <w:r>
        <w:t>Thermal energy: kWhth or MWhth.</w:t>
      </w:r>
    </w:p>
    <w:p>
      <w:pPr>
        <w:pStyle w:val="ListBullet"/>
      </w:pPr>
      <w:r>
        <w:t>Steam: kg/h (flow) plus enthalpy (kJ/kg) when converting to kWth.</w:t>
      </w:r>
    </w:p>
    <w:p>
      <w:pPr>
        <w:pStyle w:val="ListBullet"/>
      </w:pPr>
      <w:r>
        <w:t>Temperatures: °C; pressure: kPa/bar; ensure consistent reference pressure for steam tables.</w:t>
      </w:r>
    </w:p>
    <w:p>
      <w:pPr>
        <w:pStyle w:val="ListBullet"/>
      </w:pPr>
      <w:r>
        <w:t>Energy prices: USD/kWh; demand charge: USD/kW (per month).</w:t>
      </w:r>
    </w:p>
    <w:p>
      <w:pPr>
        <w:pStyle w:val="Heading2"/>
      </w:pPr>
      <w:r>
        <w:t>6.2 Minimum Signals and Quality Thresholds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Signal</w:t>
            </w:r>
          </w:p>
        </w:tc>
        <w:tc>
          <w:tcPr>
            <w:tcW w:type="dxa" w:w="4680"/>
          </w:tcPr>
          <w:p>
            <w:r>
              <w:t>Minimum Quality / Freshness</w:t>
            </w:r>
          </w:p>
        </w:tc>
      </w:tr>
      <w:tr>
        <w:tc>
          <w:tcPr>
            <w:tcW w:type="dxa" w:w="4680"/>
          </w:tcPr>
          <w:p>
            <w:r>
              <w:t>Thermal demand actual</w:t>
            </w:r>
          </w:p>
        </w:tc>
        <w:tc>
          <w:tcPr>
            <w:tcW w:type="dxa" w:w="4680"/>
          </w:tcPr>
          <w:p>
            <w:r>
              <w:t>≤1% missing/day; engineering range enforced; unit verified</w:t>
            </w:r>
          </w:p>
        </w:tc>
      </w:tr>
      <w:tr>
        <w:tc>
          <w:tcPr>
            <w:tcW w:type="dxa" w:w="4680"/>
          </w:tcPr>
          <w:p>
            <w:r>
              <w:t>Steam header pressure/temperature (if steam)</w:t>
            </w:r>
          </w:p>
        </w:tc>
        <w:tc>
          <w:tcPr>
            <w:tcW w:type="dxa" w:w="4680"/>
          </w:tcPr>
          <w:p>
            <w:r>
              <w:t>≤2% missing/day; drift alarms enabled</w:t>
            </w:r>
          </w:p>
        </w:tc>
      </w:tr>
      <w:tr>
        <w:tc>
          <w:tcPr>
            <w:tcW w:type="dxa" w:w="4680"/>
          </w:tcPr>
          <w:p>
            <w:r>
              <w:t>Boiler/heater output proxy (fuel flow, firing rate)</w:t>
            </w:r>
          </w:p>
        </w:tc>
        <w:tc>
          <w:tcPr>
            <w:tcW w:type="dxa" w:w="4680"/>
          </w:tcPr>
          <w:p>
            <w:r>
              <w:t>≤2% missing/day; cross-check vs demand</w:t>
            </w:r>
          </w:p>
        </w:tc>
      </w:tr>
      <w:tr>
        <w:tc>
          <w:tcPr>
            <w:tcW w:type="dxa" w:w="4680"/>
          </w:tcPr>
          <w:p>
            <w:r>
              <w:t>Storage SoC/temperature</w:t>
            </w:r>
          </w:p>
        </w:tc>
        <w:tc>
          <w:tcPr>
            <w:tcW w:type="dxa" w:w="4680"/>
          </w:tcPr>
          <w:p>
            <w:r>
              <w:t>≤1% missing/day; monotonic checks with dispatch</w:t>
            </w:r>
          </w:p>
        </w:tc>
      </w:tr>
      <w:tr>
        <w:tc>
          <w:tcPr>
            <w:tcW w:type="dxa" w:w="4680"/>
          </w:tcPr>
          <w:p>
            <w:r>
              <w:t>Production schedule</w:t>
            </w:r>
          </w:p>
        </w:tc>
        <w:tc>
          <w:tcPr>
            <w:tcW w:type="dxa" w:w="4680"/>
          </w:tcPr>
          <w:p>
            <w:r>
              <w:t>No staleness &gt; 1 hour; versioned updates; completeness checks</w:t>
            </w:r>
          </w:p>
        </w:tc>
      </w:tr>
      <w:tr>
        <w:tc>
          <w:tcPr>
            <w:tcW w:type="dxa" w:w="4680"/>
          </w:tcPr>
          <w:p>
            <w:r>
              <w:t>Tariff data</w:t>
            </w:r>
          </w:p>
        </w:tc>
        <w:tc>
          <w:tcPr>
            <w:tcW w:type="dxa" w:w="4680"/>
          </w:tcPr>
          <w:p>
            <w:r>
              <w:t>Must cover entire horizon; fallback to last known allowed only within policy</w:t>
            </w:r>
          </w:p>
        </w:tc>
      </w:tr>
    </w:tbl>
    <w:p>
      <w:pPr>
        <w:pStyle w:val="Heading2"/>
      </w:pPr>
      <w:r>
        <w:t>6.3 Example Data Contracts</w:t>
      </w:r>
    </w:p>
    <w:p>
      <w:pPr>
        <w:pStyle w:val="CodeBlock"/>
      </w:pPr>
      <w:r>
        <w:t>Contract requirements (apply to each stream):</w:t>
      </w:r>
    </w:p>
    <w:p>
      <w:pPr>
        <w:pStyle w:val="CodeBlock"/>
      </w:pPr>
      <w:r>
        <w:t>- schema_version: semantic version string</w:t>
      </w:r>
    </w:p>
    <w:p>
      <w:pPr>
        <w:pStyle w:val="CodeBlock"/>
      </w:pPr>
      <w:r>
        <w:t>- site_id: string</w:t>
      </w:r>
    </w:p>
    <w:p>
      <w:pPr>
        <w:pStyle w:val="CodeBlock"/>
      </w:pPr>
      <w:r>
        <w:t>- ts_utc: ISO 8601 timestamp (UTC)</w:t>
      </w:r>
    </w:p>
    <w:p>
      <w:pPr>
        <w:pStyle w:val="CodeBlock"/>
      </w:pPr>
      <w:r>
        <w:t>- units: explicit per field (or fixed by schema)</w:t>
      </w:r>
    </w:p>
    <w:p>
      <w:pPr>
        <w:pStyle w:val="CodeBlock"/>
      </w:pPr>
      <w:r>
        <w:t>- quality_flag: good/bad/estimated (if available)</w:t>
      </w:r>
    </w:p>
    <w:p>
      <w:pPr>
        <w:pStyle w:val="CodeBlock"/>
      </w:pPr>
      <w:r>
        <w:t>- source_system: e.g., OPCUA, MES, WEATHER_PROVIDER</w:t>
      </w:r>
    </w:p>
    <w:p>
      <w:pPr>
        <w:pStyle w:val="CodeBlock"/>
      </w:pPr>
      <w:r>
        <w:t>- backfill: allowed? (Y/N) and how it is marked</w:t>
      </w:r>
    </w:p>
    <w:p>
      <w:pPr>
        <w:pStyle w:val="Heading1"/>
      </w:pPr>
      <w:r>
        <w:t>7. Thermal Requirements and Physics</w:t>
      </w:r>
    </w:p>
    <w:p>
      <w:pPr>
        <w:pStyle w:val="Heading2"/>
      </w:pPr>
      <w:r>
        <w:t>7.1 Demand Calculation Reference</w:t>
      </w:r>
    </w:p>
    <w:p>
      <w:pPr>
        <w:pStyle w:val="ListBullet"/>
      </w:pPr>
      <w:r>
        <w:t>Hot water: Q̇ = ṁ·Cp·ΔT.</w:t>
      </w:r>
    </w:p>
    <w:p>
      <w:pPr>
        <w:pStyle w:val="ListBullet"/>
      </w:pPr>
      <w:r>
        <w:t>Steam: Q̇ = ṁ·Δh.</w:t>
      </w:r>
    </w:p>
    <w:p>
      <w:pPr>
        <w:pStyle w:val="ListBullet"/>
      </w:pPr>
      <w:r>
        <w:t>Where required, use standardized steam tables at measured header pressure; document the source library/table used.</w:t>
      </w:r>
    </w:p>
    <w:p>
      <w:pPr>
        <w:pStyle w:val="Heading2"/>
      </w:pPr>
      <w:r>
        <w:t>7.2 Storage Model</w:t>
      </w:r>
    </w:p>
    <w:p>
      <w:pPr>
        <w:pStyle w:val="ListBullet"/>
      </w:pPr>
      <w:r>
        <w:t>Baseline energy-buffer model sufficient for planning; stratification optional later.</w:t>
      </w:r>
    </w:p>
    <w:p>
      <w:pPr>
        <w:pStyle w:val="ListBullet"/>
      </w:pPr>
      <w:r>
        <w:t>Loss model calibrated from data; account for ambient temperature effect.</w:t>
      </w:r>
    </w:p>
    <w:p>
      <w:pPr>
        <w:pStyle w:val="ListBullet"/>
      </w:pPr>
      <w:r>
        <w:t>Mutual exclusion enforced (no simultaneous charge/discharge) unless hardware supports it explicitly.</w:t>
      </w:r>
    </w:p>
    <w:p>
      <w:pPr>
        <w:pStyle w:val="Heading2"/>
      </w:pPr>
      <w:r>
        <w:t>7.3 Thermal Safety and Constraint Sign‑off</w:t>
      </w:r>
    </w:p>
    <w:p>
      <w:pPr>
        <w:pStyle w:val="ListBullet"/>
      </w:pPr>
      <w:r>
        <w:t>All constraints classified as safety-critical must be marked and locked behind change control.</w:t>
      </w:r>
    </w:p>
    <w:p>
      <w:pPr>
        <w:pStyle w:val="ListBullet"/>
      </w:pPr>
      <w:r>
        <w:t>Any change to safety-critical constraints requires process engineering + OT + safety officer approval.</w:t>
      </w:r>
    </w:p>
    <w:p>
      <w:pPr>
        <w:pStyle w:val="ListBullet"/>
      </w:pPr>
      <w:r>
        <w:t>Optimization output must undergo constraint verification before publication.</w:t>
      </w:r>
    </w:p>
    <w:p>
      <w:pPr>
        <w:pStyle w:val="Heading1"/>
      </w:pPr>
      <w:r>
        <w:t>8. Mathematics and Optimization</w:t>
      </w:r>
    </w:p>
    <w:p>
      <w:pPr>
        <w:pStyle w:val="Heading2"/>
      </w:pPr>
      <w:r>
        <w:t>8.1 Optimization Problem Summary</w:t>
      </w:r>
    </w:p>
    <w:p>
      <w:r>
        <w:t>HeatScheduler solves a constrained scheduling problem similar to unit commitment with storage. The recommended implementation uses MILP or LP with piecewise-linear efficiencies for tractability and guaranteed feasibility diagnostics.</w:t>
      </w:r>
    </w:p>
    <w:p>
      <w:pPr>
        <w:pStyle w:val="Heading2"/>
      </w:pPr>
      <w:r>
        <w:t>8.2 Core Constraints (Reference)</w:t>
      </w:r>
    </w:p>
    <w:p>
      <w:pPr>
        <w:pStyle w:val="CodeBlock"/>
      </w:pPr>
      <w:r>
        <w:t>Thermal balance:</w:t>
      </w:r>
    </w:p>
    <w:p>
      <w:pPr>
        <w:pStyle w:val="CodeBlock"/>
      </w:pPr>
      <w:r>
        <w:t xml:space="preserve">  supply_t = Σ_i P_{i,t} + P_dis_t − P_ch_t</w:t>
      </w:r>
    </w:p>
    <w:p>
      <w:pPr>
        <w:pStyle w:val="CodeBlock"/>
      </w:pPr>
      <w:r>
        <w:t xml:space="preserve">  supply_t + s_t ≥ D_t</w:t>
      </w:r>
    </w:p>
    <w:p>
      <w:pPr>
        <w:pStyle w:val="CodeBlock"/>
      </w:pPr>
    </w:p>
    <w:p>
      <w:pPr>
        <w:pStyle w:val="CodeBlock"/>
      </w:pPr>
      <w:r>
        <w:t>Storage:</w:t>
      </w:r>
    </w:p>
    <w:p>
      <w:pPr>
        <w:pStyle w:val="CodeBlock"/>
      </w:pPr>
      <w:r>
        <w:t xml:space="preserve">  E_{t+1} = E_t + η_c·P_ch_t·Δt − (1/η_d)·P_dis_t·Δt − Loss_t</w:t>
      </w:r>
    </w:p>
    <w:p>
      <w:pPr>
        <w:pStyle w:val="CodeBlock"/>
      </w:pPr>
      <w:r>
        <w:t xml:space="preserve">  0 ≤ E_t ≤ E_max</w:t>
      </w:r>
    </w:p>
    <w:p>
      <w:pPr>
        <w:pStyle w:val="CodeBlock"/>
      </w:pPr>
    </w:p>
    <w:p>
      <w:pPr>
        <w:pStyle w:val="CodeBlock"/>
      </w:pPr>
      <w:r>
        <w:t>Asset i:</w:t>
      </w:r>
    </w:p>
    <w:p>
      <w:pPr>
        <w:pStyle w:val="CodeBlock"/>
      </w:pPr>
      <w:r>
        <w:t xml:space="preserve">  u_{i,t}·Pmin_i ≤ P_{i,t} ≤ u_{i,t}·Pmax_i(t)</w:t>
      </w:r>
    </w:p>
    <w:p>
      <w:pPr>
        <w:pStyle w:val="CodeBlock"/>
      </w:pPr>
      <w:r>
        <w:t xml:space="preserve">  ramp limits and min up/down as needed</w:t>
      </w:r>
    </w:p>
    <w:p>
      <w:pPr>
        <w:pStyle w:val="Heading2"/>
      </w:pPr>
      <w:r>
        <w:t>8.3 Objective Terms</w:t>
      </w:r>
    </w:p>
    <w:p>
      <w:pPr>
        <w:pStyle w:val="ListBullet"/>
      </w:pPr>
      <w:r>
        <w:t>Energy: TOU/RTP energy charge.</w:t>
      </w:r>
    </w:p>
    <w:p>
      <w:pPr>
        <w:pStyle w:val="ListBullet"/>
      </w:pPr>
      <w:r>
        <w:t>Demand: peak demand charge via P_peak variable (and optional ratchet rules).</w:t>
      </w:r>
    </w:p>
    <w:p>
      <w:pPr>
        <w:pStyle w:val="ListBullet"/>
      </w:pPr>
      <w:r>
        <w:t>Fuel: fuel use via efficiency curves.</w:t>
      </w:r>
    </w:p>
    <w:p>
      <w:pPr>
        <w:pStyle w:val="ListBullet"/>
      </w:pPr>
      <w:r>
        <w:t>Wear: startup/cycle penalties.</w:t>
      </w:r>
    </w:p>
    <w:p>
      <w:pPr>
        <w:pStyle w:val="ListBullet"/>
      </w:pPr>
      <w:r>
        <w:t>Risk: uncertainty-aware conservative demand or scenario risk term.</w:t>
      </w:r>
    </w:p>
    <w:p>
      <w:pPr>
        <w:pStyle w:val="ListBullet"/>
      </w:pPr>
      <w:r>
        <w:t>Slack: penalize unmet demand heavily; treat as exception.</w:t>
      </w:r>
    </w:p>
    <w:p>
      <w:pPr>
        <w:pStyle w:val="Heading2"/>
      </w:pPr>
      <w:r>
        <w:t>8.4 Solver and Performance Guidance</w:t>
      </w:r>
    </w:p>
    <w:p>
      <w:pPr>
        <w:pStyle w:val="ListBullet"/>
      </w:pPr>
      <w:r>
        <w:t>Warm starts: use last solution shifted by one step to speed up replans.</w:t>
      </w:r>
    </w:p>
    <w:p>
      <w:pPr>
        <w:pStyle w:val="ListBullet"/>
      </w:pPr>
      <w:r>
        <w:t>Timeouts: enforce solver time limit; accept near-optimal solutions within gap threshold (e.g., 1–3%).</w:t>
      </w:r>
    </w:p>
    <w:p>
      <w:pPr>
        <w:pStyle w:val="ListBullet"/>
      </w:pPr>
      <w:r>
        <w:t>Scaling: normalize units to avoid numerical instability; ensure coefficients are in reasonable ranges.</w:t>
      </w:r>
    </w:p>
    <w:p>
      <w:pPr>
        <w:pStyle w:val="ListBullet"/>
      </w:pPr>
      <w:r>
        <w:t>Diagnostics: record constraint violations, duals/shadow prices where available for explainability and debugging.</w:t>
      </w:r>
    </w:p>
    <w:p>
      <w:pPr>
        <w:pStyle w:val="Heading1"/>
      </w:pPr>
      <w:r>
        <w:t>9. AI/ML Forecasting, UQ, Explainability</w:t>
      </w:r>
    </w:p>
    <w:p>
      <w:pPr>
        <w:pStyle w:val="Heading2"/>
      </w:pPr>
      <w:r>
        <w:t>9.1 Recommended MVP Approach</w:t>
      </w:r>
    </w:p>
    <w:p>
      <w:pPr>
        <w:pStyle w:val="ListBullet"/>
      </w:pPr>
      <w:r>
        <w:t>Start with recipe-based baseline derived from production schedule and typical load shapes.</w:t>
      </w:r>
    </w:p>
    <w:p>
      <w:pPr>
        <w:pStyle w:val="ListBullet"/>
      </w:pPr>
      <w:r>
        <w:t>Add ML residual model using weather and operational covariates.</w:t>
      </w:r>
    </w:p>
    <w:p>
      <w:pPr>
        <w:pStyle w:val="ListBullet"/>
      </w:pPr>
      <w:r>
        <w:t>Train quantile models (P10/P50/P90) and wrap with conformal for calibration.</w:t>
      </w:r>
    </w:p>
    <w:p>
      <w:pPr>
        <w:pStyle w:val="ListBullet"/>
      </w:pPr>
      <w:r>
        <w:t>Publish driver attributions with SHAP (global + local) and optional LIME for model-agnostic checks.</w:t>
      </w:r>
    </w:p>
    <w:p>
      <w:pPr>
        <w:pStyle w:val="Heading2"/>
      </w:pPr>
      <w:r>
        <w:t>9.2 Metrics and Monitoring</w:t>
      </w:r>
    </w:p>
    <w:p>
      <w:pPr>
        <w:pStyle w:val="ListBullet"/>
      </w:pPr>
      <w:r>
        <w:t>Accuracy: MAE, MAPE, WAPE by lead time and by shift/season.</w:t>
      </w:r>
    </w:p>
    <w:p>
      <w:pPr>
        <w:pStyle w:val="ListBullet"/>
      </w:pPr>
      <w:r>
        <w:t>Probabilistic: pinball loss, CRPS, interval coverage and sharpness.</w:t>
      </w:r>
    </w:p>
    <w:p>
      <w:pPr>
        <w:pStyle w:val="ListBullet"/>
      </w:pPr>
      <w:r>
        <w:t>Drift: population stability index (PSI) on key features; out-of-distribution detection.</w:t>
      </w:r>
    </w:p>
    <w:p>
      <w:pPr>
        <w:pStyle w:val="ListBullet"/>
      </w:pPr>
      <w:r>
        <w:t>Operational: forecast revision size (how much forecasts change after replan).</w:t>
      </w:r>
    </w:p>
    <w:p>
      <w:pPr>
        <w:pStyle w:val="Heading1"/>
      </w:pPr>
      <w:r>
        <w:t>10. Streaming and Integration</w:t>
      </w:r>
    </w:p>
    <w:p>
      <w:pPr>
        <w:pStyle w:val="Heading2"/>
      </w:pPr>
      <w:r>
        <w:t>10.1 REST Endpoints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Endpoint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/v1/heatscheduler/status</w:t>
            </w:r>
          </w:p>
        </w:tc>
        <w:tc>
          <w:tcPr>
            <w:tcW w:type="dxa" w:w="3120"/>
          </w:tcPr>
          <w:p>
            <w:r>
              <w:t>Health, versions, lag metrics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/v1/heatscheduler/replan</w:t>
            </w:r>
          </w:p>
        </w:tc>
        <w:tc>
          <w:tcPr>
            <w:tcW w:type="dxa" w:w="3120"/>
          </w:tcPr>
          <w:p>
            <w:r>
              <w:t>Trigger replan; supports dry_run and mode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/v1/heatscheduler/schedule?from=&amp;to=</w:t>
            </w:r>
          </w:p>
        </w:tc>
        <w:tc>
          <w:tcPr>
            <w:tcW w:type="dxa" w:w="3120"/>
          </w:tcPr>
          <w:p>
            <w:r>
              <w:t>Latest schedule window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/v1/heatscheduler/forecast?from=&amp;to=&amp;q=</w:t>
            </w:r>
          </w:p>
        </w:tc>
        <w:tc>
          <w:tcPr>
            <w:tcW w:type="dxa" w:w="3120"/>
          </w:tcPr>
          <w:p>
            <w:r>
              <w:t>Forecast with quantiles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/v1/heatscheduler/explain?run_id=</w:t>
            </w:r>
          </w:p>
        </w:tc>
        <w:tc>
          <w:tcPr>
            <w:tcW w:type="dxa" w:w="3120"/>
          </w:tcPr>
          <w:p>
            <w:r>
              <w:t>Explainability artifacts and summary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/v1/heatscheduler/stream</w:t>
            </w:r>
          </w:p>
        </w:tc>
        <w:tc>
          <w:tcPr>
            <w:tcW w:type="dxa" w:w="3120"/>
          </w:tcPr>
          <w:p>
            <w:r>
              <w:t>SSE stream</w:t>
            </w:r>
          </w:p>
        </w:tc>
      </w:tr>
    </w:tbl>
    <w:p>
      <w:pPr>
        <w:pStyle w:val="Heading2"/>
      </w:pPr>
      <w:r>
        <w:t>10.2 SSE Event Examples</w:t>
      </w:r>
    </w:p>
    <w:p>
      <w:pPr>
        <w:pStyle w:val="CodeBlock"/>
      </w:pPr>
      <w:r>
        <w:t>event: forecast.updated</w:t>
      </w:r>
    </w:p>
    <w:p>
      <w:pPr>
        <w:pStyle w:val="CodeBlock"/>
      </w:pPr>
      <w:r>
        <w:t>data: {"run_id":"...","forecast_uri":"/v1/heatscheduler/forecast?from=...&amp;to=...&amp;q=p10,p50,p90"}</w:t>
      </w:r>
    </w:p>
    <w:p>
      <w:pPr>
        <w:pStyle w:val="CodeBlock"/>
      </w:pPr>
    </w:p>
    <w:p>
      <w:pPr>
        <w:pStyle w:val="CodeBlock"/>
      </w:pPr>
      <w:r>
        <w:t>event: schedule.updated</w:t>
      </w:r>
    </w:p>
    <w:p>
      <w:pPr>
        <w:pStyle w:val="CodeBlock"/>
      </w:pPr>
      <w:r>
        <w:t>data: {"run_id":"...","schedule_version":17,"schedule_uri":"/v1/heatscheduler/schedule?from=...&amp;to=..."}</w:t>
      </w:r>
    </w:p>
    <w:p>
      <w:pPr>
        <w:pStyle w:val="Heading1"/>
      </w:pPr>
      <w:r>
        <w:t>11. Safety, Security, and Governance</w:t>
      </w:r>
    </w:p>
    <w:p>
      <w:pPr>
        <w:pStyle w:val="Heading2"/>
      </w:pPr>
      <w:r>
        <w:t>11.1 Safety</w:t>
      </w:r>
    </w:p>
    <w:p>
      <w:pPr>
        <w:pStyle w:val="ListBullet"/>
      </w:pPr>
      <w:r>
        <w:t>Default to read-only OT integration; introduce actuation only after staged commissioning and safety sign-off.</w:t>
      </w:r>
    </w:p>
    <w:p>
      <w:pPr>
        <w:pStyle w:val="ListBullet"/>
      </w:pPr>
      <w:r>
        <w:t>Implement constraint verification step that rejects any schedule violating safety-critical limits.</w:t>
      </w:r>
    </w:p>
    <w:p>
      <w:pPr>
        <w:pStyle w:val="ListBullet"/>
      </w:pPr>
      <w:r>
        <w:t>Maintain human override; log overrides for continuous improvement.</w:t>
      </w:r>
    </w:p>
    <w:p>
      <w:pPr>
        <w:pStyle w:val="Heading2"/>
      </w:pPr>
      <w:r>
        <w:t>11.2 Security</w:t>
      </w:r>
    </w:p>
    <w:p>
      <w:pPr>
        <w:pStyle w:val="ListBullet"/>
      </w:pPr>
      <w:r>
        <w:t>TLS everywhere; mTLS at OT boundary; certificate lifecycle management.</w:t>
      </w:r>
    </w:p>
    <w:p>
      <w:pPr>
        <w:pStyle w:val="ListBullet"/>
      </w:pPr>
      <w:r>
        <w:t>RBAC and least privilege; separate service accounts per component.</w:t>
      </w:r>
    </w:p>
    <w:p>
      <w:pPr>
        <w:pStyle w:val="ListBullet"/>
      </w:pPr>
      <w:r>
        <w:t>Immutable audit logs with run_id traceability; integrate with SIEM.</w:t>
      </w:r>
    </w:p>
    <w:p>
      <w:pPr>
        <w:pStyle w:val="Heading1"/>
      </w:pPr>
      <w:r>
        <w:t>12. Operations, Monitoring, and Runbooks</w:t>
      </w:r>
    </w:p>
    <w:p>
      <w:pPr>
        <w:pStyle w:val="ListBullet"/>
      </w:pPr>
      <w:r>
        <w:t>Define SLOs: availability, latency, feasibility rate, forecast coverage.</w:t>
      </w:r>
    </w:p>
    <w:p>
      <w:pPr>
        <w:pStyle w:val="ListBullet"/>
      </w:pPr>
      <w:r>
        <w:t>Dashboards: ingestion lag, DQ alerts, solver status, forecast error, schedule churn, savings KPIs.</w:t>
      </w:r>
    </w:p>
    <w:p>
      <w:pPr>
        <w:pStyle w:val="ListBullet"/>
      </w:pPr>
      <w:r>
        <w:t>Runbooks: data outage, solver infeasibility, model drift, OT connectivity loss, rollback.</w:t>
      </w:r>
    </w:p>
    <w:p>
      <w:pPr>
        <w:pStyle w:val="Heading1"/>
      </w:pPr>
      <w:r>
        <w:t>13. Testing and Validation</w:t>
      </w:r>
    </w:p>
    <w:p>
      <w:pPr>
        <w:pStyle w:val="Heading2"/>
      </w:pPr>
      <w:r>
        <w:t>13.1 Minimum Test Suite</w:t>
      </w:r>
    </w:p>
    <w:p>
      <w:pPr>
        <w:pStyle w:val="ListBullet"/>
      </w:pPr>
      <w:r>
        <w:t>Schema validation tests for every producer topic.</w:t>
      </w:r>
    </w:p>
    <w:p>
      <w:pPr>
        <w:pStyle w:val="ListBullet"/>
      </w:pPr>
      <w:r>
        <w:t>Deterministic tariff calculation tests against known bills/examples.</w:t>
      </w:r>
    </w:p>
    <w:p>
      <w:pPr>
        <w:pStyle w:val="ListBullet"/>
      </w:pPr>
      <w:r>
        <w:t>Forecast backtests over multiple seasons; calibration tests for prediction intervals.</w:t>
      </w:r>
    </w:p>
    <w:p>
      <w:pPr>
        <w:pStyle w:val="ListBullet"/>
      </w:pPr>
      <w:r>
        <w:t>Optimization replay tests ensuring constraints satisfaction and no safety violations.</w:t>
      </w:r>
    </w:p>
    <w:p>
      <w:pPr>
        <w:pStyle w:val="ListBullet"/>
      </w:pPr>
      <w:r>
        <w:t>End-to-end shadow pilot with operator review and documented findings.</w:t>
      </w:r>
    </w:p>
    <w:p>
      <w:pPr>
        <w:pStyle w:val="Heading1"/>
      </w:pPr>
      <w:r>
        <w:t>14. Delivery Plan (Q2 2026 Target Template)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Milestone</w:t>
            </w:r>
          </w:p>
        </w:tc>
        <w:tc>
          <w:tcPr>
            <w:tcW w:type="dxa" w:w="4680"/>
          </w:tcPr>
          <w:p>
            <w:r>
              <w:t>Exit Criteria</w:t>
            </w:r>
          </w:p>
        </w:tc>
      </w:tr>
      <w:tr>
        <w:tc>
          <w:tcPr>
            <w:tcW w:type="dxa" w:w="4680"/>
          </w:tcPr>
          <w:p>
            <w:r>
              <w:t>M1 Data Ready</w:t>
            </w:r>
          </w:p>
        </w:tc>
        <w:tc>
          <w:tcPr>
            <w:tcW w:type="dxa" w:w="4680"/>
          </w:tcPr>
          <w:p>
            <w:r>
              <w:t>Contracts + ingestion + 8+ weeks clean history</w:t>
            </w:r>
          </w:p>
        </w:tc>
      </w:tr>
      <w:tr>
        <w:tc>
          <w:tcPr>
            <w:tcW w:type="dxa" w:w="4680"/>
          </w:tcPr>
          <w:p>
            <w:r>
              <w:t>M2 Forecast MVP</w:t>
            </w:r>
          </w:p>
        </w:tc>
        <w:tc>
          <w:tcPr>
            <w:tcW w:type="dxa" w:w="4680"/>
          </w:tcPr>
          <w:p>
            <w:r>
              <w:t>Probabilistic forecast + SHAP report + monitoring</w:t>
            </w:r>
          </w:p>
        </w:tc>
      </w:tr>
      <w:tr>
        <w:tc>
          <w:tcPr>
            <w:tcW w:type="dxa" w:w="4680"/>
          </w:tcPr>
          <w:p>
            <w:r>
              <w:t>M3 Optimization MVP</w:t>
            </w:r>
          </w:p>
        </w:tc>
        <w:tc>
          <w:tcPr>
            <w:tcW w:type="dxa" w:w="4680"/>
          </w:tcPr>
          <w:p>
            <w:r>
              <w:t>Shadow schedules feasible &gt;95%, KPI baseline</w:t>
            </w:r>
          </w:p>
        </w:tc>
      </w:tr>
      <w:tr>
        <w:tc>
          <w:tcPr>
            <w:tcW w:type="dxa" w:w="4680"/>
          </w:tcPr>
          <w:p>
            <w:r>
              <w:t>M4 Integration</w:t>
            </w:r>
          </w:p>
        </w:tc>
        <w:tc>
          <w:tcPr>
            <w:tcW w:type="dxa" w:w="4680"/>
          </w:tcPr>
          <w:p>
            <w:r>
              <w:t>SSE/Kafka outputs + production system integration</w:t>
            </w:r>
          </w:p>
        </w:tc>
      </w:tr>
      <w:tr>
        <w:tc>
          <w:tcPr>
            <w:tcW w:type="dxa" w:w="4680"/>
          </w:tcPr>
          <w:p>
            <w:r>
              <w:t>M5 Pilot</w:t>
            </w:r>
          </w:p>
        </w:tc>
        <w:tc>
          <w:tcPr>
            <w:tcW w:type="dxa" w:w="4680"/>
          </w:tcPr>
          <w:p>
            <w:r>
              <w:t>Advisory pilot meets KPI targets; safety review</w:t>
            </w:r>
          </w:p>
        </w:tc>
      </w:tr>
      <w:tr>
        <w:tc>
          <w:tcPr>
            <w:tcW w:type="dxa" w:w="4680"/>
          </w:tcPr>
          <w:p>
            <w:r>
              <w:t>M6 Rollout</w:t>
            </w:r>
          </w:p>
        </w:tc>
        <w:tc>
          <w:tcPr>
            <w:tcW w:type="dxa" w:w="4680"/>
          </w:tcPr>
          <w:p>
            <w:r>
              <w:t>Production deployment + runbooks + on-call + PIR</w:t>
            </w:r>
          </w:p>
        </w:tc>
      </w:tr>
    </w:tbl>
    <w:p>
      <w:pPr>
        <w:pStyle w:val="Heading1"/>
      </w:pPr>
      <w:r>
        <w:t>15. Appendices</w:t>
      </w:r>
    </w:p>
    <w:p>
      <w:pPr>
        <w:pStyle w:val="Heading2"/>
      </w:pPr>
      <w:r>
        <w:t>15.1 Glossary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Meaning</w:t>
            </w:r>
          </w:p>
        </w:tc>
      </w:tr>
      <w:tr>
        <w:tc>
          <w:tcPr>
            <w:tcW w:type="dxa" w:w="4680"/>
          </w:tcPr>
          <w:p>
            <w:r>
              <w:t>APS</w:t>
            </w:r>
          </w:p>
        </w:tc>
        <w:tc>
          <w:tcPr>
            <w:tcW w:type="dxa" w:w="4680"/>
          </w:tcPr>
          <w:p>
            <w:r>
              <w:t>Advanced Planning and Scheduling</w:t>
            </w:r>
          </w:p>
        </w:tc>
      </w:tr>
      <w:tr>
        <w:tc>
          <w:tcPr>
            <w:tcW w:type="dxa" w:w="4680"/>
          </w:tcPr>
          <w:p>
            <w:r>
              <w:t>BI</w:t>
            </w:r>
          </w:p>
        </w:tc>
        <w:tc>
          <w:tcPr>
            <w:tcW w:type="dxa" w:w="4680"/>
          </w:tcPr>
          <w:p>
            <w:r>
              <w:t>Business/Operational Intelligence</w:t>
            </w:r>
          </w:p>
        </w:tc>
      </w:tr>
      <w:tr>
        <w:tc>
          <w:tcPr>
            <w:tcW w:type="dxa" w:w="4680"/>
          </w:tcPr>
          <w:p>
            <w:r>
              <w:t>CMMS</w:t>
            </w:r>
          </w:p>
        </w:tc>
        <w:tc>
          <w:tcPr>
            <w:tcW w:type="dxa" w:w="4680"/>
          </w:tcPr>
          <w:p>
            <w:r>
              <w:t>Computerized Maintenance Management System</w:t>
            </w:r>
          </w:p>
        </w:tc>
      </w:tr>
      <w:tr>
        <w:tc>
          <w:tcPr>
            <w:tcW w:type="dxa" w:w="4680"/>
          </w:tcPr>
          <w:p>
            <w:r>
              <w:t>DCS</w:t>
            </w:r>
          </w:p>
        </w:tc>
        <w:tc>
          <w:tcPr>
            <w:tcW w:type="dxa" w:w="4680"/>
          </w:tcPr>
          <w:p>
            <w:r>
              <w:t>Distributed Control System</w:t>
            </w:r>
          </w:p>
        </w:tc>
      </w:tr>
      <w:tr>
        <w:tc>
          <w:tcPr>
            <w:tcW w:type="dxa" w:w="4680"/>
          </w:tcPr>
          <w:p>
            <w:r>
              <w:t>DR</w:t>
            </w:r>
          </w:p>
        </w:tc>
        <w:tc>
          <w:tcPr>
            <w:tcW w:type="dxa" w:w="4680"/>
          </w:tcPr>
          <w:p>
            <w:r>
              <w:t>Demand Response</w:t>
            </w:r>
          </w:p>
        </w:tc>
      </w:tr>
      <w:tr>
        <w:tc>
          <w:tcPr>
            <w:tcW w:type="dxa" w:w="4680"/>
          </w:tcPr>
          <w:p>
            <w:r>
              <w:t>MPC</w:t>
            </w:r>
          </w:p>
        </w:tc>
        <w:tc>
          <w:tcPr>
            <w:tcW w:type="dxa" w:w="4680"/>
          </w:tcPr>
          <w:p>
            <w:r>
              <w:t>Model Predictive Control (receding horizon)</w:t>
            </w:r>
          </w:p>
        </w:tc>
      </w:tr>
      <w:tr>
        <w:tc>
          <w:tcPr>
            <w:tcW w:type="dxa" w:w="4680"/>
          </w:tcPr>
          <w:p>
            <w:r>
              <w:t>OPC‑UA</w:t>
            </w:r>
          </w:p>
        </w:tc>
        <w:tc>
          <w:tcPr>
            <w:tcW w:type="dxa" w:w="4680"/>
          </w:tcPr>
          <w:p>
            <w:r>
              <w:t>OPC Unified Architecture</w:t>
            </w:r>
          </w:p>
        </w:tc>
      </w:tr>
      <w:tr>
        <w:tc>
          <w:tcPr>
            <w:tcW w:type="dxa" w:w="4680"/>
          </w:tcPr>
          <w:p>
            <w:r>
              <w:t>SSE</w:t>
            </w:r>
          </w:p>
        </w:tc>
        <w:tc>
          <w:tcPr>
            <w:tcW w:type="dxa" w:w="4680"/>
          </w:tcPr>
          <w:p>
            <w:r>
              <w:t>Server‑Sent Events</w:t>
            </w:r>
          </w:p>
        </w:tc>
      </w:tr>
      <w:tr>
        <w:tc>
          <w:tcPr>
            <w:tcW w:type="dxa" w:w="4680"/>
          </w:tcPr>
          <w:p>
            <w:r>
              <w:t>TOU</w:t>
            </w:r>
          </w:p>
        </w:tc>
        <w:tc>
          <w:tcPr>
            <w:tcW w:type="dxa" w:w="4680"/>
          </w:tcPr>
          <w:p>
            <w:r>
              <w:t>Time‑of‑Use</w:t>
            </w:r>
          </w:p>
        </w:tc>
      </w:tr>
      <w:tr>
        <w:tc>
          <w:tcPr>
            <w:tcW w:type="dxa" w:w="4680"/>
          </w:tcPr>
          <w:p>
            <w:r>
              <w:t>UQ</w:t>
            </w:r>
          </w:p>
        </w:tc>
        <w:tc>
          <w:tcPr>
            <w:tcW w:type="dxa" w:w="4680"/>
          </w:tcPr>
          <w:p>
            <w:r>
              <w:t>Uncertainty Quantification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