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GL-022 — SUPERHEAT-CTRL</w:t>
        <w:br/>
        <w:t>Superheater Control Agent Blueprint</w:t>
      </w:r>
    </w:p>
    <w:p>
      <w:pPr>
        <w:jc w:val="center"/>
      </w:pPr>
      <w:r>
        <w:rPr>
          <w:sz w:val="24"/>
        </w:rPr>
        <w:t>Steam Systems | Controller | P2 | Medium</w:t>
      </w:r>
    </w:p>
    <w:p>
      <w:pPr>
        <w:jc w:val="center"/>
      </w:pPr>
      <w:r>
        <w:rPr>
          <w:sz w:val="22"/>
        </w:rPr>
        <w:t>Status: Implemented | Target Release: Q3 2026 | Maturity: 95</w:t>
        <w:br/>
        <w:t>Budget Envelope: $5B (program-level)</w:t>
        <w:br/>
        <w:t>Document Version: 1.1 | Date: 2025-12-26</w:t>
      </w:r>
    </w:p>
    <w:p>
      <w:r>
        <w:br w:type="page"/>
      </w:r>
    </w:p>
    <w:p>
      <w:pPr>
        <w:pStyle w:val="Heading1"/>
      </w:pPr>
      <w:r>
        <w:t>Document control</w:t>
      </w:r>
    </w:p>
    <w:p>
      <w:r>
        <w:t>This document defines what each team must build, validate, and operate for GL-022 (SUPERHEAT-CTRL). It is written to be executable as a delivery plan and a technical specification.</w:t>
      </w:r>
    </w:p>
    <w:p>
      <w:r>
        <w:rPr>
          <w:b/>
        </w:rPr>
        <w:t xml:space="preserve">Scope of applicability: </w:t>
      </w:r>
      <w:r>
        <w:t>Superheater temperature control via spray attemperation (desuperheater) for steam generation systems (boilers/HRSGs), including tube metal temperature (TMT) monitoring, creep life assessment, thermal shock protection, and compliance reporting.</w:t>
      </w:r>
    </w:p>
    <w:p>
      <w:r>
        <w:rPr>
          <w:b/>
        </w:rPr>
        <w:t xml:space="preserve">Key design principle: </w:t>
      </w:r>
      <w:r>
        <w:t>Zero-hallucination deterministic calculations for all numeric outputs. Natural-language narratives must be traceable to data and computations with verifiable provenance hashes.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Author/Owner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2025-12-26</w:t>
            </w:r>
          </w:p>
        </w:tc>
        <w:tc>
          <w:tcPr>
            <w:tcW w:type="dxa" w:w="2160"/>
          </w:tcPr>
          <w:p>
            <w:r>
              <w:t>GL Program / Steam Systems</w:t>
            </w:r>
          </w:p>
        </w:tc>
        <w:tc>
          <w:tcPr>
            <w:tcW w:type="dxa" w:w="2160"/>
          </w:tcPr>
          <w:p>
            <w:r>
              <w:t>Added team playbooks; refined thermal/math sections</w:t>
            </w:r>
          </w:p>
        </w:tc>
      </w:tr>
    </w:tbl>
    <w:p/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Agent definition and success criteria</w:t>
      </w:r>
    </w:p>
    <w:p>
      <w:pPr>
        <w:pStyle w:val="ListNumber"/>
      </w:pPr>
      <w:r>
        <w:t>3. System boundary and operating assumptions</w:t>
      </w:r>
    </w:p>
    <w:p>
      <w:pPr>
        <w:pStyle w:val="ListNumber"/>
      </w:pPr>
      <w:r>
        <w:t>4. Cross-team responsibilities (RACI) and team playbooks</w:t>
      </w:r>
    </w:p>
    <w:p>
      <w:pPr>
        <w:pStyle w:val="ListNumber"/>
      </w:pPr>
      <w:r>
        <w:t>5. Data requirements and data engineering plan</w:t>
      </w:r>
    </w:p>
    <w:p>
      <w:pPr>
        <w:pStyle w:val="ListNumber"/>
      </w:pPr>
      <w:r>
        <w:t>6. Deterministic thermodynamics engine (IAPWS-IF97)</w:t>
      </w:r>
    </w:p>
    <w:p>
      <w:pPr>
        <w:pStyle w:val="ListNumber"/>
      </w:pPr>
      <w:r>
        <w:t>7. Spray water optimization via enthalpy balance</w:t>
      </w:r>
    </w:p>
    <w:p>
      <w:pPr>
        <w:pStyle w:val="ListNumber"/>
      </w:pPr>
      <w:r>
        <w:t>8. Control strategy: cascade + feedforward PID with anti-windup</w:t>
      </w:r>
    </w:p>
    <w:p>
      <w:pPr>
        <w:pStyle w:val="ListNumber"/>
      </w:pPr>
      <w:r>
        <w:t>9. Tube metal temperature monitoring and creep life assessment (API 530-aligned)</w:t>
      </w:r>
    </w:p>
    <w:p>
      <w:pPr>
        <w:pStyle w:val="ListNumber"/>
      </w:pPr>
      <w:r>
        <w:t>10. Thermal shock protection and constraints</w:t>
      </w:r>
    </w:p>
    <w:p>
      <w:pPr>
        <w:pStyle w:val="ListNumber"/>
      </w:pPr>
      <w:r>
        <w:t>11. Safety, interlocks, and compliance (ASME Section I / B31.1 / API 530)</w:t>
      </w:r>
    </w:p>
    <w:p>
      <w:pPr>
        <w:pStyle w:val="ListNumber"/>
      </w:pPr>
      <w:r>
        <w:t>12. Explainability, uncertainty quantification, and zero-hallucination UX</w:t>
      </w:r>
    </w:p>
    <w:p>
      <w:pPr>
        <w:pStyle w:val="ListNumber"/>
      </w:pPr>
      <w:r>
        <w:t>13. Provenance, audit logging, and reproducibility</w:t>
      </w:r>
    </w:p>
    <w:p>
      <w:pPr>
        <w:pStyle w:val="ListNumber"/>
      </w:pPr>
      <w:r>
        <w:t>14. Integration architecture (DCS/PLC, OPC-UA, Kafka, GraphQL, SCADA, CMMS)</w:t>
      </w:r>
    </w:p>
    <w:p>
      <w:pPr>
        <w:pStyle w:val="ListNumber"/>
      </w:pPr>
      <w:r>
        <w:t>15. Testing, validation, and acceptance</w:t>
      </w:r>
    </w:p>
    <w:p>
      <w:pPr>
        <w:pStyle w:val="ListNumber"/>
      </w:pPr>
      <w:r>
        <w:t>16. Deployment, operations, and monitoring</w:t>
      </w:r>
    </w:p>
    <w:p>
      <w:pPr>
        <w:pStyle w:val="ListNumber"/>
      </w:pPr>
      <w:r>
        <w:t>17. Climate intelligence and efficiency reporting</w:t>
      </w:r>
    </w:p>
    <w:p>
      <w:pPr>
        <w:pStyle w:val="ListNumber"/>
      </w:pPr>
      <w:r>
        <w:t>18. Appendices (math, templates, payloads, glossary)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GL-022 (SUPERHEAT-CTRL) is a SuperheaterControlAgent that optimizes superheater outlet steam temperature using spray attemperation (desuperheater) while protecting tube metal temperatures and managing creep/thermal shock risk. It combines deterministic IAPWS-IF97 thermodynamic property calculations, enthalpy-balance spray optimization, and industrial control logic (cascade/feedforward PID with anti-windup). The agent produces both control outputs and engineering-grade diagnostics (tube stress, creep life, thermal shock risk), plus explainability and provenance artifacts suitable for audit and compliance workflows.</w:t>
      </w:r>
    </w:p>
    <w:p>
      <w:r>
        <w:rPr>
          <w:b/>
        </w:rPr>
        <w:t>Primary outcomes</w:t>
      </w:r>
    </w:p>
    <w:p>
      <w:pPr>
        <w:pStyle w:val="ListBullet"/>
      </w:pPr>
      <w:r>
        <w:t>Maintain superheater outlet temperature at setpoint with minimal overshoot and oscillation under load changes.</w:t>
      </w:r>
    </w:p>
    <w:p>
      <w:pPr>
        <w:pStyle w:val="ListBullet"/>
      </w:pPr>
      <w:r>
        <w:t>Minimize spray water consumption while respecting temperature, stress, and safety constraints (enthalpy-based optimization).</w:t>
      </w:r>
    </w:p>
    <w:p>
      <w:pPr>
        <w:pStyle w:val="ListBullet"/>
      </w:pPr>
      <w:r>
        <w:t>Continuously monitor tube metal temperatures (TMT) and estimate creep life consumption; alert and constrain operation as needed.</w:t>
      </w:r>
    </w:p>
    <w:p>
      <w:pPr>
        <w:pStyle w:val="ListBullet"/>
      </w:pPr>
      <w:r>
        <w:t>Detect and prevent thermal shock events caused by rapid temperature transients or spray step-changes.</w:t>
      </w:r>
    </w:p>
    <w:p>
      <w:pPr>
        <w:pStyle w:val="ListBullet"/>
      </w:pPr>
      <w:r>
        <w:t>Provide deterministic, reproducible calculations and human-readable explanations with complete provenance tracking.</w:t>
      </w:r>
    </w:p>
    <w:p>
      <w:r>
        <w:rPr>
          <w:b/>
        </w:rPr>
        <w:t>Key interfaces</w:t>
      </w:r>
    </w:p>
    <w:p>
      <w:pPr>
        <w:pStyle w:val="ListBullet"/>
      </w:pPr>
      <w:r>
        <w:t>Inputs: steam inlet/outlet temperatures, pressures, flows; TMTs; spray rate; spray water quality; process demand setpoints; safety interlocks; valve positions.</w:t>
      </w:r>
    </w:p>
    <w:p>
      <w:pPr>
        <w:pStyle w:val="ListBullet"/>
      </w:pPr>
      <w:r>
        <w:t>Outputs: optimal spray setpoint; PID outputs; temperature predictions; tube stress + creep life; safety status; thermal shock risk; efficiency metrics; explainability reports; uncertainty quantification; natural language summary; provenance hash.</w:t>
      </w:r>
    </w:p>
    <w:p>
      <w:pPr>
        <w:pStyle w:val="ListBullet"/>
      </w:pPr>
      <w:r>
        <w:t>Integrations: DCS/PLC, superheater instrumentation, spray control valves, tube temp sensors, CMMS, OPC-UA, Kafka, GraphQL, SCADA.</w:t>
      </w:r>
    </w:p>
    <w:p>
      <w:pPr>
        <w:pStyle w:val="Heading1"/>
      </w:pPr>
      <w:r>
        <w:t>2. Agent definition and success criteria</w:t>
      </w:r>
    </w:p>
    <w:p>
      <w:r>
        <w:rPr>
          <w:b/>
        </w:rPr>
        <w:t>Agent record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2F2"/>
          </w:tcPr>
          <w:p>
            <w:r>
              <w:rPr>
                <w:b/>
              </w:rPr>
              <w:t>Agent ID</w:t>
            </w:r>
          </w:p>
        </w:tc>
        <w:tc>
          <w:tcPr>
            <w:tcW w:type="dxa" w:w="4320"/>
            <w:shd w:val="clear" w:color="auto" w:fill="F2F2F2"/>
          </w:tcPr>
          <w:p>
            <w:r>
              <w:t>GL-022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Agent code name</w:t>
            </w:r>
          </w:p>
        </w:tc>
        <w:tc>
          <w:tcPr>
            <w:tcW w:type="dxa" w:w="4320"/>
          </w:tcPr>
          <w:p>
            <w:r>
              <w:t>SUPERHEAT-CTRL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4320"/>
          </w:tcPr>
          <w:p>
            <w:r>
              <w:t>SuperheaterControlAgent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4320"/>
          </w:tcPr>
          <w:p>
            <w:r>
              <w:t>Steam Systems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Controller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P2 (Medium)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Program budget envelope</w:t>
            </w:r>
          </w:p>
        </w:tc>
        <w:tc>
          <w:tcPr>
            <w:tcW w:type="dxa" w:w="4320"/>
          </w:tcPr>
          <w:p>
            <w:r>
              <w:t>$5B (program-level placeholder)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Planned quarter</w:t>
            </w:r>
          </w:p>
        </w:tc>
        <w:tc>
          <w:tcPr>
            <w:tcW w:type="dxa" w:w="4320"/>
          </w:tcPr>
          <w:p>
            <w:r>
              <w:t>Q3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Maturity score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</w:tbl>
    <w:p/>
    <w:p>
      <w:r>
        <w:rPr>
          <w:b/>
        </w:rPr>
        <w:t>Definition of done (engineering + product)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4320"/>
          </w:tcPr>
          <w:p>
            <w:r>
              <w:t>Temperature control performance</w:t>
            </w:r>
          </w:p>
        </w:tc>
        <w:tc>
          <w:tcPr>
            <w:tcW w:type="dxa" w:w="4320"/>
          </w:tcPr>
          <w:p>
            <w:r>
              <w:t>Outlet steam temperature maintained within plant-defined band (e.g., ±5°C steady-state) with bounded overshoot after step/load changes; tuning documented.</w:t>
            </w:r>
          </w:p>
        </w:tc>
      </w:tr>
      <w:tr>
        <w:tc>
          <w:tcPr>
            <w:tcW w:type="dxa" w:w="4320"/>
          </w:tcPr>
          <w:p>
            <w:r>
              <w:t>Spray optimization</w:t>
            </w:r>
          </w:p>
        </w:tc>
        <w:tc>
          <w:tcPr>
            <w:tcW w:type="dxa" w:w="4320"/>
          </w:tcPr>
          <w:p>
            <w:r>
              <w:t>Spray water setpoint computed deterministically via enthalpy balance; achieves measurable reduction in spray flow for same temperature control (baseline comparison).</w:t>
            </w:r>
          </w:p>
        </w:tc>
      </w:tr>
      <w:tr>
        <w:tc>
          <w:tcPr>
            <w:tcW w:type="dxa" w:w="4320"/>
          </w:tcPr>
          <w:p>
            <w:r>
              <w:t>Tube protection</w:t>
            </w:r>
          </w:p>
        </w:tc>
        <w:tc>
          <w:tcPr>
            <w:tcW w:type="dxa" w:w="4320"/>
          </w:tcPr>
          <w:p>
            <w:r>
              <w:t>TMT limits and ramp-rate constraints enforced; creep life assessment runs continuously; alarms and constraints integrate with DCS/SCADA.</w:t>
            </w:r>
          </w:p>
        </w:tc>
      </w:tr>
      <w:tr>
        <w:tc>
          <w:tcPr>
            <w:tcW w:type="dxa" w:w="4320"/>
          </w:tcPr>
          <w:p>
            <w:r>
              <w:t>Safety compliance</w:t>
            </w:r>
          </w:p>
        </w:tc>
        <w:tc>
          <w:tcPr>
            <w:tcW w:type="dxa" w:w="4320"/>
          </w:tcPr>
          <w:p>
            <w:r>
              <w:t>Control outputs respect safety interlocks; agent never defeats or overrides SIS; compliance artifacts prepared for ASME/B31.1/API 530 review.</w:t>
            </w:r>
          </w:p>
        </w:tc>
      </w:tr>
      <w:tr>
        <w:tc>
          <w:tcPr>
            <w:tcW w:type="dxa" w:w="4320"/>
          </w:tcPr>
          <w:p>
            <w:r>
              <w:t>Explainability + provenance</w:t>
            </w:r>
          </w:p>
        </w:tc>
        <w:tc>
          <w:tcPr>
            <w:tcW w:type="dxa" w:w="4320"/>
          </w:tcPr>
          <w:p>
            <w:r>
              <w:t>Every numeric output has traceable inputs and calculation path; agent emits provenance hash and calculation report; natural language explanations cite exact values used.</w:t>
            </w:r>
          </w:p>
        </w:tc>
      </w:tr>
      <w:tr>
        <w:tc>
          <w:tcPr>
            <w:tcW w:type="dxa" w:w="4320"/>
          </w:tcPr>
          <w:p>
            <w:r>
              <w:t>Reliability</w:t>
            </w:r>
          </w:p>
        </w:tc>
        <w:tc>
          <w:tcPr>
            <w:tcW w:type="dxa" w:w="4320"/>
          </w:tcPr>
          <w:p>
            <w:r>
              <w:t>Graceful degradation on sensor loss; deterministic fallbacks; uptime and latency within control requirements.</w:t>
            </w:r>
          </w:p>
        </w:tc>
      </w:tr>
    </w:tbl>
    <w:p>
      <w:pPr>
        <w:pStyle w:val="Heading1"/>
      </w:pPr>
      <w:r>
        <w:t>3. System boundary and operating assumptions</w:t>
      </w:r>
    </w:p>
    <w:p>
      <w:r>
        <w:t>GL-022 operates as an advisory or supervisory control layer that computes optimal spray water setpoints and related diagnostics. It may be deployed at the edge (near DCS/PLC) for low-latency control, with centralized services for reporting, analytics, and model governance.</w:t>
      </w:r>
    </w:p>
    <w:p>
      <w:pPr>
        <w:pStyle w:val="Heading2"/>
      </w:pPr>
      <w:r>
        <w:t>3.1 Included equipment and streams</w:t>
      </w:r>
    </w:p>
    <w:p>
      <w:pPr>
        <w:pStyle w:val="ListBullet"/>
      </w:pPr>
      <w:r>
        <w:t>Superheater section(s) with outlet temperature measurement(s).</w:t>
      </w:r>
    </w:p>
    <w:p>
      <w:pPr>
        <w:pStyle w:val="ListBullet"/>
      </w:pPr>
      <w:r>
        <w:t>Desuperheater/attemperator with spray control valve(s) and flow measurement (or inferred flow via valve characterization).</w:t>
      </w:r>
    </w:p>
    <w:p>
      <w:pPr>
        <w:pStyle w:val="ListBullet"/>
      </w:pPr>
      <w:r>
        <w:t>Steam inlet/outlet pressure and flow measurement for the controlled section.</w:t>
      </w:r>
    </w:p>
    <w:p>
      <w:pPr>
        <w:pStyle w:val="ListBullet"/>
      </w:pPr>
      <w:r>
        <w:t>Tube metal temperature sensors (thermocouples or equivalent) and/or inferred TMT via validated thermal model.</w:t>
      </w:r>
    </w:p>
    <w:p>
      <w:pPr>
        <w:pStyle w:val="ListBullet"/>
      </w:pPr>
      <w:r>
        <w:t>Spray water supply quality instrumentation and/or lab measurements (conductivity, pH, dissolved solids, silica, etc.).</w:t>
      </w:r>
    </w:p>
    <w:p>
      <w:pPr>
        <w:pStyle w:val="Heading2"/>
      </w:pPr>
      <w:r>
        <w:t>3.2 Explicit non-goals / exclusions</w:t>
      </w:r>
    </w:p>
    <w:p>
      <w:pPr>
        <w:pStyle w:val="ListBullet"/>
      </w:pPr>
      <w:r>
        <w:t>Replacing existing Safety Instrumented System (SIS) logic or boiler protection functions.</w:t>
      </w:r>
    </w:p>
    <w:p>
      <w:pPr>
        <w:pStyle w:val="ListBullet"/>
      </w:pPr>
      <w:r>
        <w:t>Re-rating pressure parts or producing code-stamp engineering calculations; the agent produces decision-support artifacts for licensed engineers.</w:t>
      </w:r>
    </w:p>
    <w:p>
      <w:pPr>
        <w:pStyle w:val="ListBullet"/>
      </w:pPr>
      <w:r>
        <w:t>Closed-loop control of fuel/air or drum level (except as feedforward signals).</w:t>
      </w:r>
    </w:p>
    <w:p>
      <w:pPr>
        <w:pStyle w:val="Heading2"/>
      </w:pPr>
      <w:r>
        <w:t>3.3 Operating assumptions (must be validated per site)</w:t>
      </w:r>
    </w:p>
    <w:p>
      <w:pPr>
        <w:pStyle w:val="ListBullet"/>
      </w:pPr>
      <w:r>
        <w:t>Sensors are calibrated and time-synchronized to within an agreed tolerance (e.g., ≤1 s skew for control signals).</w:t>
      </w:r>
    </w:p>
    <w:p>
      <w:pPr>
        <w:pStyle w:val="ListBullet"/>
      </w:pPr>
      <w:r>
        <w:t>Steam is single-phase superheated at the controlled outlet measurement point (no significant wetness).</w:t>
      </w:r>
    </w:p>
    <w:p>
      <w:pPr>
        <w:pStyle w:val="ListBullet"/>
      </w:pPr>
      <w:r>
        <w:t>Spray water injection mixes sufficiently before the controlled temperature measurement point (or mixing delay is modeled).</w:t>
      </w:r>
    </w:p>
    <w:p>
      <w:pPr>
        <w:pStyle w:val="ListBullet"/>
      </w:pPr>
      <w:r>
        <w:t>Valve characteristics (Cv curve, hysteresis, stiction) are known or identified and maintained.</w:t>
      </w:r>
    </w:p>
    <w:p>
      <w:pPr>
        <w:pStyle w:val="ListBullet"/>
      </w:pPr>
      <w:r>
        <w:t>Material grade and tube geometry required for creep/stress assessment are available from design records.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4. Cross-team responsibilities (RACI) and team playbooks</w:t>
      </w:r>
    </w:p>
    <w:p>
      <w:pPr>
        <w:pStyle w:val="Heading2"/>
      </w:pPr>
      <w:r>
        <w:t>4.1 RACI matrix</w:t>
      </w:r>
    </w:p>
    <w:p>
      <w:r>
        <w:t>RACI below is a starting point. Each site/program must finalize ownership based on organizational structure and regulatory accountabilities.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</w:tblGrid>
      <w:tr>
        <w:tc>
          <w:tcPr>
            <w:tcW w:type="dxa" w:w="942"/>
            <w:shd w:val="clear" w:color="auto" w:fill="D9E1F2"/>
          </w:tcPr>
          <w:p>
            <w:r>
              <w:rPr>
                <w:b/>
              </w:rPr>
              <w:t>Workstream</w:t>
            </w:r>
          </w:p>
        </w:tc>
        <w:tc>
          <w:tcPr>
            <w:tcW w:type="dxa" w:w="942"/>
            <w:shd w:val="clear" w:color="auto" w:fill="D9E1F2"/>
          </w:tcPr>
          <w:p>
            <w:r>
              <w:rPr>
                <w:b/>
              </w:rPr>
              <w:t>AI/ML</w:t>
            </w:r>
          </w:p>
        </w:tc>
        <w:tc>
          <w:tcPr>
            <w:tcW w:type="dxa" w:w="942"/>
            <w:shd w:val="clear" w:color="auto" w:fill="D9E1F2"/>
          </w:tcPr>
          <w:p>
            <w:r>
              <w:rPr>
                <w:b/>
              </w:rPr>
              <w:t>Software Dev</w:t>
            </w:r>
          </w:p>
        </w:tc>
        <w:tc>
          <w:tcPr>
            <w:tcW w:type="dxa" w:w="942"/>
            <w:shd w:val="clear" w:color="auto" w:fill="D9E1F2"/>
          </w:tcPr>
          <w:p>
            <w:r>
              <w:rPr>
                <w:b/>
              </w:rPr>
              <w:t>Data Eng</w:t>
            </w:r>
          </w:p>
        </w:tc>
        <w:tc>
          <w:tcPr>
            <w:tcW w:type="dxa" w:w="942"/>
            <w:shd w:val="clear" w:color="auto" w:fill="D9E1F2"/>
          </w:tcPr>
          <w:p>
            <w:r>
              <w:rPr>
                <w:b/>
              </w:rPr>
              <w:t>Controls Eng</w:t>
            </w:r>
          </w:p>
        </w:tc>
        <w:tc>
          <w:tcPr>
            <w:tcW w:type="dxa" w:w="942"/>
            <w:shd w:val="clear" w:color="auto" w:fill="D9E1F2"/>
          </w:tcPr>
          <w:p>
            <w:r>
              <w:rPr>
                <w:b/>
              </w:rPr>
              <w:t>Thermal/Mech Eng</w:t>
            </w:r>
          </w:p>
        </w:tc>
        <w:tc>
          <w:tcPr>
            <w:tcW w:type="dxa" w:w="942"/>
            <w:shd w:val="clear" w:color="auto" w:fill="D9E1F2"/>
          </w:tcPr>
          <w:p>
            <w:r>
              <w:rPr>
                <w:b/>
              </w:rPr>
              <w:t>Instrumentation</w:t>
            </w:r>
          </w:p>
        </w:tc>
        <w:tc>
          <w:tcPr>
            <w:tcW w:type="dxa" w:w="942"/>
            <w:shd w:val="clear" w:color="auto" w:fill="D9E1F2"/>
          </w:tcPr>
          <w:p>
            <w:r>
              <w:rPr>
                <w:b/>
              </w:rPr>
              <w:t>Safety/Compliance</w:t>
            </w:r>
          </w:p>
        </w:tc>
        <w:tc>
          <w:tcPr>
            <w:tcW w:type="dxa" w:w="942"/>
            <w:shd w:val="clear" w:color="auto" w:fill="D9E1F2"/>
          </w:tcPr>
          <w:p>
            <w:r>
              <w:rPr>
                <w:b/>
              </w:rPr>
              <w:t>Operations</w:t>
            </w:r>
          </w:p>
        </w:tc>
        <w:tc>
          <w:tcPr>
            <w:tcW w:type="dxa" w:w="942"/>
            <w:shd w:val="clear" w:color="auto" w:fill="D9E1F2"/>
          </w:tcPr>
          <w:p>
            <w:r>
              <w:rPr>
                <w:b/>
              </w:rPr>
              <w:t>CMMS/Reliability</w:t>
            </w:r>
          </w:p>
        </w:tc>
        <w:tc>
          <w:tcPr>
            <w:tcW w:type="dxa" w:w="942"/>
            <w:shd w:val="clear" w:color="auto" w:fill="D9E1F2"/>
          </w:tcPr>
          <w:p>
            <w:r>
              <w:rPr>
                <w:b/>
              </w:rPr>
              <w:t>Climate Intelligence</w:t>
            </w:r>
          </w:p>
        </w:tc>
        <w:tc>
          <w:tcPr>
            <w:tcW w:type="dxa" w:w="942"/>
            <w:shd w:val="clear" w:color="auto" w:fill="D9E1F2"/>
          </w:tcPr>
          <w:p>
            <w:r>
              <w:rPr>
                <w:b/>
              </w:rPr>
              <w:t>Cybersecurity/IT</w:t>
            </w:r>
          </w:p>
        </w:tc>
        <w:tc>
          <w:tcPr>
            <w:tcW w:type="dxa" w:w="942"/>
            <w:shd w:val="clear" w:color="auto" w:fill="D9E1F2"/>
          </w:tcPr>
          <w:p>
            <w:r>
              <w:rPr>
                <w:b/>
              </w:rPr>
              <w:t>QA/Testing</w:t>
            </w:r>
          </w:p>
        </w:tc>
      </w:tr>
      <w:tr>
        <w:tc>
          <w:tcPr>
            <w:tcW w:type="dxa" w:w="942"/>
          </w:tcPr>
          <w:p>
            <w:r>
              <w:rPr>
                <w:b/>
              </w:rPr>
              <w:t>Requirements and tag mapping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R</w:t>
            </w:r>
          </w:p>
        </w:tc>
        <w:tc>
          <w:tcPr>
            <w:tcW w:type="dxa" w:w="942"/>
          </w:tcPr>
          <w:p>
            <w:r>
              <w:t>R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R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A</w:t>
            </w:r>
          </w:p>
        </w:tc>
      </w:tr>
      <w:tr>
        <w:tc>
          <w:tcPr>
            <w:tcW w:type="dxa" w:w="942"/>
          </w:tcPr>
          <w:p>
            <w:r>
              <w:rPr>
                <w:b/>
              </w:rPr>
              <w:t>OPC-UA/Kafka ingestion and historian alignment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R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A</w:t>
            </w:r>
          </w:p>
        </w:tc>
        <w:tc>
          <w:tcPr>
            <w:tcW w:type="dxa" w:w="942"/>
          </w:tcPr>
          <w:p>
            <w:r>
              <w:t>C</w:t>
            </w:r>
          </w:p>
        </w:tc>
      </w:tr>
      <w:tr>
        <w:tc>
          <w:tcPr>
            <w:tcW w:type="dxa" w:w="942"/>
          </w:tcPr>
          <w:p>
            <w:r>
              <w:rPr>
                <w:b/>
              </w:rPr>
              <w:t>IAPWS-IF97 property engine (deterministic) + verification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R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A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</w:tr>
      <w:tr>
        <w:tc>
          <w:tcPr>
            <w:tcW w:type="dxa" w:w="942"/>
          </w:tcPr>
          <w:p>
            <w:r>
              <w:rPr>
                <w:b/>
              </w:rPr>
              <w:t>Enthalpy-balance spray optimizer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R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A</w:t>
            </w:r>
          </w:p>
        </w:tc>
        <w:tc>
          <w:tcPr>
            <w:tcW w:type="dxa" w:w="942"/>
          </w:tcPr>
          <w:p>
            <w:r>
              <w:t>A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</w:tr>
      <w:tr>
        <w:tc>
          <w:tcPr>
            <w:tcW w:type="dxa" w:w="942"/>
          </w:tcPr>
          <w:p>
            <w:r>
              <w:rPr>
                <w:b/>
              </w:rPr>
              <w:t>Cascade/feedforward PID design, tuning, anti-windup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A</w:t>
            </w:r>
          </w:p>
        </w:tc>
        <w:tc>
          <w:tcPr>
            <w:tcW w:type="dxa" w:w="942"/>
          </w:tcPr>
          <w:p>
            <w:r>
              <w:t>A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R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</w:tr>
      <w:tr>
        <w:tc>
          <w:tcPr>
            <w:tcW w:type="dxa" w:w="942"/>
          </w:tcPr>
          <w:p>
            <w:r>
              <w:rPr>
                <w:b/>
              </w:rPr>
              <w:t>Thermal shock constraints and ramp-rate limits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A</w:t>
            </w:r>
          </w:p>
        </w:tc>
        <w:tc>
          <w:tcPr>
            <w:tcW w:type="dxa" w:w="942"/>
          </w:tcPr>
          <w:p>
            <w:r>
              <w:t>A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R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</w:tr>
      <w:tr>
        <w:tc>
          <w:tcPr>
            <w:tcW w:type="dxa" w:w="942"/>
          </w:tcPr>
          <w:p>
            <w:r>
              <w:rPr>
                <w:b/>
              </w:rPr>
              <w:t>TMT monitoring + sensor health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A</w:t>
            </w:r>
          </w:p>
        </w:tc>
        <w:tc>
          <w:tcPr>
            <w:tcW w:type="dxa" w:w="942"/>
          </w:tcPr>
          <w:p>
            <w:r>
              <w:t>A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R</w:t>
            </w:r>
          </w:p>
        </w:tc>
        <w:tc>
          <w:tcPr>
            <w:tcW w:type="dxa" w:w="942"/>
          </w:tcPr>
          <w:p>
            <w:r>
              <w:t>R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</w:tr>
      <w:tr>
        <w:tc>
          <w:tcPr>
            <w:tcW w:type="dxa" w:w="942"/>
          </w:tcPr>
          <w:p>
            <w:r>
              <w:rPr>
                <w:b/>
              </w:rPr>
              <w:t>Creep life assessment (API 530-aligned), alerts, reporting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A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A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R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</w:tr>
      <w:tr>
        <w:tc>
          <w:tcPr>
            <w:tcW w:type="dxa" w:w="942"/>
          </w:tcPr>
          <w:p>
            <w:r>
              <w:rPr>
                <w:b/>
              </w:rPr>
              <w:t>Explainability + narratives (SHAP/LIME or deterministic sensitivity)</w:t>
            </w:r>
          </w:p>
        </w:tc>
        <w:tc>
          <w:tcPr>
            <w:tcW w:type="dxa" w:w="942"/>
          </w:tcPr>
          <w:p>
            <w:r>
              <w:t>A</w:t>
            </w:r>
          </w:p>
        </w:tc>
        <w:tc>
          <w:tcPr>
            <w:tcW w:type="dxa" w:w="942"/>
          </w:tcPr>
          <w:p>
            <w:r>
              <w:t>R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R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</w:tr>
      <w:tr>
        <w:tc>
          <w:tcPr>
            <w:tcW w:type="dxa" w:w="942"/>
          </w:tcPr>
          <w:p>
            <w:r>
              <w:rPr>
                <w:b/>
              </w:rPr>
              <w:t>Provenance hashing, audit logging, reproducibility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A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R</w:t>
            </w:r>
          </w:p>
        </w:tc>
        <w:tc>
          <w:tcPr>
            <w:tcW w:type="dxa" w:w="942"/>
          </w:tcPr>
          <w:p>
            <w:r>
              <w:t>C</w:t>
            </w:r>
          </w:p>
        </w:tc>
      </w:tr>
      <w:tr>
        <w:tc>
          <w:tcPr>
            <w:tcW w:type="dxa" w:w="942"/>
          </w:tcPr>
          <w:p>
            <w:r>
              <w:rPr>
                <w:b/>
              </w:rPr>
              <w:t>Safety review, MOC, compliance sign-off artifacts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A</w:t>
            </w:r>
          </w:p>
        </w:tc>
        <w:tc>
          <w:tcPr>
            <w:tcW w:type="dxa" w:w="942"/>
          </w:tcPr>
          <w:p>
            <w:r>
              <w:t>R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</w:tr>
      <w:tr>
        <w:tc>
          <w:tcPr>
            <w:tcW w:type="dxa" w:w="942"/>
          </w:tcPr>
          <w:p>
            <w:r>
              <w:rPr>
                <w:b/>
              </w:rPr>
              <w:t>Deployment (edge/runtime), monitoring, incident response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A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R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C</w:t>
            </w:r>
          </w:p>
        </w:tc>
        <w:tc>
          <w:tcPr>
            <w:tcW w:type="dxa" w:w="942"/>
          </w:tcPr>
          <w:p>
            <w:r>
              <w:t>R</w:t>
            </w:r>
          </w:p>
        </w:tc>
        <w:tc>
          <w:tcPr>
            <w:tcW w:type="dxa" w:w="942"/>
          </w:tcPr>
          <w:p>
            <w:r>
              <w:t>C</w:t>
            </w:r>
          </w:p>
        </w:tc>
      </w:tr>
    </w:tbl>
    <w:p>
      <w:r>
        <w:t>Legend: R = Responsible; A = Accountable; C = Consulted; I = Informed.</w:t>
      </w:r>
    </w:p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4.2 Team playbooks (what each team must do)</w:t>
      </w:r>
    </w:p>
    <w:p>
      <w:pPr>
        <w:pStyle w:val="Heading3"/>
      </w:pPr>
      <w:r>
        <w:t>AI/ML team</w:t>
      </w:r>
    </w:p>
    <w:p>
      <w:pPr>
        <w:pStyle w:val="ListBullet"/>
      </w:pPr>
      <w:r>
        <w:t>Define which components are strictly deterministic (required for numeric control outputs) and which may be predictive/ML (optional) without affecting safety.</w:t>
      </w:r>
    </w:p>
    <w:p>
      <w:pPr>
        <w:pStyle w:val="ListBullet"/>
      </w:pPr>
      <w:r>
        <w:t>If ML is used (e.g., temperature prediction, sensor validation, anomaly detection), produce: feature list, training dataset spec, model card, validation results, and SHAP/LIME explanation pipeline.</w:t>
      </w:r>
    </w:p>
    <w:p>
      <w:pPr>
        <w:pStyle w:val="ListBullet"/>
      </w:pPr>
      <w:r>
        <w:t>Implement 'grounded narrative generation': the natural-language layer may only reference values present in the computation record; include provenance hash in every narrative.</w:t>
      </w:r>
    </w:p>
    <w:p>
      <w:pPr>
        <w:pStyle w:val="ListBullet"/>
      </w:pPr>
      <w:r>
        <w:t>Design uncertainty quantification outputs and ensure they are deterministic and monotonic with input uncertainty.</w:t>
      </w:r>
    </w:p>
    <w:p>
      <w:pPr>
        <w:pStyle w:val="ListBullet"/>
      </w:pPr>
      <w:r>
        <w:t>Define drift monitoring and re-training governance if ML is deployed (thresholds, approvals, rollback).</w:t>
      </w:r>
    </w:p>
    <w:p>
      <w:pPr>
        <w:pStyle w:val="Heading3"/>
      </w:pPr>
      <w:r>
        <w:t>Software development team</w:t>
      </w:r>
    </w:p>
    <w:p>
      <w:pPr>
        <w:pStyle w:val="ListBullet"/>
      </w:pPr>
      <w:r>
        <w:t>Implement the edge runtime services (thermo engine wrapper, optimizer, controller, diagnostics) with deterministic scheduling and bounded latency.</w:t>
      </w:r>
    </w:p>
    <w:p>
      <w:pPr>
        <w:pStyle w:val="ListBullet"/>
      </w:pPr>
      <w:r>
        <w:t>Implement Write Gateway with authentication, interlock gating, limit checks, rate limits, and full audit logging.</w:t>
      </w:r>
    </w:p>
    <w:p>
      <w:pPr>
        <w:pStyle w:val="ListBullet"/>
      </w:pPr>
      <w:r>
        <w:t>Implement GraphQL read APIs and report-generation endpoints; ensure no write capability is exposed through GraphQL.</w:t>
      </w:r>
    </w:p>
    <w:p>
      <w:pPr>
        <w:pStyle w:val="ListBullet"/>
      </w:pPr>
      <w:r>
        <w:t>Build configuration/version management: unit-specific configs (valve curves, limits, material data, PID tuning) with immutable versioning and approvals.</w:t>
      </w:r>
    </w:p>
    <w:p>
      <w:pPr>
        <w:pStyle w:val="ListBullet"/>
      </w:pPr>
      <w:r>
        <w:t>Implement provenance hashing and tamper-evident logging; ensure every output record is reproducible.</w:t>
      </w:r>
    </w:p>
    <w:p>
      <w:pPr>
        <w:pStyle w:val="Heading3"/>
      </w:pPr>
      <w:r>
        <w:t>Data engineering team</w:t>
      </w:r>
    </w:p>
    <w:p>
      <w:pPr>
        <w:pStyle w:val="ListBullet"/>
      </w:pPr>
      <w:r>
        <w:t>Deliver tag mapping (logical name → DCS/OPC-UA tag), unit normalization, and quality flag propagation.</w:t>
      </w:r>
    </w:p>
    <w:p>
      <w:pPr>
        <w:pStyle w:val="ListBullet"/>
      </w:pPr>
      <w:r>
        <w:t>Stand up OPC-UA gateway and Kafka topics with strict schemas (Avro/Protobuf) and retention policies.</w:t>
      </w:r>
    </w:p>
    <w:p>
      <w:pPr>
        <w:pStyle w:val="ListBullet"/>
      </w:pPr>
      <w:r>
        <w:t>Ensure time synchronization across DCS, gateway, and edge compute; monitor clock drift and message delay.</w:t>
      </w:r>
    </w:p>
    <w:p>
      <w:pPr>
        <w:pStyle w:val="ListBullet"/>
      </w:pPr>
      <w:r>
        <w:t>Implement data quality checks (range, rate-of-change, missing data) and deterministic filtering rules with explicit reporting.</w:t>
      </w:r>
    </w:p>
    <w:p>
      <w:pPr>
        <w:pStyle w:val="ListBullet"/>
      </w:pPr>
      <w:r>
        <w:t>Provide historical data extracts for tuning/validation and offline replay testing.</w:t>
      </w:r>
    </w:p>
    <w:p>
      <w:pPr>
        <w:pStyle w:val="Heading3"/>
      </w:pPr>
      <w:r>
        <w:t>Controls engineering team</w:t>
      </w:r>
    </w:p>
    <w:p>
      <w:pPr>
        <w:pStyle w:val="ListBullet"/>
      </w:pPr>
      <w:r>
        <w:t>Define control modes (observe-only/advisory/supervisory/active) and operator interaction model; align with plant control philosophy.</w:t>
      </w:r>
    </w:p>
    <w:p>
      <w:pPr>
        <w:pStyle w:val="ListBullet"/>
      </w:pPr>
      <w:r>
        <w:t>Design and tune cascade PID structure, anti-windup, bumpless transfer, and setpoint ramping.</w:t>
      </w:r>
    </w:p>
    <w:p>
      <w:pPr>
        <w:pStyle w:val="ListBullet"/>
      </w:pPr>
      <w:r>
        <w:t>Validate mixing delay and measurement placement; develop dynamic model or dead-time compensation strategy if needed.</w:t>
      </w:r>
    </w:p>
    <w:p>
      <w:pPr>
        <w:pStyle w:val="ListBullet"/>
      </w:pPr>
      <w:r>
        <w:t>Define constraints: min superheat margin, spray limits, valve slew limits, and thermal shock ramp-rate limits (with mechanical engineering).</w:t>
      </w:r>
    </w:p>
    <w:p>
      <w:pPr>
        <w:pStyle w:val="ListBullet"/>
      </w:pPr>
      <w:r>
        <w:t>Execute closed-loop simulation/HIL tests and document tuning and stability margins.</w:t>
      </w:r>
    </w:p>
    <w:p>
      <w:pPr>
        <w:pStyle w:val="Heading3"/>
      </w:pPr>
      <w:r>
        <w:t>Thermal / mechanical engineering team</w:t>
      </w:r>
    </w:p>
    <w:p>
      <w:pPr>
        <w:pStyle w:val="ListBullet"/>
      </w:pPr>
      <w:r>
        <w:t>Provide design data: tube geometry, material grades, allowable stresses/creep curves, and TMT limits; approve creep life methodology (API 530-aligned or site-approved).</w:t>
      </w:r>
    </w:p>
    <w:p>
      <w:pPr>
        <w:pStyle w:val="ListBullet"/>
      </w:pPr>
      <w:r>
        <w:t>Define thermal shock limits (dT/dt, ΔT gradients) and validate against equipment design and past incidents.</w:t>
      </w:r>
    </w:p>
    <w:p>
      <w:pPr>
        <w:pStyle w:val="ListBullet"/>
      </w:pPr>
      <w:r>
        <w:t>Approve assumptions used in enthalpy balance (adiabatic mixing, pressure selection) and any heat-transfer/TMT inference models.</w:t>
      </w:r>
    </w:p>
    <w:p>
      <w:pPr>
        <w:pStyle w:val="ListBullet"/>
      </w:pPr>
      <w:r>
        <w:t>Define acceptance criteria for creep damage reporting and inspection recommendations; integrate with reliability strategy.</w:t>
      </w:r>
    </w:p>
    <w:p>
      <w:pPr>
        <w:pStyle w:val="Heading3"/>
      </w:pPr>
      <w:r>
        <w:t>Instrumentation team</w:t>
      </w:r>
    </w:p>
    <w:p>
      <w:pPr>
        <w:pStyle w:val="ListBullet"/>
      </w:pPr>
      <w:r>
        <w:t>Validate sensor placement and calibration for T_out, P, flow, and TMT sensors; provide calibration certificates and drift expectations.</w:t>
      </w:r>
    </w:p>
    <w:p>
      <w:pPr>
        <w:pStyle w:val="ListBullet"/>
      </w:pPr>
      <w:r>
        <w:t>Ensure spray flow measurement is available and reliable; if inferred, support valve characterization and ΔP measurement.</w:t>
      </w:r>
    </w:p>
    <w:p>
      <w:pPr>
        <w:pStyle w:val="ListBullet"/>
      </w:pPr>
      <w:r>
        <w:t>Implement sensor health diagnostics (open thermocouple detection, comms loss, stuck signal) and expose to the agent via quality flags.</w:t>
      </w:r>
    </w:p>
    <w:p>
      <w:pPr>
        <w:pStyle w:val="ListBullet"/>
      </w:pPr>
      <w:r>
        <w:t>Support commissioning tests for step response and time alignment verification.</w:t>
      </w:r>
    </w:p>
    <w:p>
      <w:pPr>
        <w:pStyle w:val="Heading3"/>
      </w:pPr>
      <w:r>
        <w:t>Safety / compliance team</w:t>
      </w:r>
    </w:p>
    <w:p>
      <w:pPr>
        <w:pStyle w:val="ListBullet"/>
      </w:pPr>
      <w:r>
        <w:t>Define governance: what the agent may write, when, and under what approvals; align with MOC process.</w:t>
      </w:r>
    </w:p>
    <w:p>
      <w:pPr>
        <w:pStyle w:val="ListBullet"/>
      </w:pPr>
      <w:r>
        <w:t>Review and approve safety gating logic, safe-mode behavior, and alarm philosophy.</w:t>
      </w:r>
    </w:p>
    <w:p>
      <w:pPr>
        <w:pStyle w:val="ListBullet"/>
      </w:pPr>
      <w:r>
        <w:t>Review compliance evidence package for ASME Section I / B31.1 / API 530 alignment; ensure documentation meets site standards.</w:t>
      </w:r>
    </w:p>
    <w:p>
      <w:pPr>
        <w:pStyle w:val="ListBullet"/>
      </w:pPr>
      <w:r>
        <w:t>Ensure cybersecurity requirements are met for OT integration and write capability.</w:t>
      </w:r>
    </w:p>
    <w:p>
      <w:pPr>
        <w:pStyle w:val="Heading3"/>
      </w:pPr>
      <w:r>
        <w:t>Operations team</w:t>
      </w:r>
    </w:p>
    <w:p>
      <w:pPr>
        <w:pStyle w:val="ListBullet"/>
      </w:pPr>
      <w:r>
        <w:t>Define operator setpoint management expectations and how GL-022 interacts with existing DCS loops.</w:t>
      </w:r>
    </w:p>
    <w:p>
      <w:pPr>
        <w:pStyle w:val="ListBullet"/>
      </w:pPr>
      <w:r>
        <w:t>Participate in observe-only and advisory phases; provide feedback on dashboards, explanations, and alarm usability.</w:t>
      </w:r>
    </w:p>
    <w:p>
      <w:pPr>
        <w:pStyle w:val="ListBullet"/>
      </w:pPr>
      <w:r>
        <w:t>Validate that constraint behaviors and safe-mode transitions are operationally acceptable.</w:t>
      </w:r>
    </w:p>
    <w:p>
      <w:pPr>
        <w:pStyle w:val="ListBullet"/>
      </w:pPr>
      <w:r>
        <w:t>Own day-to-day response procedures for alarms related to TMT, shock risk, and data quality.</w:t>
      </w:r>
    </w:p>
    <w:p>
      <w:pPr>
        <w:pStyle w:val="Heading3"/>
      </w:pPr>
      <w:r>
        <w:t>CMMS / reliability team</w:t>
      </w:r>
    </w:p>
    <w:p>
      <w:pPr>
        <w:pStyle w:val="ListBullet"/>
      </w:pPr>
      <w:r>
        <w:t>Define inspection and maintenance thresholds based on creep damage indicators and TMT exceedances.</w:t>
      </w:r>
    </w:p>
    <w:p>
      <w:pPr>
        <w:pStyle w:val="ListBullet"/>
      </w:pPr>
      <w:r>
        <w:t>Specify how GL-022 evidence packets map to CMMS work processes (notifications, work orders, inspection routes).</w:t>
      </w:r>
    </w:p>
    <w:p>
      <w:pPr>
        <w:pStyle w:val="ListBullet"/>
      </w:pPr>
      <w:r>
        <w:t>Validate that calculated hot-spot rankings align with inspection findings and refine thresholds/locations accordingly.</w:t>
      </w:r>
    </w:p>
    <w:p>
      <w:pPr>
        <w:pStyle w:val="Heading3"/>
      </w:pPr>
      <w:r>
        <w:t>Climate intelligence team</w:t>
      </w:r>
    </w:p>
    <w:p>
      <w:pPr>
        <w:pStyle w:val="ListBullet"/>
      </w:pPr>
      <w:r>
        <w:t>Define reporting requirements for spray water consumption, efficiency impacts, and CO₂e attribution.</w:t>
      </w:r>
    </w:p>
    <w:p>
      <w:pPr>
        <w:pStyle w:val="ListBullet"/>
      </w:pPr>
      <w:r>
        <w:t>Integrate GL-022 outputs into sustainability dashboards; ensure assumptions (fuel factors, boundaries) are documented.</w:t>
      </w:r>
    </w:p>
    <w:p>
      <w:pPr>
        <w:pStyle w:val="ListBullet"/>
      </w:pPr>
      <w:r>
        <w:t>Use GL-022 event logs (constraint activations, shock near-misses) as inputs to risk and resilience reporting where applicable.</w:t>
      </w:r>
    </w:p>
    <w:p>
      <w:pPr>
        <w:pStyle w:val="Heading3"/>
      </w:pPr>
      <w:r>
        <w:t>Cybersecurity / IT team</w:t>
      </w:r>
    </w:p>
    <w:p>
      <w:pPr>
        <w:pStyle w:val="ListBullet"/>
      </w:pPr>
      <w:r>
        <w:t>Approve network segmentation and identity/access management for OT write paths.</w:t>
      </w:r>
    </w:p>
    <w:p>
      <w:pPr>
        <w:pStyle w:val="ListBullet"/>
      </w:pPr>
      <w:r>
        <w:t>Review container/runtime hardening, patching processes, secrets management, and logging retention.</w:t>
      </w:r>
    </w:p>
    <w:p>
      <w:pPr>
        <w:pStyle w:val="ListBullet"/>
      </w:pPr>
      <w:r>
        <w:t>Implement monitoring for anomalous write attempts, unusual traffic, or integrity violations in audit logs.</w:t>
      </w:r>
    </w:p>
    <w:p>
      <w:pPr>
        <w:pStyle w:val="Heading3"/>
      </w:pPr>
      <w:r>
        <w:t>QA / testing team</w:t>
      </w:r>
    </w:p>
    <w:p>
      <w:pPr>
        <w:pStyle w:val="ListBullet"/>
      </w:pPr>
      <w:r>
        <w:t>Own test plan across unit, integration, replay, simulation/HIL, and SAT; track results to acceptance criteria.</w:t>
      </w:r>
    </w:p>
    <w:p>
      <w:pPr>
        <w:pStyle w:val="ListBullet"/>
      </w:pPr>
      <w:r>
        <w:t>Validate determinism claims (same inputs → same outputs) and reproducibility with stored provenance records.</w:t>
      </w:r>
    </w:p>
    <w:p>
      <w:pPr>
        <w:pStyle w:val="ListBullet"/>
      </w:pPr>
      <w:r>
        <w:t>Verify failure modes: missing sensors, bad quality, network loss, solver non-convergence, actuator saturation.</w:t>
      </w:r>
    </w:p>
    <w:p>
      <w:pPr>
        <w:pStyle w:val="Heading1"/>
      </w:pPr>
      <w:r>
        <w:t>5. Data requirements and data engineering plan</w:t>
      </w:r>
    </w:p>
    <w:p>
      <w:r>
        <w:t>GL-022 is control-grade. Data engineering must treat it as a real-time cyber-physical application (not a batch analytics job). The agent requires reliable, time-synchronized measurements with clearly defined units, ranges, and quality flags.</w:t>
      </w:r>
    </w:p>
    <w:p>
      <w:pPr>
        <w:pStyle w:val="Heading2"/>
      </w:pPr>
      <w:r>
        <w:t>5.1 Required real-time signals (minimum set)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Typical update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Purpose / notes</w:t>
            </w:r>
          </w:p>
        </w:tc>
      </w:tr>
      <w:tr>
        <w:tc>
          <w:tcPr>
            <w:tcW w:type="dxa" w:w="1728"/>
          </w:tcPr>
          <w:p>
            <w:r>
              <w:t>Steam inlet temperature</w:t>
            </w:r>
          </w:p>
        </w:tc>
        <w:tc>
          <w:tcPr>
            <w:tcW w:type="dxa" w:w="1728"/>
          </w:tcPr>
          <w:p>
            <w:r>
              <w:t>T_in</w:t>
            </w:r>
          </w:p>
        </w:tc>
        <w:tc>
          <w:tcPr>
            <w:tcW w:type="dxa" w:w="1728"/>
          </w:tcPr>
          <w:p>
            <w:r>
              <w:t>°C</w:t>
            </w:r>
          </w:p>
        </w:tc>
        <w:tc>
          <w:tcPr>
            <w:tcW w:type="dxa" w:w="1728"/>
          </w:tcPr>
          <w:p>
            <w:r>
              <w:t>1–5 s</w:t>
            </w:r>
          </w:p>
        </w:tc>
        <w:tc>
          <w:tcPr>
            <w:tcW w:type="dxa" w:w="1728"/>
          </w:tcPr>
          <w:p>
            <w:r>
              <w:t>Feedforward and inlet enthalpy.</w:t>
            </w:r>
          </w:p>
        </w:tc>
      </w:tr>
      <w:tr>
        <w:tc>
          <w:tcPr>
            <w:tcW w:type="dxa" w:w="1728"/>
          </w:tcPr>
          <w:p>
            <w:r>
              <w:t>Steam outlet temperature</w:t>
            </w:r>
          </w:p>
        </w:tc>
        <w:tc>
          <w:tcPr>
            <w:tcW w:type="dxa" w:w="1728"/>
          </w:tcPr>
          <w:p>
            <w:r>
              <w:t>T_out</w:t>
            </w:r>
          </w:p>
        </w:tc>
        <w:tc>
          <w:tcPr>
            <w:tcW w:type="dxa" w:w="1728"/>
          </w:tcPr>
          <w:p>
            <w:r>
              <w:t>°C</w:t>
            </w:r>
          </w:p>
        </w:tc>
        <w:tc>
          <w:tcPr>
            <w:tcW w:type="dxa" w:w="1728"/>
          </w:tcPr>
          <w:p>
            <w:r>
              <w:t>1–5 s</w:t>
            </w:r>
          </w:p>
        </w:tc>
        <w:tc>
          <w:tcPr>
            <w:tcW w:type="dxa" w:w="1728"/>
          </w:tcPr>
          <w:p>
            <w:r>
              <w:t>Controlled variable (CV) for outer loop.</w:t>
            </w:r>
          </w:p>
        </w:tc>
      </w:tr>
      <w:tr>
        <w:tc>
          <w:tcPr>
            <w:tcW w:type="dxa" w:w="1728"/>
          </w:tcPr>
          <w:p>
            <w:r>
              <w:t>Steam inlet pressure</w:t>
            </w:r>
          </w:p>
        </w:tc>
        <w:tc>
          <w:tcPr>
            <w:tcW w:type="dxa" w:w="1728"/>
          </w:tcPr>
          <w:p>
            <w:r>
              <w:t>P_in</w:t>
            </w:r>
          </w:p>
        </w:tc>
        <w:tc>
          <w:tcPr>
            <w:tcW w:type="dxa" w:w="1728"/>
          </w:tcPr>
          <w:p>
            <w:r>
              <w:t>bar(a) or MPa</w:t>
            </w:r>
          </w:p>
        </w:tc>
        <w:tc>
          <w:tcPr>
            <w:tcW w:type="dxa" w:w="1728"/>
          </w:tcPr>
          <w:p>
            <w:r>
              <w:t>1–5 s</w:t>
            </w:r>
          </w:p>
        </w:tc>
        <w:tc>
          <w:tcPr>
            <w:tcW w:type="dxa" w:w="1728"/>
          </w:tcPr>
          <w:p>
            <w:r>
              <w:t>Thermo properties; can use section pressure if single.</w:t>
            </w:r>
          </w:p>
        </w:tc>
      </w:tr>
      <w:tr>
        <w:tc>
          <w:tcPr>
            <w:tcW w:type="dxa" w:w="1728"/>
          </w:tcPr>
          <w:p>
            <w:r>
              <w:t>Steam outlet pressure</w:t>
            </w:r>
          </w:p>
        </w:tc>
        <w:tc>
          <w:tcPr>
            <w:tcW w:type="dxa" w:w="1728"/>
          </w:tcPr>
          <w:p>
            <w:r>
              <w:t>P_out</w:t>
            </w:r>
          </w:p>
        </w:tc>
        <w:tc>
          <w:tcPr>
            <w:tcW w:type="dxa" w:w="1728"/>
          </w:tcPr>
          <w:p>
            <w:r>
              <w:t>bar(a) or MPa</w:t>
            </w:r>
          </w:p>
        </w:tc>
        <w:tc>
          <w:tcPr>
            <w:tcW w:type="dxa" w:w="1728"/>
          </w:tcPr>
          <w:p>
            <w:r>
              <w:t>1–5 s</w:t>
            </w:r>
          </w:p>
        </w:tc>
        <w:tc>
          <w:tcPr>
            <w:tcW w:type="dxa" w:w="1728"/>
          </w:tcPr>
          <w:p>
            <w:r>
              <w:t>Thermo properties; saturation/superheat margin.</w:t>
            </w:r>
          </w:p>
        </w:tc>
      </w:tr>
      <w:tr>
        <w:tc>
          <w:tcPr>
            <w:tcW w:type="dxa" w:w="1728"/>
          </w:tcPr>
          <w:p>
            <w:r>
              <w:t>Steam mass flow</w:t>
            </w:r>
          </w:p>
        </w:tc>
        <w:tc>
          <w:tcPr>
            <w:tcW w:type="dxa" w:w="1728"/>
          </w:tcPr>
          <w:p>
            <w:r>
              <w:t>m_s</w:t>
            </w:r>
          </w:p>
        </w:tc>
        <w:tc>
          <w:tcPr>
            <w:tcW w:type="dxa" w:w="1728"/>
          </w:tcPr>
          <w:p>
            <w:r>
              <w:t>kg/s</w:t>
            </w:r>
          </w:p>
        </w:tc>
        <w:tc>
          <w:tcPr>
            <w:tcW w:type="dxa" w:w="1728"/>
          </w:tcPr>
          <w:p>
            <w:r>
              <w:t>1–5 s</w:t>
            </w:r>
          </w:p>
        </w:tc>
        <w:tc>
          <w:tcPr>
            <w:tcW w:type="dxa" w:w="1728"/>
          </w:tcPr>
          <w:p>
            <w:r>
              <w:t>Enthalpy balance and feedforward.</w:t>
            </w:r>
          </w:p>
        </w:tc>
      </w:tr>
      <w:tr>
        <w:tc>
          <w:tcPr>
            <w:tcW w:type="dxa" w:w="1728"/>
          </w:tcPr>
          <w:p>
            <w:r>
              <w:t>Spray water mass flow</w:t>
            </w:r>
          </w:p>
        </w:tc>
        <w:tc>
          <w:tcPr>
            <w:tcW w:type="dxa" w:w="1728"/>
          </w:tcPr>
          <w:p>
            <w:r>
              <w:t>m_w</w:t>
            </w:r>
          </w:p>
        </w:tc>
        <w:tc>
          <w:tcPr>
            <w:tcW w:type="dxa" w:w="1728"/>
          </w:tcPr>
          <w:p>
            <w:r>
              <w:t>kg/s</w:t>
            </w:r>
          </w:p>
        </w:tc>
        <w:tc>
          <w:tcPr>
            <w:tcW w:type="dxa" w:w="1728"/>
          </w:tcPr>
          <w:p>
            <w:r>
              <w:t>1–5 s</w:t>
            </w:r>
          </w:p>
        </w:tc>
        <w:tc>
          <w:tcPr>
            <w:tcW w:type="dxa" w:w="1728"/>
          </w:tcPr>
          <w:p>
            <w:r>
              <w:t>Inner loop PV; mixing balance.</w:t>
            </w:r>
          </w:p>
        </w:tc>
      </w:tr>
      <w:tr>
        <w:tc>
          <w:tcPr>
            <w:tcW w:type="dxa" w:w="1728"/>
          </w:tcPr>
          <w:p>
            <w:r>
              <w:t>Spray valve position</w:t>
            </w:r>
          </w:p>
        </w:tc>
        <w:tc>
          <w:tcPr>
            <w:tcW w:type="dxa" w:w="1728"/>
          </w:tcPr>
          <w:p>
            <w:r>
              <w:t>u_valve</w:t>
            </w:r>
          </w:p>
        </w:tc>
        <w:tc>
          <w:tcPr>
            <w:tcW w:type="dxa" w:w="1728"/>
          </w:tcPr>
          <w:p>
            <w:r>
              <w:t>% open</w:t>
            </w:r>
          </w:p>
        </w:tc>
        <w:tc>
          <w:tcPr>
            <w:tcW w:type="dxa" w:w="1728"/>
          </w:tcPr>
          <w:p>
            <w:r>
              <w:t>0.5–1 s</w:t>
            </w:r>
          </w:p>
        </w:tc>
        <w:tc>
          <w:tcPr>
            <w:tcW w:type="dxa" w:w="1728"/>
          </w:tcPr>
          <w:p>
            <w:r>
              <w:t>Inner loop MV feedback; valve diagnostics.</w:t>
            </w:r>
          </w:p>
        </w:tc>
      </w:tr>
      <w:tr>
        <w:tc>
          <w:tcPr>
            <w:tcW w:type="dxa" w:w="1728"/>
          </w:tcPr>
          <w:p>
            <w:r>
              <w:t>Tube metal temperatures (multiple points)</w:t>
            </w:r>
          </w:p>
        </w:tc>
        <w:tc>
          <w:tcPr>
            <w:tcW w:type="dxa" w:w="1728"/>
          </w:tcPr>
          <w:p>
            <w:r>
              <w:t>TMT_i</w:t>
            </w:r>
          </w:p>
        </w:tc>
        <w:tc>
          <w:tcPr>
            <w:tcW w:type="dxa" w:w="1728"/>
          </w:tcPr>
          <w:p>
            <w:r>
              <w:t>°C</w:t>
            </w:r>
          </w:p>
        </w:tc>
        <w:tc>
          <w:tcPr>
            <w:tcW w:type="dxa" w:w="1728"/>
          </w:tcPr>
          <w:p>
            <w:r>
              <w:t>1–10 s</w:t>
            </w:r>
          </w:p>
        </w:tc>
        <w:tc>
          <w:tcPr>
            <w:tcW w:type="dxa" w:w="1728"/>
          </w:tcPr>
          <w:p>
            <w:r>
              <w:t>Creep + thermal shock protection.</w:t>
            </w:r>
          </w:p>
        </w:tc>
      </w:tr>
      <w:tr>
        <w:tc>
          <w:tcPr>
            <w:tcW w:type="dxa" w:w="1728"/>
          </w:tcPr>
          <w:p>
            <w:r>
              <w:t>Spray water temperature</w:t>
            </w:r>
          </w:p>
        </w:tc>
        <w:tc>
          <w:tcPr>
            <w:tcW w:type="dxa" w:w="1728"/>
          </w:tcPr>
          <w:p>
            <w:r>
              <w:t>T_w</w:t>
            </w:r>
          </w:p>
        </w:tc>
        <w:tc>
          <w:tcPr>
            <w:tcW w:type="dxa" w:w="1728"/>
          </w:tcPr>
          <w:p>
            <w:r>
              <w:t>°C</w:t>
            </w:r>
          </w:p>
        </w:tc>
        <w:tc>
          <w:tcPr>
            <w:tcW w:type="dxa" w:w="1728"/>
          </w:tcPr>
          <w:p>
            <w:r>
              <w:t>1–30 s</w:t>
            </w:r>
          </w:p>
        </w:tc>
        <w:tc>
          <w:tcPr>
            <w:tcW w:type="dxa" w:w="1728"/>
          </w:tcPr>
          <w:p>
            <w:r>
              <w:t>Water enthalpy in mixing balance.</w:t>
            </w:r>
          </w:p>
        </w:tc>
      </w:tr>
      <w:tr>
        <w:tc>
          <w:tcPr>
            <w:tcW w:type="dxa" w:w="1728"/>
          </w:tcPr>
          <w:p>
            <w:r>
              <w:t>Spray water quality indicators</w:t>
            </w:r>
          </w:p>
        </w:tc>
        <w:tc>
          <w:tcPr>
            <w:tcW w:type="dxa" w:w="1728"/>
          </w:tcPr>
          <w:p>
            <w:r>
              <w:t>Chem_*</w:t>
            </w:r>
          </w:p>
        </w:tc>
        <w:tc>
          <w:tcPr>
            <w:tcW w:type="dxa" w:w="1728"/>
          </w:tcPr>
          <w:p>
            <w:r>
              <w:t>various</w:t>
            </w:r>
          </w:p>
        </w:tc>
        <w:tc>
          <w:tcPr>
            <w:tcW w:type="dxa" w:w="1728"/>
          </w:tcPr>
          <w:p>
            <w:r>
              <w:t>minutes–hours</w:t>
            </w:r>
          </w:p>
        </w:tc>
        <w:tc>
          <w:tcPr>
            <w:tcW w:type="dxa" w:w="1728"/>
          </w:tcPr>
          <w:p>
            <w:r>
              <w:t>Deposit/corrosion risk constraints.</w:t>
            </w:r>
          </w:p>
        </w:tc>
      </w:tr>
      <w:tr>
        <w:tc>
          <w:tcPr>
            <w:tcW w:type="dxa" w:w="1728"/>
          </w:tcPr>
          <w:p>
            <w:r>
              <w:t>Steam temperature setpoint</w:t>
            </w:r>
          </w:p>
        </w:tc>
        <w:tc>
          <w:tcPr>
            <w:tcW w:type="dxa" w:w="1728"/>
          </w:tcPr>
          <w:p>
            <w:r>
              <w:t>SP_T_out</w:t>
            </w:r>
          </w:p>
        </w:tc>
        <w:tc>
          <w:tcPr>
            <w:tcW w:type="dxa" w:w="1728"/>
          </w:tcPr>
          <w:p>
            <w:r>
              <w:t>°C</w:t>
            </w:r>
          </w:p>
        </w:tc>
        <w:tc>
          <w:tcPr>
            <w:tcW w:type="dxa" w:w="1728"/>
          </w:tcPr>
          <w:p>
            <w:r>
              <w:t>1–5 s</w:t>
            </w:r>
          </w:p>
        </w:tc>
        <w:tc>
          <w:tcPr>
            <w:tcW w:type="dxa" w:w="1728"/>
          </w:tcPr>
          <w:p>
            <w:r>
              <w:t>Operator/optimizer setpoint.</w:t>
            </w:r>
          </w:p>
        </w:tc>
      </w:tr>
      <w:tr>
        <w:tc>
          <w:tcPr>
            <w:tcW w:type="dxa" w:w="1728"/>
          </w:tcPr>
          <w:p>
            <w:r>
              <w:t>Safety interlock status</w:t>
            </w:r>
          </w:p>
        </w:tc>
        <w:tc>
          <w:tcPr>
            <w:tcW w:type="dxa" w:w="1728"/>
          </w:tcPr>
          <w:p>
            <w:r>
              <w:t>SIS_state</w:t>
            </w:r>
          </w:p>
        </w:tc>
        <w:tc>
          <w:tcPr>
            <w:tcW w:type="dxa" w:w="1728"/>
          </w:tcPr>
          <w:p>
            <w:r>
              <w:t>boolean/enum</w:t>
            </w:r>
          </w:p>
        </w:tc>
        <w:tc>
          <w:tcPr>
            <w:tcW w:type="dxa" w:w="1728"/>
          </w:tcPr>
          <w:p>
            <w:r>
              <w:t>1 s</w:t>
            </w:r>
          </w:p>
        </w:tc>
        <w:tc>
          <w:tcPr>
            <w:tcW w:type="dxa" w:w="1728"/>
          </w:tcPr>
          <w:p>
            <w:r>
              <w:t>Write gating; safe-mode triggers.</w:t>
            </w:r>
          </w:p>
        </w:tc>
      </w:tr>
      <w:tr>
        <w:tc>
          <w:tcPr>
            <w:tcW w:type="dxa" w:w="1728"/>
          </w:tcPr>
          <w:p>
            <w:r>
              <w:t>Mode and permissives</w:t>
            </w:r>
          </w:p>
        </w:tc>
        <w:tc>
          <w:tcPr>
            <w:tcW w:type="dxa" w:w="1728"/>
          </w:tcPr>
          <w:p>
            <w:r>
              <w:t>Mode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1 s</w:t>
            </w:r>
          </w:p>
        </w:tc>
        <w:tc>
          <w:tcPr>
            <w:tcW w:type="dxa" w:w="1728"/>
          </w:tcPr>
          <w:p>
            <w:r>
              <w:t>Auto/manual/cascade enable; operator intent.</w:t>
            </w:r>
          </w:p>
        </w:tc>
      </w:tr>
      <w:tr>
        <w:tc>
          <w:tcPr>
            <w:tcW w:type="dxa" w:w="1728"/>
          </w:tcPr>
          <w:p>
            <w:r>
              <w:t>Valve feedback/limits (optional)</w:t>
            </w:r>
          </w:p>
        </w:tc>
        <w:tc>
          <w:tcPr>
            <w:tcW w:type="dxa" w:w="1728"/>
          </w:tcPr>
          <w:p>
            <w:r>
              <w:t>Valve_*</w:t>
            </w:r>
          </w:p>
        </w:tc>
        <w:tc>
          <w:tcPr>
            <w:tcW w:type="dxa" w:w="1728"/>
          </w:tcPr>
          <w:p>
            <w:r>
              <w:t>various</w:t>
            </w:r>
          </w:p>
        </w:tc>
        <w:tc>
          <w:tcPr>
            <w:tcW w:type="dxa" w:w="1728"/>
          </w:tcPr>
          <w:p>
            <w:r>
              <w:t>1–5 s</w:t>
            </w:r>
          </w:p>
        </w:tc>
        <w:tc>
          <w:tcPr>
            <w:tcW w:type="dxa" w:w="1728"/>
          </w:tcPr>
          <w:p>
            <w:r>
              <w:t>Stroke time, travel limits, diagnostics.</w:t>
            </w:r>
          </w:p>
        </w:tc>
      </w:tr>
    </w:tbl>
    <w:p>
      <w:pPr>
        <w:pStyle w:val="Heading2"/>
      </w:pPr>
      <w:r>
        <w:t>5.2 Required static / engineering reference data (per unit)</w:t>
      </w:r>
    </w:p>
    <w:p>
      <w:pPr>
        <w:pStyle w:val="ListBullet"/>
      </w:pPr>
      <w:r>
        <w:t>P&amp;IDs and equipment data sheets for superheater(s), attemperator(s), valves, and instruments.</w:t>
      </w:r>
    </w:p>
    <w:p>
      <w:pPr>
        <w:pStyle w:val="ListBullet"/>
      </w:pPr>
      <w:r>
        <w:t>Valve characterization curves (Cv vs. position), actuator limits, fail-safe position, stroking time, hysteresis/stiction observations.</w:t>
      </w:r>
    </w:p>
    <w:p>
      <w:pPr>
        <w:pStyle w:val="ListBullet"/>
      </w:pPr>
      <w:r>
        <w:t>Tube geometry (OD/ID/thickness), material grade, design/allowable stress data, and original design conditions.</w:t>
      </w:r>
    </w:p>
    <w:p>
      <w:pPr>
        <w:pStyle w:val="ListBullet"/>
      </w:pPr>
      <w:r>
        <w:t>Material creep-rupture data or allowable stress tables consistent with the selected creep methodology (API 530-aligned or site-approved equivalent).</w:t>
      </w:r>
    </w:p>
    <w:p>
      <w:pPr>
        <w:pStyle w:val="ListBullet"/>
      </w:pPr>
      <w:r>
        <w:t>TMT sensor locations (axial/circumferential position), attachment details, and calibration certificates.</w:t>
      </w:r>
    </w:p>
    <w:p>
      <w:pPr>
        <w:pStyle w:val="ListBullet"/>
      </w:pPr>
      <w:r>
        <w:t>DCS/SIS logic narratives relevant to superheater temperature and attemperator permissives/interlocks.</w:t>
      </w:r>
    </w:p>
    <w:p>
      <w:pPr>
        <w:pStyle w:val="ListBullet"/>
      </w:pPr>
      <w:r>
        <w:t>Historian tag list with engineering units and scaling; time synchronization configuration (NTP/PTP).</w:t>
      </w:r>
    </w:p>
    <w:p>
      <w:pPr>
        <w:pStyle w:val="Heading2"/>
      </w:pPr>
      <w:r>
        <w:t>5.3 Data quality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Units and scaling</w:t>
            </w:r>
          </w:p>
        </w:tc>
        <w:tc>
          <w:tcPr>
            <w:tcW w:type="dxa" w:w="4320"/>
          </w:tcPr>
          <w:p>
            <w:r>
              <w:t>All tags unit-normalized at ingestion (e.g., MPa, °C, kg/s).</w:t>
            </w:r>
          </w:p>
        </w:tc>
      </w:tr>
      <w:tr>
        <w:tc>
          <w:tcPr>
            <w:tcW w:type="dxa" w:w="4320"/>
          </w:tcPr>
          <w:p>
            <w:r>
              <w:t>Time alignment</w:t>
            </w:r>
          </w:p>
        </w:tc>
        <w:tc>
          <w:tcPr>
            <w:tcW w:type="dxa" w:w="4320"/>
          </w:tcPr>
          <w:p>
            <w:r>
              <w:t>Common time reference (UTC recommended). Align to control cycle with bounded skew (target ≤1 s).</w:t>
            </w:r>
          </w:p>
        </w:tc>
      </w:tr>
      <w:tr>
        <w:tc>
          <w:tcPr>
            <w:tcW w:type="dxa" w:w="4320"/>
          </w:tcPr>
          <w:p>
            <w:r>
              <w:t>Quality flags</w:t>
            </w:r>
          </w:p>
        </w:tc>
        <w:tc>
          <w:tcPr>
            <w:tcW w:type="dxa" w:w="4320"/>
          </w:tcPr>
          <w:p>
            <w:r>
              <w:t>Each measurement includes quality metadata (GOOD/BAD/UNCERTAIN, sensor status, comms status).</w:t>
            </w:r>
          </w:p>
        </w:tc>
      </w:tr>
      <w:tr>
        <w:tc>
          <w:tcPr>
            <w:tcW w:type="dxa" w:w="4320"/>
          </w:tcPr>
          <w:p>
            <w:r>
              <w:t>Missing data handling</w:t>
            </w:r>
          </w:p>
        </w:tc>
        <w:tc>
          <w:tcPr>
            <w:tcW w:type="dxa" w:w="4320"/>
          </w:tcPr>
          <w:p>
            <w:r>
              <w:t>Per-signal fallback policy: hold-last-value duration, substitution source, or safe-mode transition.</w:t>
            </w:r>
          </w:p>
        </w:tc>
      </w:tr>
      <w:tr>
        <w:tc>
          <w:tcPr>
            <w:tcW w:type="dxa" w:w="4320"/>
          </w:tcPr>
          <w:p>
            <w:r>
              <w:t>Outlier handling</w:t>
            </w:r>
          </w:p>
        </w:tc>
        <w:tc>
          <w:tcPr>
            <w:tcW w:type="dxa" w:w="4320"/>
          </w:tcPr>
          <w:p>
            <w:r>
              <w:t>Deterministic spike filters with explicit reporting; never silently smooth without reporting.</w:t>
            </w:r>
          </w:p>
        </w:tc>
      </w:tr>
      <w:tr>
        <w:tc>
          <w:tcPr>
            <w:tcW w:type="dxa" w:w="4320"/>
          </w:tcPr>
          <w:p>
            <w:r>
              <w:t>Validation ranges</w:t>
            </w:r>
          </w:p>
        </w:tc>
        <w:tc>
          <w:tcPr>
            <w:tcW w:type="dxa" w:w="4320"/>
          </w:tcPr>
          <w:p>
            <w:r>
              <w:t>Engineering min/max and rate-of-change limits; violations flagged and propagated to uncertainty.</w:t>
            </w:r>
          </w:p>
        </w:tc>
      </w:tr>
    </w:tbl>
    <w:p>
      <w:pPr>
        <w:pStyle w:val="Heading2"/>
      </w:pPr>
      <w:r>
        <w:t>5.4 Data pipeline and schemas (OPC-UA → Kafka → services)</w:t>
      </w:r>
    </w:p>
    <w:p>
      <w:r>
        <w:t>Recommended pattern: OPC-UA gateway publishes real-time tag updates to Kafka topics with strict schemas (Avro/Protobuf). GL-022 consumes from Kafka for control-grade latency; GraphQL exposes read APIs for UIs and external services. SCADA/DCS writes are mediated via an approved interface layer with safety gating.</w:t>
      </w:r>
    </w:p>
    <w:p>
      <w:r>
        <w:rPr>
          <w:b/>
        </w:rPr>
        <w:t>Canonical event schema (example)</w:t>
      </w:r>
    </w:p>
    <w:p>
      <w:pPr>
        <w:pStyle w:val="IntenseQuote"/>
      </w:pPr>
      <w:r>
        <w:t>{</w:t>
        <w:br/>
        <w:t xml:space="preserve">  "ts_utc": "2026-07-15T13:05:12.345Z",</w:t>
        <w:br/>
        <w:t xml:space="preserve">  "asset_id": "UNIT-3-SH1",</w:t>
        <w:br/>
        <w:t xml:space="preserve">  "tag": "T_OUT",</w:t>
        <w:br/>
        <w:t xml:space="preserve">  "value": 538.2,</w:t>
        <w:br/>
        <w:t xml:space="preserve">  "unit": "degC",</w:t>
        <w:br/>
        <w:t xml:space="preserve">  "quality": "GOOD",</w:t>
        <w:br/>
        <w:t xml:space="preserve">  "source": "OPCUA_GATEWAY_1",</w:t>
        <w:br/>
        <w:t xml:space="preserve">  "sequence": 981273641,</w:t>
        <w:br/>
        <w:t xml:space="preserve">  "meta": { "range_min": 0.0, "range_max": 650.0 }</w:t>
        <w:br/>
        <w:t>}</w:t>
      </w:r>
    </w:p>
    <w:p>
      <w:pPr>
        <w:pStyle w:val="Heading2"/>
      </w:pPr>
      <w:r>
        <w:t>5.5 Data retention and governance</w:t>
      </w:r>
    </w:p>
    <w:p>
      <w:pPr>
        <w:pStyle w:val="ListBullet"/>
      </w:pPr>
      <w:r>
        <w:t>Real-time store: retain high-resolution (1–5 s) for at least 30–90 days for tuning and incident analysis.</w:t>
      </w:r>
    </w:p>
    <w:p>
      <w:pPr>
        <w:pStyle w:val="ListBullet"/>
      </w:pPr>
      <w:r>
        <w:t>Historian: retain aggregated (1 min, 15 min) long-term for performance and climate reporting.</w:t>
      </w:r>
    </w:p>
    <w:p>
      <w:pPr>
        <w:pStyle w:val="ListBullet"/>
      </w:pPr>
      <w:r>
        <w:t>Model/config store: versioned configuration for every unit (valve curves, limits, material properties).</w:t>
      </w:r>
    </w:p>
    <w:p>
      <w:pPr>
        <w:pStyle w:val="ListBullet"/>
      </w:pPr>
      <w:r>
        <w:t>Access control: least-privilege; separate read vs write privileges; all write actions audited.</w:t>
      </w:r>
    </w:p>
    <w:p>
      <w:pPr>
        <w:pStyle w:val="ListBullet"/>
      </w:pPr>
      <w:r>
        <w:t>Data lineage: each GL-022 output record includes input tag versions, config versions, and software/model versions.</w:t>
      </w:r>
    </w:p>
    <w:p>
      <w:pPr>
        <w:pStyle w:val="Heading1"/>
      </w:pPr>
      <w:r>
        <w:t>6. Deterministic thermodynamics engine (IAPWS-IF97)</w:t>
      </w:r>
    </w:p>
    <w:p>
      <w:r>
        <w:t>All thermodynamic calculations for steam and water must use IAPWS-IF97 formulations. GL-022 uses these properties to perform enthalpy balance, compute mixing outcomes, and determine superheat margin relative to saturation.</w:t>
      </w:r>
    </w:p>
    <w:p>
      <w:pPr>
        <w:pStyle w:val="Heading2"/>
      </w:pPr>
      <w:r>
        <w:t>6.1 Property functions required</w:t>
      </w:r>
    </w:p>
    <w:p>
      <w:pPr>
        <w:pStyle w:val="ListBullet"/>
      </w:pPr>
      <w:r>
        <w:t>h(p,T): specific enthalpy at pressure p and temperature T</w:t>
      </w:r>
    </w:p>
    <w:p>
      <w:pPr>
        <w:pStyle w:val="ListBullet"/>
      </w:pPr>
      <w:r>
        <w:t>T(p,h): temperature from pressure and enthalpy (needed when solving mixing equations)</w:t>
      </w:r>
    </w:p>
    <w:p>
      <w:pPr>
        <w:pStyle w:val="ListBullet"/>
      </w:pPr>
      <w:r>
        <w:t>T_sat(p): saturation temperature at pressure p (for superheat margin)</w:t>
      </w:r>
    </w:p>
    <w:p>
      <w:pPr>
        <w:pStyle w:val="ListBullet"/>
      </w:pPr>
      <w:r>
        <w:t>x(p,h) or x(p,T): vapor quality near saturation (alarm if wet steam at measurement point)</w:t>
      </w:r>
    </w:p>
    <w:p>
      <w:pPr>
        <w:pStyle w:val="ListBullet"/>
      </w:pPr>
      <w:r>
        <w:t>Optional diagnostics: s(p,T), ρ(p,T), cp(p,T) if needed for heat-transfer inference</w:t>
      </w:r>
    </w:p>
    <w:p>
      <w:pPr>
        <w:pStyle w:val="Heading2"/>
      </w:pPr>
      <w:r>
        <w:t>6.2 Superheat margin requirement</w:t>
      </w:r>
    </w:p>
    <w:p>
      <w:r>
        <w:t>Define and enforce a minimum superheat margin to avoid wet steam downstream of attemperation:</w:t>
      </w:r>
    </w:p>
    <w:p>
      <w:pPr>
        <w:pStyle w:val="IntenseQuote"/>
      </w:pPr>
      <w:r>
        <w:t>Superheat margin:</w:t>
        <w:br/>
        <w:t xml:space="preserve">  ΔT_superheat = T_out - T_sat(P_out)</w:t>
        <w:br/>
        <w:br/>
        <w:t>Constraint:</w:t>
        <w:br/>
        <w:t xml:space="preserve">  ΔT_superheat ≥ ΔT_min (site-defined, e.g., 10–25°C depending on turbine/plant requirements)</w:t>
        <w:br/>
        <w:br/>
        <w:t>If ΔT_superheat approaches ΔT_min:</w:t>
        <w:br/>
        <w:t xml:space="preserve">  • clamp spray demand</w:t>
        <w:br/>
        <w:t xml:space="preserve">  • raise warning/alarm</w:t>
        <w:br/>
        <w:t xml:space="preserve">  • adjust setpoint strategy per operations</w:t>
        <w:br/>
      </w:r>
    </w:p>
    <w:p>
      <w:pPr>
        <w:pStyle w:val="Heading2"/>
      </w:pPr>
      <w:r>
        <w:t>6.3 Determinism and verification</w:t>
      </w:r>
    </w:p>
    <w:p>
      <w:pPr>
        <w:pStyle w:val="ListBullet"/>
      </w:pPr>
      <w:r>
        <w:t>Determinism: identical inputs + config → identical outputs (within defined floating-point tolerance/rounding policy).</w:t>
      </w:r>
    </w:p>
    <w:p>
      <w:pPr>
        <w:pStyle w:val="ListBullet"/>
      </w:pPr>
      <w:r>
        <w:t>Region selection: implement IF97 region logic deterministically (Regions 1–5 + saturation).</w:t>
      </w:r>
    </w:p>
    <w:p>
      <w:pPr>
        <w:pStyle w:val="ListBullet"/>
      </w:pPr>
      <w:r>
        <w:t>Range checks: reject/flag inputs outside IF97 validity ranges; propagate uncertainty/quality flags.</w:t>
      </w:r>
    </w:p>
    <w:p>
      <w:pPr>
        <w:pStyle w:val="ListBullet"/>
      </w:pPr>
      <w:r>
        <w:t>Verification: automated tests against IF97 reference points and regression tests near region boundaries.</w:t>
      </w:r>
    </w:p>
    <w:p>
      <w:pPr>
        <w:pStyle w:val="Heading1"/>
      </w:pPr>
      <w:r>
        <w:t>7. Spray water optimization via enthalpy balance</w:t>
      </w:r>
    </w:p>
    <w:p>
      <w:r>
        <w:t>The optimizer computes the spray water mass-flow setpoint required to achieve a desired superheater outlet temperature at the prevailing pressure and steam flow. The core calculation is an adiabatic mixing enthalpy balance using IAPWS-IF97 properties.</w:t>
      </w:r>
    </w:p>
    <w:p>
      <w:pPr>
        <w:pStyle w:val="Heading2"/>
      </w:pPr>
      <w:r>
        <w:t>7.1 Governing equation (adiabatic mixing)</w:t>
      </w:r>
    </w:p>
    <w:p>
      <w:pPr>
        <w:pStyle w:val="IntenseQuote"/>
      </w:pPr>
      <w:r>
        <w:t>Assumptions (engineering-validated):</w:t>
        <w:br/>
        <w:t>• Single-phase superheated steam at inlet to attemperator mixing zone.</w:t>
        <w:br/>
        <w:t>• Spray water injected and evaporated/mixed with negligible heat loss (adiabatic control volume).</w:t>
        <w:br/>
        <w:t>• Outlet pressure approximately equal to measured section pressure (use P_out or best available).</w:t>
        <w:br/>
        <w:br/>
        <w:t>Mass + energy balance:</w:t>
        <w:br/>
        <w:t xml:space="preserve">  m_s * h_s_in  +  m_w * h_w_in  =  (m_s + m_w) * h_out</w:t>
        <w:br/>
        <w:br/>
        <w:t>Target:</w:t>
        <w:br/>
        <w:t xml:space="preserve">  h_target = h(P_out, T_sp)</w:t>
        <w:br/>
        <w:br/>
        <w:t>Solve for required spray flow:</w:t>
        <w:br/>
        <w:t xml:space="preserve">  m_w,req = m_s * (h_s_in - h_target) / (h_target - h_w_in)</w:t>
        <w:br/>
        <w:br/>
        <w:t>Rules:</w:t>
        <w:br/>
        <w:t>• If m_w,req &lt; 0 → set to 0 (no spray required).</w:t>
        <w:br/>
        <w:t>• If denominator approaches 0 or states invalid → raise diagnostic and inhibit writes.</w:t>
        <w:br/>
      </w:r>
    </w:p>
    <w:p>
      <w:pPr>
        <w:pStyle w:val="Heading2"/>
      </w:pPr>
      <w:r>
        <w:t>7.2 Constraints and objective</w:t>
      </w:r>
    </w:p>
    <w:p>
      <w:pPr>
        <w:pStyle w:val="ListBullet"/>
      </w:pPr>
      <w:r>
        <w:t>Hard constraints: interlocks, valve travel, min/max spray, rate-of-change limits, minimum superheat margin, TMT limits, thermal shock limits.</w:t>
      </w:r>
    </w:p>
    <w:p>
      <w:pPr>
        <w:pStyle w:val="ListBullet"/>
      </w:pPr>
      <w:r>
        <w:t>Primary objective: meet T_out setpoint or safe reduced setpoint under constraints.</w:t>
      </w:r>
    </w:p>
    <w:p>
      <w:pPr>
        <w:pStyle w:val="ListBullet"/>
      </w:pPr>
      <w:r>
        <w:t>Secondary objective: minimize spray flow and actuator movement (reduce energy penalty and mechanical wear).</w:t>
      </w:r>
    </w:p>
    <w:p>
      <w:pPr>
        <w:pStyle w:val="Heading2"/>
      </w:pPr>
      <w:r>
        <w:t>7.3 Outputs</w:t>
      </w:r>
    </w:p>
    <w:p>
      <w:pPr>
        <w:pStyle w:val="ListBullet"/>
      </w:pPr>
      <w:r>
        <w:t>m_w,ff (feedforward spray demand) from enthalpy balance.</w:t>
      </w:r>
    </w:p>
    <w:p>
      <w:pPr>
        <w:pStyle w:val="ListBullet"/>
      </w:pPr>
      <w:r>
        <w:t>Predicted outlet temperature T_out_pred and ΔT_superheat margin.</w:t>
      </w:r>
    </w:p>
    <w:p>
      <w:pPr>
        <w:pStyle w:val="ListBullet"/>
      </w:pPr>
      <w:r>
        <w:t>Constraint status and remaining margins.</w:t>
      </w:r>
    </w:p>
    <w:p>
      <w:pPr>
        <w:pStyle w:val="ListBullet"/>
      </w:pPr>
      <w:r>
        <w:t>Uncertainty band for m_w,ff and T_out_pred based on sensor accuracy.</w:t>
      </w:r>
    </w:p>
    <w:p>
      <w:pPr>
        <w:pStyle w:val="Heading1"/>
      </w:pPr>
      <w:r>
        <w:t>8. Control strategy: cascade + feedforward PID with anti-windup</w:t>
      </w:r>
    </w:p>
    <w:p>
      <w:r>
        <w:t>GL-022 implements feedforward plus cascade PID: a temperature outer loop trims around a physics-based spray demand, and a faster inner loop regulates spray flow/valve behavior.</w:t>
      </w:r>
    </w:p>
    <w:p>
      <w:pPr>
        <w:pStyle w:val="Heading2"/>
      </w:pPr>
      <w:r>
        <w:t>8.1 Block overview</w:t>
      </w:r>
    </w:p>
    <w:p>
      <w:pPr>
        <w:pStyle w:val="IntenseQuote"/>
      </w:pPr>
      <w:r>
        <w:t>T_sp ──►[Outer PID on T_out]──► Δm_w ──┐</w:t>
        <w:br/>
        <w:t xml:space="preserve">                                     │</w:t>
        <w:br/>
        <w:t xml:space="preserve">                         m_w,ff ──────┼──► m_w,sp ──►[Inner PID on m_w or valve]──► u_valve</w:t>
        <w:br/>
        <w:t xml:space="preserve">                                     │</w:t>
        <w:br/>
        <w:t>Constraints / TMT / shock limits ─────┘</w:t>
        <w:br/>
      </w:r>
    </w:p>
    <w:p>
      <w:pPr>
        <w:pStyle w:val="Heading2"/>
      </w:pPr>
      <w:r>
        <w:t>8.2 Anti-windup and bumpless transfer</w:t>
      </w:r>
    </w:p>
    <w:p>
      <w:pPr>
        <w:pStyle w:val="ListBullet"/>
      </w:pPr>
      <w:r>
        <w:t>Anti-windup required: freeze or back-calculate integrator when output is saturated or constrained.</w:t>
      </w:r>
    </w:p>
    <w:p>
      <w:pPr>
        <w:pStyle w:val="ListBullet"/>
      </w:pPr>
      <w:r>
        <w:t>Bumpless transfer required between AUTO/MAN and cascade enable/disable; record mode transitions in audit log.</w:t>
      </w:r>
    </w:p>
    <w:p>
      <w:pPr>
        <w:pStyle w:val="ListBullet"/>
      </w:pPr>
      <w:r>
        <w:t>When inhibited (interlock active or data invalid), outputs must go to safe state and integrators must not wind up.</w:t>
      </w:r>
    </w:p>
    <w:p>
      <w:pPr>
        <w:pStyle w:val="Heading2"/>
      </w:pPr>
      <w:r>
        <w:t>8.3 Deterministic pseudocode (illustrative)</w:t>
      </w:r>
    </w:p>
    <w:p>
      <w:pPr>
        <w:pStyle w:val="IntenseQuote"/>
      </w:pPr>
      <w:r>
        <w:t>At each control cycle:</w:t>
        <w:br/>
        <w:t xml:space="preserve">  1) Validate inputs + quality flags</w:t>
        <w:br/>
        <w:t xml:space="preserve">  2) Compute IF97 properties; compute m_ff (enthalpy balance)</w:t>
        <w:br/>
        <w:t xml:space="preserve">  3) Outer PID computes trim Δm (with anti-windup)</w:t>
        <w:br/>
        <w:t xml:space="preserve">  4) Apply constraints and ramp limits → m_sp</w:t>
        <w:br/>
        <w:t xml:space="preserve">  5) Inner PID drives valve to achieve m_sp (flow control preferred)</w:t>
        <w:br/>
        <w:t xml:space="preserve">  6) Compute diagnostics: superheat margin, shock risk, creep metrics</w:t>
        <w:br/>
        <w:t xml:space="preserve">  7) Emit outputs + explanation + provenance hash</w:t>
        <w:br/>
        <w:t xml:space="preserve">  8) If write-enabled and permitted, send command via Write Gateway</w:t>
        <w:br/>
      </w:r>
    </w:p>
    <w:p>
      <w:pPr>
        <w:pStyle w:val="Heading1"/>
      </w:pPr>
      <w:r>
        <w:t>9. Tube metal temperature monitoring and creep life assessment (API 530-aligned)</w:t>
      </w:r>
    </w:p>
    <w:p>
      <w:r>
        <w:t>GL-022 continuously monitors tube metal temperatures (TMT) and computes creep life consumption estimates. Results are decision-support and must be reviewed by qualified engineering per site governance.</w:t>
      </w:r>
    </w:p>
    <w:p>
      <w:pPr>
        <w:pStyle w:val="Heading2"/>
      </w:pPr>
      <w:r>
        <w:t>9.1 Inputs</w:t>
      </w:r>
    </w:p>
    <w:p>
      <w:pPr>
        <w:pStyle w:val="ListBullet"/>
      </w:pPr>
      <w:r>
        <w:t>Measured TMT_i at defined locations (preferred).</w:t>
      </w:r>
    </w:p>
    <w:p>
      <w:pPr>
        <w:pStyle w:val="ListBullet"/>
      </w:pPr>
      <w:r>
        <w:t>Steam-side pressure at the tube section (for hoop stress estimate).</w:t>
      </w:r>
    </w:p>
    <w:p>
      <w:pPr>
        <w:pStyle w:val="ListBullet"/>
      </w:pPr>
      <w:r>
        <w:t>Tube geometry and material grade; creep-rupture/allowable stress references.</w:t>
      </w:r>
    </w:p>
    <w:p>
      <w:pPr>
        <w:pStyle w:val="ListBullet"/>
      </w:pPr>
      <w:r>
        <w:t>Operating history time series; start/stop cycles for duty-cycle accounting.</w:t>
      </w:r>
    </w:p>
    <w:p>
      <w:pPr>
        <w:pStyle w:val="Heading2"/>
      </w:pPr>
      <w:r>
        <w:t>9.2 Minimum stress + damage model</w:t>
      </w:r>
    </w:p>
    <w:p>
      <w:pPr>
        <w:pStyle w:val="IntenseQuote"/>
      </w:pPr>
      <w:r>
        <w:t>Hoop stress (thin-wall approximation):</w:t>
        <w:br/>
        <w:t xml:space="preserve">  σ_hoop ≈ (P * D_o) / (2 * t)</w:t>
        <w:br/>
        <w:br/>
        <w:t>Creep damage accumulation:</w:t>
        <w:br/>
        <w:t xml:space="preserve">  Damage = Σ (Δt / t_r(T, σ))</w:t>
        <w:br/>
        <w:br/>
        <w:t>Where t_r(T, σ) comes from material-specific creep-rupture data.</w:t>
        <w:br/>
        <w:br/>
        <w:t>Outputs include:</w:t>
        <w:br/>
        <w:t xml:space="preserve">  • Damage_i, Remaining life estimate, Damage rate</w:t>
        <w:br/>
        <w:t xml:space="preserve">  • Hot-spot ranking and evidence packet for inspection planning</w:t>
        <w:br/>
      </w:r>
    </w:p>
    <w:p>
      <w:pPr>
        <w:pStyle w:val="Heading1"/>
      </w:pPr>
      <w:r>
        <w:t>10. Thermal shock protection and constraints</w:t>
      </w:r>
    </w:p>
    <w:p>
      <w:r>
        <w:t>Thermal shock is prevented by enforcing ramp-rate and gradient constraints using TMT and steam temperature measurements.</w:t>
      </w:r>
    </w:p>
    <w:p>
      <w:pPr>
        <w:pStyle w:val="Heading2"/>
      </w:pPr>
      <w:r>
        <w:t>10.1 Indicators and limits</w:t>
      </w:r>
    </w:p>
    <w:p>
      <w:pPr>
        <w:pStyle w:val="ListBullet"/>
      </w:pPr>
      <w:r>
        <w:t>Ramp rate: d(TMT_i)/dt and d(T_out)/dt compared to engineering-defined limits.</w:t>
      </w:r>
    </w:p>
    <w:p>
      <w:pPr>
        <w:pStyle w:val="ListBullet"/>
      </w:pPr>
      <w:r>
        <w:t>Spatial gradient: ΔTMT across monitored locations compared to limits.</w:t>
      </w:r>
    </w:p>
    <w:p>
      <w:pPr>
        <w:pStyle w:val="ListBullet"/>
      </w:pPr>
      <w:r>
        <w:t>Spray command rate: d(m_w_sp)/dt and valve slew rate limited to prevent step changes.</w:t>
      </w:r>
    </w:p>
    <w:p>
      <w:pPr>
        <w:pStyle w:val="Heading2"/>
      </w:pPr>
      <w:r>
        <w:t>10.2 Risk index and protective actions</w:t>
      </w:r>
    </w:p>
    <w:p>
      <w:pPr>
        <w:pStyle w:val="IntenseQuote"/>
      </w:pPr>
      <w:r>
        <w:t>Example risk index:</w:t>
        <w:br/>
        <w:t xml:space="preserve">  R_shock = max_i( |dTMT_i/dt|/Limit_dTMT_dt_i , |ΔTMT_i|/Limit_ΔTMT_i )</w:t>
        <w:br/>
        <w:br/>
        <w:t>Protective actions:</w:t>
        <w:br/>
        <w:t xml:space="preserve">  • rate-limit spray setpoint and valve command</w:t>
        <w:br/>
        <w:t xml:space="preserve">  • clamp spray if superheat margin is threatened</w:t>
        <w:br/>
        <w:t xml:space="preserve">  • alarm and/or revert to safer mode per site policy</w:t>
        <w:br/>
      </w:r>
    </w:p>
    <w:p>
      <w:pPr>
        <w:pStyle w:val="Heading1"/>
      </w:pPr>
      <w:r>
        <w:t>11. Safety, interlocks, and compliance (ASME Section I / B31.1 / API 530)</w:t>
      </w:r>
    </w:p>
    <w:p>
      <w:r>
        <w:t>GL-022 must not compromise boiler/HRSG safety systems. It respects DCS/SIS permissives and interlocks and provides compliance-ready evidence for engineering review.</w:t>
      </w:r>
    </w:p>
    <w:p>
      <w:pPr>
        <w:pStyle w:val="Heading2"/>
      </w:pPr>
      <w:r>
        <w:t>11.1 Safety principles</w:t>
      </w:r>
    </w:p>
    <w:p>
      <w:pPr>
        <w:pStyle w:val="ListBullet"/>
      </w:pPr>
      <w:r>
        <w:t>No defeat of SIS logic; GL-022 never overrides trips or protective actions.</w:t>
      </w:r>
    </w:p>
    <w:p>
      <w:pPr>
        <w:pStyle w:val="ListBullet"/>
      </w:pPr>
      <w:r>
        <w:t>Fail-safe behavior on bad data, comms loss, or compute health issues (site-defined).</w:t>
      </w:r>
    </w:p>
    <w:p>
      <w:pPr>
        <w:pStyle w:val="ListBullet"/>
      </w:pPr>
      <w:r>
        <w:t>Write gating: interlock and mode checks in a dedicated Write Gateway.</w:t>
      </w:r>
    </w:p>
    <w:p>
      <w:pPr>
        <w:pStyle w:val="ListBullet"/>
      </w:pPr>
      <w:r>
        <w:t>All writes and parameter changes audited with provenance hash.</w:t>
      </w:r>
    </w:p>
    <w:p>
      <w:pPr>
        <w:pStyle w:val="Heading2"/>
      </w:pPr>
      <w:r>
        <w:t>11.2 Evidence package</w:t>
      </w:r>
    </w:p>
    <w:p>
      <w:pPr>
        <w:pStyle w:val="ListBullet"/>
      </w:pPr>
      <w:r>
        <w:t>Control narrative + logic diagrams and constraint logic.</w:t>
      </w:r>
    </w:p>
    <w:p>
      <w:pPr>
        <w:pStyle w:val="ListBullet"/>
      </w:pPr>
      <w:r>
        <w:t>IF97 verification report; tuning record; valve characterization evidence.</w:t>
      </w:r>
    </w:p>
    <w:p>
      <w:pPr>
        <w:pStyle w:val="ListBullet"/>
      </w:pPr>
      <w:r>
        <w:t>TMT and creep methodology basis; thresholds and approvals.</w:t>
      </w:r>
    </w:p>
    <w:p>
      <w:pPr>
        <w:pStyle w:val="ListBullet"/>
      </w:pPr>
      <w:r>
        <w:t>MOC record for enabling supervisory control; cybersecurity review artifacts.</w:t>
      </w:r>
    </w:p>
    <w:p>
      <w:pPr>
        <w:pStyle w:val="ListBullet"/>
      </w:pPr>
      <w:r>
        <w:t>FAT/SAT test results and incident response runbook.</w:t>
      </w:r>
    </w:p>
    <w:p>
      <w:pPr>
        <w:pStyle w:val="Heading1"/>
      </w:pPr>
      <w:r>
        <w:t>12. Explainability, uncertainty quantification, and zero-hallucination UX</w:t>
      </w:r>
    </w:p>
    <w:p>
      <w:r>
        <w:t>GL-022 outputs must be explainable and auditable. Natural-language summaries must be strictly grounded in the computed record.</w:t>
      </w:r>
    </w:p>
    <w:p>
      <w:pPr>
        <w:pStyle w:val="Heading2"/>
      </w:pPr>
      <w:r>
        <w:t>12.1 Zero-hallucination requirements</w:t>
      </w:r>
    </w:p>
    <w:p>
      <w:pPr>
        <w:pStyle w:val="ListBullet"/>
      </w:pPr>
      <w:r>
        <w:t>If required inputs are missing/invalid, output 'Unavailable' with explicit reason; do not guess.</w:t>
      </w:r>
    </w:p>
    <w:p>
      <w:pPr>
        <w:pStyle w:val="ListBullet"/>
      </w:pPr>
      <w:r>
        <w:t>Narratives may only reference values present in the record; include timestamp and provenance hash.</w:t>
      </w:r>
    </w:p>
    <w:p>
      <w:pPr>
        <w:pStyle w:val="ListBullet"/>
      </w:pPr>
      <w:r>
        <w:t>Report which constraints were active and the margins to key limits.</w:t>
      </w:r>
    </w:p>
    <w:p>
      <w:pPr>
        <w:pStyle w:val="Heading2"/>
      </w:pPr>
      <w:r>
        <w:t>12.2 Explainability mechanisms</w:t>
      </w:r>
    </w:p>
    <w:p>
      <w:pPr>
        <w:pStyle w:val="ListBullet"/>
      </w:pPr>
      <w:r>
        <w:t>Deterministic: equation breakdown (enthalpy balance, PID P/I/D terms, clamps).</w:t>
      </w:r>
    </w:p>
    <w:p>
      <w:pPr>
        <w:pStyle w:val="ListBullet"/>
      </w:pPr>
      <w:r>
        <w:t>If ML is used: SHAP/LIME explanations stored per prediction; model card and version in provenance.</w:t>
      </w:r>
    </w:p>
    <w:p>
      <w:pPr>
        <w:pStyle w:val="Heading2"/>
      </w:pPr>
      <w:r>
        <w:t>12.3 Uncertainty quantification</w:t>
      </w:r>
    </w:p>
    <w:p>
      <w:pPr>
        <w:pStyle w:val="ListBullet"/>
      </w:pPr>
      <w:r>
        <w:t>Propagate sensor accuracy into uncertainty bands for m_w,ff, T_out_pred, and creep damage rate.</w:t>
      </w:r>
    </w:p>
    <w:p>
      <w:pPr>
        <w:pStyle w:val="ListBullet"/>
      </w:pPr>
      <w:r>
        <w:t>UQ must be deterministic and reproducible; widen bands when data quality degrades.</w:t>
      </w:r>
    </w:p>
    <w:p>
      <w:pPr>
        <w:pStyle w:val="Heading1"/>
      </w:pPr>
      <w:r>
        <w:t>13. Provenance, audit logging, and reproducibility</w:t>
      </w:r>
    </w:p>
    <w:p>
      <w:r>
        <w:t>Every output record must be reproducible offline using captured inputs, configuration versions, and software versions.</w:t>
      </w:r>
    </w:p>
    <w:p>
      <w:pPr>
        <w:pStyle w:val="Heading2"/>
      </w:pPr>
      <w:r>
        <w:t>13.1 Provenance contents</w:t>
      </w:r>
    </w:p>
    <w:p>
      <w:pPr>
        <w:pStyle w:val="ListBullet"/>
      </w:pPr>
      <w:r>
        <w:t>Inputs (values + units + quality flags), configuration snapshot IDs, software/build IDs, IF97 version.</w:t>
      </w:r>
    </w:p>
    <w:p>
      <w:pPr>
        <w:pStyle w:val="ListBullet"/>
      </w:pPr>
      <w:r>
        <w:t>Intermediates (h-values, m_ff, PID terms, clamp results) and final outputs.</w:t>
      </w:r>
    </w:p>
    <w:p>
      <w:pPr>
        <w:pStyle w:val="ListBullet"/>
      </w:pPr>
      <w:r>
        <w:t>If ML used: model version and dataset reference.</w:t>
      </w:r>
    </w:p>
    <w:p>
      <w:pPr>
        <w:pStyle w:val="Heading2"/>
      </w:pPr>
      <w:r>
        <w:t>13.2 Hashing requirement</w:t>
      </w:r>
    </w:p>
    <w:p>
      <w:pPr>
        <w:pStyle w:val="IntenseQuote"/>
      </w:pPr>
      <w:r>
        <w:t>Compute SHA-256 over canonical JSON of:</w:t>
        <w:br/>
        <w:t xml:space="preserve">  { inputs, config_versions, software_versions, outputs, intermediates }</w:t>
        <w:br/>
        <w:br/>
        <w:t>Canonicalization must enforce stable key ordering and numeric formatting.</w:t>
        <w:br/>
      </w:r>
    </w:p>
    <w:p>
      <w:pPr>
        <w:pStyle w:val="Heading1"/>
      </w:pPr>
      <w:r>
        <w:t>14. Integration architecture (DCS/PLC, OPC-UA, Kafka, GraphQL, SCADA, CMMS)</w:t>
      </w:r>
    </w:p>
    <w:p>
      <w:r>
        <w:t>Recommended architecture separates control-grade edge computation from central reporting while using Kafka as event backbone.</w:t>
      </w:r>
    </w:p>
    <w:p>
      <w:pPr>
        <w:pStyle w:val="Heading2"/>
      </w:pPr>
      <w:r>
        <w:t>14.1 Reference architecture (text diagram)</w:t>
      </w:r>
    </w:p>
    <w:p>
      <w:pPr>
        <w:pStyle w:val="IntenseQuote"/>
      </w:pPr>
      <w:r>
        <w:t>[Sensors/Actuators] → [DCS/PLC] → (OPC-UA) → [Gateway] → (Kafka)</w:t>
        <w:br/>
        <w:t xml:space="preserve">                                         ├→ [GL-022 Edge Runtime] → [Write Gateway] → [DCS/PLC]</w:t>
        <w:br/>
        <w:t xml:space="preserve">                                         └→ [Central Services: TSDB/Historian, GraphQL, Dashboards, CMMS packets]</w:t>
        <w:br/>
      </w:r>
    </w:p>
    <w:p>
      <w:pPr>
        <w:pStyle w:val="Heading1"/>
      </w:pPr>
      <w:r>
        <w:t>15. Testing, validation, and acceptance</w:t>
      </w:r>
    </w:p>
    <w:p>
      <w:r>
        <w:t>Testing must demonstrate control performance, deterministic correctness, and safe failure modes.</w:t>
      </w:r>
    </w:p>
    <w:p>
      <w:pPr>
        <w:pStyle w:val="Heading2"/>
      </w:pPr>
      <w:r>
        <w:t>15.1 Test levels</w:t>
      </w:r>
    </w:p>
    <w:p>
      <w:pPr>
        <w:pStyle w:val="ListBullet"/>
      </w:pPr>
      <w:r>
        <w:t>Unit tests: IF97 properties, enthalpy solver, PID/anti-windup, constraints, hashing.</w:t>
      </w:r>
    </w:p>
    <w:p>
      <w:pPr>
        <w:pStyle w:val="ListBullet"/>
      </w:pPr>
      <w:r>
        <w:t>Integration tests: OPC-UA/Kafka ingestion, GraphQL, write gating, CMMS packet generation.</w:t>
      </w:r>
    </w:p>
    <w:p>
      <w:pPr>
        <w:pStyle w:val="ListBullet"/>
      </w:pPr>
      <w:r>
        <w:t>Offline replay and closed-loop simulation/HIL.</w:t>
      </w:r>
    </w:p>
    <w:p>
      <w:pPr>
        <w:pStyle w:val="ListBullet"/>
      </w:pPr>
      <w:r>
        <w:t>SAT: staged enabling (observe-only → advisory → supervised write → active).</w:t>
      </w:r>
    </w:p>
    <w:p>
      <w:pPr>
        <w:pStyle w:val="Heading1"/>
      </w:pPr>
      <w:r>
        <w:t>16. Deployment, operations, and monitoring</w:t>
      </w:r>
    </w:p>
    <w:p>
      <w:pPr>
        <w:pStyle w:val="Heading2"/>
      </w:pPr>
      <w:r>
        <w:t>16.1 Runtime requirements</w:t>
      </w:r>
    </w:p>
    <w:p>
      <w:pPr>
        <w:pStyle w:val="ListBullet"/>
      </w:pPr>
      <w:r>
        <w:t>Edge execution with bounded latency; monitor compute time and data freshness.</w:t>
      </w:r>
    </w:p>
    <w:p>
      <w:pPr>
        <w:pStyle w:val="ListBullet"/>
      </w:pPr>
      <w:r>
        <w:t>Health checks for IF97 solver convergence and write-gateway readiness.</w:t>
      </w:r>
    </w:p>
    <w:p>
      <w:pPr>
        <w:pStyle w:val="ListBullet"/>
      </w:pPr>
      <w:r>
        <w:t>Immutable configs per release; controlled emergency override process.</w:t>
      </w:r>
    </w:p>
    <w:p>
      <w:pPr>
        <w:pStyle w:val="Heading1"/>
      </w:pPr>
      <w:r>
        <w:t>17. Climate intelligence and efficiency reporting</w:t>
      </w:r>
    </w:p>
    <w:p>
      <w:r>
        <w:t>GL-022 impacts efficiency and emissions through spray usage and temperature stability. Use outputs for fuel, CO₂e, and water reporting.</w:t>
      </w:r>
    </w:p>
    <w:p>
      <w:pPr>
        <w:pStyle w:val="Heading2"/>
      </w:pPr>
      <w:r>
        <w:t>17.1 Suggested metrics</w:t>
      </w:r>
    </w:p>
    <w:p>
      <w:pPr>
        <w:pStyle w:val="ListBullet"/>
      </w:pPr>
      <w:r>
        <w:t>Spray water consumption totals and intensity (kg spray per t steam).</w:t>
      </w:r>
    </w:p>
    <w:p>
      <w:pPr>
        <w:pStyle w:val="ListBullet"/>
      </w:pPr>
      <w:r>
        <w:t>Estimated spray duty: Q_spray ≈ m_w * (h_out - h_w_in).</w:t>
      </w:r>
    </w:p>
    <w:p>
      <w:pPr>
        <w:pStyle w:val="ListBullet"/>
      </w:pPr>
      <w:r>
        <w:t>Temperature stability metrics and constraint activation counts.</w:t>
      </w:r>
    </w:p>
    <w:p>
      <w:pPr>
        <w:pStyle w:val="Heading1"/>
      </w:pPr>
      <w:r>
        <w:t>18. Appendices</w:t>
      </w:r>
    </w:p>
    <w:p>
      <w:pPr>
        <w:pStyle w:val="Heading2"/>
      </w:pPr>
      <w:r>
        <w:t>Appendix A — Tag map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>
              <w:rPr>
                <w:b/>
              </w:rPr>
              <w:t>Logical name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</w:rPr>
              <w:t>Tag(s)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</w:rPr>
              <w:t>Source system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</w:rPr>
              <w:t>Quality rules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t>Steam outlet temperature</w:t>
            </w:r>
          </w:p>
        </w:tc>
        <w:tc>
          <w:tcPr>
            <w:tcW w:type="dxa" w:w="1440"/>
          </w:tcPr>
          <w:p>
            <w:r>
              <w:t>UNIT3.SH1.T_OUT</w:t>
            </w:r>
          </w:p>
        </w:tc>
        <w:tc>
          <w:tcPr>
            <w:tcW w:type="dxa" w:w="1440"/>
          </w:tcPr>
          <w:p>
            <w:r>
              <w:t>°C</w:t>
            </w:r>
          </w:p>
        </w:tc>
        <w:tc>
          <w:tcPr>
            <w:tcW w:type="dxa" w:w="1440"/>
          </w:tcPr>
          <w:p>
            <w:r>
              <w:t>DCS Historian</w:t>
            </w:r>
          </w:p>
        </w:tc>
        <w:tc>
          <w:tcPr>
            <w:tcW w:type="dxa" w:w="1440"/>
          </w:tcPr>
          <w:p>
            <w:r>
              <w:t>Range 0–650; ROC&lt;5°C/s</w:t>
            </w:r>
          </w:p>
        </w:tc>
        <w:tc>
          <w:tcPr>
            <w:tcW w:type="dxa" w:w="1440"/>
          </w:tcPr>
          <w:p>
            <w:r>
              <w:t>CV for outer loop</w:t>
            </w:r>
          </w:p>
        </w:tc>
      </w:tr>
      <w:tr>
        <w:tc>
          <w:tcPr>
            <w:tcW w:type="dxa" w:w="1440"/>
          </w:tcPr>
          <w:p>
            <w:r>
              <w:t>Spray flow</w:t>
            </w:r>
          </w:p>
        </w:tc>
        <w:tc>
          <w:tcPr>
            <w:tcW w:type="dxa" w:w="1440"/>
          </w:tcPr>
          <w:p>
            <w:r>
              <w:t>UNIT3.ATT.MW</w:t>
            </w:r>
          </w:p>
        </w:tc>
        <w:tc>
          <w:tcPr>
            <w:tcW w:type="dxa" w:w="1440"/>
          </w:tcPr>
          <w:p>
            <w:r>
              <w:t>kg/s</w:t>
            </w:r>
          </w:p>
        </w:tc>
        <w:tc>
          <w:tcPr>
            <w:tcW w:type="dxa" w:w="1440"/>
          </w:tcPr>
          <w:p>
            <w:r>
              <w:t>Flow transmitter</w:t>
            </w:r>
          </w:p>
        </w:tc>
        <w:tc>
          <w:tcPr>
            <w:tcW w:type="dxa" w:w="1440"/>
          </w:tcPr>
          <w:p>
            <w:r>
              <w:t>Range 0–X; quality=GOOD required for active mode</w:t>
            </w:r>
          </w:p>
        </w:tc>
        <w:tc>
          <w:tcPr>
            <w:tcW w:type="dxa" w:w="1440"/>
          </w:tcPr>
          <w:p>
            <w:r>
              <w:t>Inner loop PV</w:t>
            </w:r>
          </w:p>
        </w:tc>
      </w:tr>
      <w:tr>
        <w:tc>
          <w:tcPr>
            <w:tcW w:type="dxa" w:w="1440"/>
          </w:tcPr>
          <w:p>
            <w:r>
              <w:t>Tube metal temp #1</w:t>
            </w:r>
          </w:p>
        </w:tc>
        <w:tc>
          <w:tcPr>
            <w:tcW w:type="dxa" w:w="1440"/>
          </w:tcPr>
          <w:p>
            <w:r>
              <w:t>UNIT3.SH1.TMT_01</w:t>
            </w:r>
          </w:p>
        </w:tc>
        <w:tc>
          <w:tcPr>
            <w:tcW w:type="dxa" w:w="1440"/>
          </w:tcPr>
          <w:p>
            <w:r>
              <w:t>°C</w:t>
            </w:r>
          </w:p>
        </w:tc>
        <w:tc>
          <w:tcPr>
            <w:tcW w:type="dxa" w:w="1440"/>
          </w:tcPr>
          <w:p>
            <w:r>
              <w:t>TMT system</w:t>
            </w:r>
          </w:p>
        </w:tc>
        <w:tc>
          <w:tcPr>
            <w:tcW w:type="dxa" w:w="1440"/>
          </w:tcPr>
          <w:p>
            <w:r>
              <w:t>Range 0–750; sensor status</w:t>
            </w:r>
          </w:p>
        </w:tc>
        <w:tc>
          <w:tcPr>
            <w:tcW w:type="dxa" w:w="1440"/>
          </w:tcPr>
          <w:p>
            <w:r>
              <w:t>Creep + shock</w:t>
            </w:r>
          </w:p>
        </w:tc>
      </w:tr>
    </w:tbl>
    <w:p>
      <w:pPr>
        <w:pStyle w:val="Heading2"/>
      </w:pPr>
      <w:r>
        <w:t>Appendix B — Example output record (with provenance)</w:t>
      </w:r>
    </w:p>
    <w:p>
      <w:pPr>
        <w:pStyle w:val="IntenseQuote"/>
      </w:pPr>
      <w:r>
        <w:t>{</w:t>
        <w:br/>
        <w:t xml:space="preserve">  "ts_utc": "2026-07-15T13:05:12.345Z",</w:t>
        <w:br/>
        <w:t xml:space="preserve">  "asset_id": "UNIT-3-SH1",</w:t>
        <w:br/>
        <w:t xml:space="preserve">  "outputs": {</w:t>
        <w:br/>
        <w:t xml:space="preserve">    "m_w_ff_kg_s": 2.31,</w:t>
        <w:br/>
        <w:t xml:space="preserve">    "m_w_sp_kg_s": 2.55,</w:t>
        <w:br/>
        <w:t xml:space="preserve">    "u_valve_cmd_pct": 37.4,</w:t>
        <w:br/>
        <w:t xml:space="preserve">    "T_out_pred_degC": 538.0,</w:t>
        <w:br/>
        <w:t xml:space="preserve">    "shock_risk_index": 0.62,</w:t>
        <w:br/>
        <w:t xml:space="preserve">    "tmt_hotspot_degC": 602.3,</w:t>
        <w:br/>
        <w:t xml:space="preserve">    "creep_damage_max": 0.18</w:t>
        <w:br/>
        <w:t xml:space="preserve">  },</w:t>
        <w:br/>
        <w:t xml:space="preserve">  "provenance": {</w:t>
        <w:br/>
        <w:t xml:space="preserve">    "hash_sha256": "&lt;computed&gt;",</w:t>
        <w:br/>
        <w:t xml:space="preserve">    "if97_version": "if97-1.3.0",</w:t>
        <w:br/>
        <w:t xml:space="preserve">    "config_version": "unit3-sh1-2026-06-01",</w:t>
        <w:br/>
        <w:t xml:space="preserve">    "software_build": "gl022-edge-2.8.4"</w:t>
        <w:br/>
        <w:t xml:space="preserve">  }</w:t>
        <w:br/>
        <w:t>}</w:t>
      </w:r>
    </w:p>
    <w:p>
      <w:pPr>
        <w:pStyle w:val="Heading2"/>
      </w:pPr>
      <w:r>
        <w:t>Appendix C — Glossary (selected)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Attemperation / Desuperheating</w:t>
            </w:r>
          </w:p>
        </w:tc>
        <w:tc>
          <w:tcPr>
            <w:tcW w:type="dxa" w:w="4320"/>
          </w:tcPr>
          <w:p>
            <w:r>
              <w:t>Injection of water into steam to reduce superheat temperature.</w:t>
            </w:r>
          </w:p>
        </w:tc>
      </w:tr>
      <w:tr>
        <w:tc>
          <w:tcPr>
            <w:tcW w:type="dxa" w:w="4320"/>
          </w:tcPr>
          <w:p>
            <w:r>
              <w:t>TMT</w:t>
            </w:r>
          </w:p>
        </w:tc>
        <w:tc>
          <w:tcPr>
            <w:tcW w:type="dxa" w:w="4320"/>
          </w:tcPr>
          <w:p>
            <w:r>
              <w:t>Tube Metal Temperature.</w:t>
            </w:r>
          </w:p>
        </w:tc>
      </w:tr>
      <w:tr>
        <w:tc>
          <w:tcPr>
            <w:tcW w:type="dxa" w:w="4320"/>
          </w:tcPr>
          <w:p>
            <w:r>
              <w:t>IF97</w:t>
            </w:r>
          </w:p>
        </w:tc>
        <w:tc>
          <w:tcPr>
            <w:tcW w:type="dxa" w:w="4320"/>
          </w:tcPr>
          <w:p>
            <w:r>
              <w:t>IAPWS Industrial Formulation 1997 for water/steam properties.</w:t>
            </w:r>
          </w:p>
        </w:tc>
      </w:tr>
      <w:tr>
        <w:tc>
          <w:tcPr>
            <w:tcW w:type="dxa" w:w="4320"/>
          </w:tcPr>
          <w:p>
            <w:r>
              <w:t>Cascade control</w:t>
            </w:r>
          </w:p>
        </w:tc>
        <w:tc>
          <w:tcPr>
            <w:tcW w:type="dxa" w:w="4320"/>
          </w:tcPr>
          <w:p>
            <w:r>
              <w:t>Outer loop drives inner loop setpoint.</w:t>
            </w:r>
          </w:p>
        </w:tc>
      </w:tr>
      <w:tr>
        <w:tc>
          <w:tcPr>
            <w:tcW w:type="dxa" w:w="4320"/>
          </w:tcPr>
          <w:p>
            <w:r>
              <w:t>Anti-windup</w:t>
            </w:r>
          </w:p>
        </w:tc>
        <w:tc>
          <w:tcPr>
            <w:tcW w:type="dxa" w:w="4320"/>
          </w:tcPr>
          <w:p>
            <w:r>
              <w:t>Prevents PID integrator from accumulating during saturation.</w:t>
            </w:r>
          </w:p>
        </w:tc>
      </w:tr>
      <w:tr>
        <w:tc>
          <w:tcPr>
            <w:tcW w:type="dxa" w:w="4320"/>
          </w:tcPr>
          <w:p>
            <w:r>
              <w:t>Provenance hash</w:t>
            </w:r>
          </w:p>
        </w:tc>
        <w:tc>
          <w:tcPr>
            <w:tcW w:type="dxa" w:w="4320"/>
          </w:tcPr>
          <w:p>
            <w:r>
              <w:t>Fingerprint linking outputs to inputs/configs/software versions.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