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2"/>
          <w:szCs w:val="32"/>
        </w:rPr>
        <w:t xml:space="preserve">ADDENDUM NO. 2</w:t>
      </w:r>
    </w:p>
    <w:p>
      <w:pPr>
        <w:spacing w:after="240" w:before="60"/>
        <w:jc w:val="center"/>
      </w:pPr>
      <w:r>
        <w:rPr>
          <w:rFonts w:ascii="Times New Roman" w:cs="Times New Roman" w:eastAsia="Times New Roman" w:hAnsi="Times New Roman"/>
          <w:b/>
          <w:bCs/>
          <w:sz w:val="24"/>
          <w:szCs w:val="24"/>
        </w:rPr>
        <w:t xml:space="preserve">TO THE MASTER COLLABORATION AGREEMENT DATED 20 JULY 2019</w:t>
      </w:r>
    </w:p>
    <w:p>
      <w:r>
        <w:t xml:space="preserve"/>
      </w:r>
    </w:p>
    <w:p>
      <w:pPr>
        <w:spacing w:after="120" w:before="120" w:line="300"/>
        <w:jc w:val="both"/>
      </w:pPr>
      <w:r>
        <w:rPr>
          <w:rFonts w:ascii="Times New Roman" w:cs="Times New Roman" w:eastAsia="Times New Roman" w:hAnsi="Times New Roman"/>
          <w:b/>
          <w:bCs/>
          <w:sz w:val="22"/>
          <w:szCs w:val="22"/>
        </w:rPr>
        <w:t xml:space="preserve">THIS ADDENDUM NO. 2 </w:t>
      </w:r>
      <w:r>
        <w:rPr>
          <w:rFonts w:ascii="Times New Roman" w:cs="Times New Roman" w:eastAsia="Times New Roman" w:hAnsi="Times New Roman"/>
          <w:sz w:val="22"/>
          <w:szCs w:val="22"/>
        </w:rPr>
        <w:t xml:space="preserve">to the Master Collaboration Agreement (the </w:t>
      </w:r>
      <w:r>
        <w:rPr>
          <w:rFonts w:ascii="Times New Roman" w:cs="Times New Roman" w:eastAsia="Times New Roman" w:hAnsi="Times New Roman"/>
          <w:b/>
          <w:bCs/>
          <w:sz w:val="22"/>
          <w:szCs w:val="22"/>
        </w:rPr>
        <w:t xml:space="preserve">“Addendum”</w:t>
      </w:r>
      <w:r>
        <w:rPr>
          <w:rFonts w:ascii="Times New Roman" w:cs="Times New Roman" w:eastAsia="Times New Roman" w:hAnsi="Times New Roman"/>
          <w:sz w:val="22"/>
          <w:szCs w:val="22"/>
        </w:rPr>
        <w:t xml:space="preserve">) is made and entered into on this [●] day of [●], 2026 (the </w:t>
      </w: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w:t>
      </w:r>
    </w:p>
    <w:p>
      <w:r>
        <w:t xml:space="preserve"/>
      </w:r>
    </w:p>
    <w:p>
      <w:pPr>
        <w:spacing w:after="120" w:before="120" w:line="300"/>
        <w:jc w:val="both"/>
      </w:pPr>
      <w:r>
        <w:rPr>
          <w:rFonts w:ascii="Times New Roman" w:cs="Times New Roman" w:eastAsia="Times New Roman" w:hAnsi="Times New Roman"/>
          <w:b/>
          <w:bCs/>
          <w:sz w:val="22"/>
          <w:szCs w:val="22"/>
        </w:rPr>
        <w:t xml:space="preserve">BY AND BETWEEN:</w:t>
      </w:r>
    </w:p>
    <w:p>
      <w:pPr>
        <w:spacing w:after="120" w:before="120" w:line="30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CLIMATENZA SOLAR PRIVATE LIMITED</w:t>
      </w:r>
      <w:r>
        <w:rPr>
          <w:rFonts w:ascii="Times New Roman" w:cs="Times New Roman" w:eastAsia="Times New Roman" w:hAnsi="Times New Roman"/>
          <w:sz w:val="22"/>
          <w:szCs w:val="22"/>
        </w:rPr>
        <w:t xml:space="preserve">, a company incorporated under the Companies Act, 2013, having its registered office at 11 Hargobind Enclave, Karkardooma, Delhi – 110092, India, acting through its duly authorised representative Mr. Akshay Makar, Founder and Chief Executive Officer (hereinafter referred to as </w:t>
      </w:r>
      <w:r>
        <w:rPr>
          <w:rFonts w:ascii="Times New Roman" w:cs="Times New Roman" w:eastAsia="Times New Roman" w:hAnsi="Times New Roman"/>
          <w:b/>
          <w:bCs/>
          <w:sz w:val="22"/>
          <w:szCs w:val="22"/>
        </w:rPr>
        <w:t xml:space="preserve">“Climatenza”</w:t>
      </w:r>
      <w:r>
        <w:rPr>
          <w:rFonts w:ascii="Times New Roman" w:cs="Times New Roman" w:eastAsia="Times New Roman" w:hAnsi="Times New Roman"/>
          <w:sz w:val="22"/>
          <w:szCs w:val="22"/>
        </w:rPr>
        <w:t xml:space="preserve">, which expression shall, unless repugnant to the context or meaning thereof, include its successors-in-interest and permitted assigns) of the </w:t>
      </w:r>
      <w:r>
        <w:rPr>
          <w:rFonts w:ascii="Times New Roman" w:cs="Times New Roman" w:eastAsia="Times New Roman" w:hAnsi="Times New Roman"/>
          <w:b/>
          <w:bCs/>
          <w:sz w:val="22"/>
          <w:szCs w:val="22"/>
        </w:rPr>
        <w:t xml:space="preserve">FIRST PART</w:t>
      </w:r>
      <w:r>
        <w:rPr>
          <w:rFonts w:ascii="Times New Roman" w:cs="Times New Roman" w:eastAsia="Times New Roman" w:hAnsi="Times New Roman"/>
          <w:sz w:val="22"/>
          <w:szCs w:val="22"/>
        </w:rPr>
        <w:t xml:space="preserve">;</w:t>
      </w:r>
    </w:p>
    <w:p>
      <w:pPr>
        <w:spacing w:after="120" w:before="120" w:line="300"/>
        <w:jc w:val="center"/>
      </w:pPr>
      <w:r>
        <w:rPr>
          <w:rFonts w:ascii="Times New Roman" w:cs="Times New Roman" w:eastAsia="Times New Roman" w:hAnsi="Times New Roman"/>
          <w:b/>
          <w:bCs/>
          <w:sz w:val="22"/>
          <w:szCs w:val="22"/>
        </w:rPr>
        <w:t xml:space="preserve">AND</w:t>
      </w:r>
    </w:p>
    <w:p>
      <w:pPr>
        <w:spacing w:after="120" w:before="120" w:line="30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ECO-BUSINESS INITIATIVES LIMITED</w:t>
      </w:r>
      <w:r>
        <w:rPr>
          <w:rFonts w:ascii="Times New Roman" w:cs="Times New Roman" w:eastAsia="Times New Roman" w:hAnsi="Times New Roman"/>
          <w:sz w:val="22"/>
          <w:szCs w:val="22"/>
        </w:rPr>
        <w:t xml:space="preserve">, a company duly organised and existing under the laws of the People’s Republic of Bangladesh, having its registered office at Bashar Square (2nd Floor), 108 Agrabad C/A, Chittagong, Bangladesh, acting through its duly authorised representative Mr. Istiaque Doza, Founder and Managing Director (hereinafter referred to as </w:t>
      </w:r>
      <w:r>
        <w:rPr>
          <w:rFonts w:ascii="Times New Roman" w:cs="Times New Roman" w:eastAsia="Times New Roman" w:hAnsi="Times New Roman"/>
          <w:b/>
          <w:bCs/>
          <w:sz w:val="22"/>
          <w:szCs w:val="22"/>
        </w:rPr>
        <w:t xml:space="preserve">“EBIL”</w:t>
      </w:r>
      <w:r>
        <w:rPr>
          <w:rFonts w:ascii="Times New Roman" w:cs="Times New Roman" w:eastAsia="Times New Roman" w:hAnsi="Times New Roman"/>
          <w:sz w:val="22"/>
          <w:szCs w:val="22"/>
        </w:rPr>
        <w:t xml:space="preserve">, which expression shall, unless repugnant to the context or meaning thereof, include its successors-in-interest and permitted assigns) of the </w:t>
      </w:r>
      <w:r>
        <w:rPr>
          <w:rFonts w:ascii="Times New Roman" w:cs="Times New Roman" w:eastAsia="Times New Roman" w:hAnsi="Times New Roman"/>
          <w:b/>
          <w:bCs/>
          <w:sz w:val="22"/>
          <w:szCs w:val="22"/>
        </w:rPr>
        <w:t xml:space="preserve">SECOND PART</w:t>
      </w:r>
      <w:r>
        <w:rPr>
          <w:rFonts w:ascii="Times New Roman" w:cs="Times New Roman" w:eastAsia="Times New Roman" w:hAnsi="Times New Roman"/>
          <w:sz w:val="22"/>
          <w:szCs w:val="22"/>
        </w:rPr>
        <w:t xml:space="preserve">.</w:t>
      </w:r>
    </w:p>
    <w:p>
      <w:r>
        <w:t xml:space="preserve"/>
      </w:r>
    </w:p>
    <w:p>
      <w:pPr>
        <w:spacing w:after="120" w:before="120" w:line="300"/>
        <w:jc w:val="both"/>
      </w:pPr>
      <w:r>
        <w:rPr>
          <w:rFonts w:ascii="Times New Roman" w:cs="Times New Roman" w:eastAsia="Times New Roman" w:hAnsi="Times New Roman"/>
          <w:sz w:val="22"/>
          <w:szCs w:val="22"/>
        </w:rPr>
        <w:t xml:space="preserve">Climatenza and EBIL are hereinafter collectively referred to as the </w:t>
      </w:r>
      <w:r>
        <w:rPr>
          <w:rFonts w:ascii="Times New Roman" w:cs="Times New Roman" w:eastAsia="Times New Roman" w:hAnsi="Times New Roman"/>
          <w:b/>
          <w:bCs/>
          <w:sz w:val="22"/>
          <w:szCs w:val="22"/>
        </w:rPr>
        <w:t xml:space="preserve">“Parties”</w:t>
      </w:r>
      <w:r>
        <w:rPr>
          <w:rFonts w:ascii="Times New Roman" w:cs="Times New Roman" w:eastAsia="Times New Roman" w:hAnsi="Times New Roman"/>
          <w:sz w:val="22"/>
          <w:szCs w:val="22"/>
        </w:rPr>
        <w:t xml:space="preserve"> and individually as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w:t>
      </w:r>
    </w:p>
    <w:p>
      <w:pPr>
        <w:pStyle w:val="Heading1"/>
        <w:spacing w:after="180" w:before="360"/>
      </w:pPr>
      <w:r>
        <w:rPr>
          <w:rFonts w:ascii="Times New Roman" w:cs="Times New Roman" w:eastAsia="Times New Roman" w:hAnsi="Times New Roman"/>
          <w:b/>
          <w:bCs/>
          <w:sz w:val="26"/>
          <w:szCs w:val="26"/>
        </w:rPr>
        <w:t xml:space="preserve">RECITALS</w:t>
      </w:r>
    </w:p>
    <w:p>
      <w:pPr>
        <w:spacing w:after="120" w:before="120" w:line="300"/>
        <w:jc w:val="both"/>
      </w:pPr>
      <w:r>
        <w:rPr>
          <w:rFonts w:ascii="Times New Roman" w:cs="Times New Roman" w:eastAsia="Times New Roman" w:hAnsi="Times New Roman"/>
          <w:b/>
          <w:bCs/>
          <w:sz w:val="22"/>
          <w:szCs w:val="22"/>
        </w:rPr>
        <w:t xml:space="preserve">WHEREAS, </w:t>
      </w:r>
      <w:r>
        <w:rPr>
          <w:rFonts w:ascii="Times New Roman" w:cs="Times New Roman" w:eastAsia="Times New Roman" w:hAnsi="Times New Roman"/>
          <w:sz w:val="22"/>
          <w:szCs w:val="22"/>
        </w:rPr>
        <w:t xml:space="preserve">the Parties entered into a Master Collaboration Agreement dated 20 July 2019 (the </w:t>
      </w:r>
      <w:r>
        <w:rPr>
          <w:rFonts w:ascii="Times New Roman" w:cs="Times New Roman" w:eastAsia="Times New Roman" w:hAnsi="Times New Roman"/>
          <w:b/>
          <w:bCs/>
          <w:sz w:val="22"/>
          <w:szCs w:val="22"/>
        </w:rPr>
        <w:t xml:space="preserve">“Master Agreement”</w:t>
      </w:r>
      <w:r>
        <w:rPr>
          <w:rFonts w:ascii="Times New Roman" w:cs="Times New Roman" w:eastAsia="Times New Roman" w:hAnsi="Times New Roman"/>
          <w:sz w:val="22"/>
          <w:szCs w:val="22"/>
        </w:rPr>
        <w:t xml:space="preserve">) pursuant to which EBIL was granted, inter alia, the exclusive right under Clause 2.2 thereof to represent, market, promote and procure sales of Climatenza’s products, technologies and services within the territory of the People’s Republic of Bangladesh (the </w:t>
      </w:r>
      <w:r>
        <w:rPr>
          <w:rFonts w:ascii="Times New Roman" w:cs="Times New Roman" w:eastAsia="Times New Roman" w:hAnsi="Times New Roman"/>
          <w:b/>
          <w:bCs/>
          <w:sz w:val="22"/>
          <w:szCs w:val="22"/>
        </w:rPr>
        <w:t xml:space="preserve">“Territory”</w:t>
      </w:r>
      <w:r>
        <w:rPr>
          <w:rFonts w:ascii="Times New Roman" w:cs="Times New Roman" w:eastAsia="Times New Roman" w:hAnsi="Times New Roman"/>
          <w:sz w:val="22"/>
          <w:szCs w:val="22"/>
        </w:rPr>
        <w:t xml:space="preserve">);</w:t>
      </w:r>
    </w:p>
    <w:p>
      <w:pPr>
        <w:spacing w:after="120" w:before="120" w:line="300"/>
        <w:jc w:val="both"/>
      </w:pPr>
      <w:r>
        <w:rPr>
          <w:rFonts w:ascii="Times New Roman" w:cs="Times New Roman" w:eastAsia="Times New Roman" w:hAnsi="Times New Roman"/>
          <w:b/>
          <w:bCs/>
          <w:sz w:val="22"/>
          <w:szCs w:val="22"/>
        </w:rPr>
        <w:t xml:space="preserve">AND WHEREAS, </w:t>
      </w:r>
      <w:r>
        <w:rPr>
          <w:rFonts w:ascii="Times New Roman" w:cs="Times New Roman" w:eastAsia="Times New Roman" w:hAnsi="Times New Roman"/>
          <w:sz w:val="22"/>
          <w:szCs w:val="22"/>
        </w:rPr>
        <w:t xml:space="preserve">the Parties subsequently executed a First Addendum to the Master Agreement dated [●] (the </w:t>
      </w:r>
      <w:r>
        <w:rPr>
          <w:rFonts w:ascii="Times New Roman" w:cs="Times New Roman" w:eastAsia="Times New Roman" w:hAnsi="Times New Roman"/>
          <w:b/>
          <w:bCs/>
          <w:sz w:val="22"/>
          <w:szCs w:val="22"/>
        </w:rPr>
        <w:t xml:space="preserve">“First Addendum”</w:t>
      </w:r>
      <w:r>
        <w:rPr>
          <w:rFonts w:ascii="Times New Roman" w:cs="Times New Roman" w:eastAsia="Times New Roman" w:hAnsi="Times New Roman"/>
          <w:sz w:val="22"/>
          <w:szCs w:val="22"/>
        </w:rPr>
        <w:t xml:space="preserve">), pursuant to which EBIL was granted the right to subcontract certain ground-level execution responsibilities to third parties, subject to prior written notification to Climatenza;</w:t>
      </w:r>
    </w:p>
    <w:p>
      <w:pPr>
        <w:spacing w:after="120" w:before="120" w:line="300"/>
        <w:jc w:val="both"/>
      </w:pPr>
      <w:r>
        <w:rPr>
          <w:rFonts w:ascii="Times New Roman" w:cs="Times New Roman" w:eastAsia="Times New Roman" w:hAnsi="Times New Roman"/>
          <w:b/>
          <w:bCs/>
          <w:sz w:val="22"/>
          <w:szCs w:val="22"/>
        </w:rPr>
        <w:t xml:space="preserve">AND WHEREAS, </w:t>
      </w:r>
      <w:r>
        <w:rPr>
          <w:rFonts w:ascii="Times New Roman" w:cs="Times New Roman" w:eastAsia="Times New Roman" w:hAnsi="Times New Roman"/>
          <w:sz w:val="22"/>
          <w:szCs w:val="22"/>
        </w:rPr>
        <w:t xml:space="preserve">pursuant to the First Addendum, EBIL introduced Solar Power Limited, a company incorporated under the laws of the People’s Republic of Bangladesh (</w:t>
      </w:r>
      <w:r>
        <w:rPr>
          <w:rFonts w:ascii="Times New Roman" w:cs="Times New Roman" w:eastAsia="Times New Roman" w:hAnsi="Times New Roman"/>
          <w:b/>
          <w:bCs/>
          <w:sz w:val="22"/>
          <w:szCs w:val="22"/>
        </w:rPr>
        <w:t xml:space="preserve">“SPL”</w:t>
      </w:r>
      <w:r>
        <w:rPr>
          <w:rFonts w:ascii="Times New Roman" w:cs="Times New Roman" w:eastAsia="Times New Roman" w:hAnsi="Times New Roman"/>
          <w:sz w:val="22"/>
          <w:szCs w:val="22"/>
        </w:rPr>
        <w:t xml:space="preserve">), as its subcontractor, which arrangement was formalised through a tripartite draft agreement among Climatenza, EBIL and SPL (the </w:t>
      </w:r>
      <w:r>
        <w:rPr>
          <w:rFonts w:ascii="Times New Roman" w:cs="Times New Roman" w:eastAsia="Times New Roman" w:hAnsi="Times New Roman"/>
          <w:b/>
          <w:bCs/>
          <w:sz w:val="22"/>
          <w:szCs w:val="22"/>
        </w:rPr>
        <w:t xml:space="preserve">“Tripartite Agreement”</w:t>
      </w:r>
      <w:r>
        <w:rPr>
          <w:rFonts w:ascii="Times New Roman" w:cs="Times New Roman" w:eastAsia="Times New Roman" w:hAnsi="Times New Roman"/>
          <w:sz w:val="22"/>
          <w:szCs w:val="22"/>
        </w:rPr>
        <w:t xml:space="preserve">);</w:t>
      </w:r>
    </w:p>
    <w:p>
      <w:pPr>
        <w:spacing w:after="120" w:before="120" w:line="300"/>
        <w:jc w:val="both"/>
      </w:pPr>
      <w:r>
        <w:rPr>
          <w:rFonts w:ascii="Times New Roman" w:cs="Times New Roman" w:eastAsia="Times New Roman" w:hAnsi="Times New Roman"/>
          <w:b/>
          <w:bCs/>
          <w:sz w:val="22"/>
          <w:szCs w:val="22"/>
        </w:rPr>
        <w:t xml:space="preserve">AND WHEREAS, </w:t>
      </w:r>
      <w:r>
        <w:rPr>
          <w:rFonts w:ascii="Times New Roman" w:cs="Times New Roman" w:eastAsia="Times New Roman" w:hAnsi="Times New Roman"/>
          <w:sz w:val="22"/>
          <w:szCs w:val="22"/>
        </w:rPr>
        <w:t xml:space="preserve">notwithstanding the efforts of the Parties over a period exceeding six (6) years, no commercial revenue has been generated by either Party from the Territory as at the Effective Date, and the Parties wish to candidly address the commercial viability of the continued collaboration;</w:t>
      </w:r>
    </w:p>
    <w:p>
      <w:pPr>
        <w:spacing w:after="120" w:before="120" w:line="300"/>
        <w:jc w:val="both"/>
      </w:pPr>
      <w:r>
        <w:rPr>
          <w:rFonts w:ascii="Times New Roman" w:cs="Times New Roman" w:eastAsia="Times New Roman" w:hAnsi="Times New Roman"/>
          <w:b/>
          <w:bCs/>
          <w:sz w:val="22"/>
          <w:szCs w:val="22"/>
        </w:rPr>
        <w:t xml:space="preserve">AND WHEREAS, </w:t>
      </w:r>
      <w:r>
        <w:rPr>
          <w:rFonts w:ascii="Times New Roman" w:cs="Times New Roman" w:eastAsia="Times New Roman" w:hAnsi="Times New Roman"/>
          <w:sz w:val="22"/>
          <w:szCs w:val="22"/>
        </w:rPr>
        <w:t xml:space="preserve">EBIL has, by written communication dated 13 April 2026, sought written reaffirmation of its exclusive rights under Clause 2.2 of the Master Agreement and prompt execution of the Tripartite Agreement, and has further invoked the notice and tail-commission provisions of the Master Agreement;</w:t>
      </w:r>
    </w:p>
    <w:p>
      <w:pPr>
        <w:spacing w:after="120" w:before="120" w:line="300"/>
        <w:jc w:val="both"/>
      </w:pPr>
      <w:r>
        <w:rPr>
          <w:rFonts w:ascii="Times New Roman" w:cs="Times New Roman" w:eastAsia="Times New Roman" w:hAnsi="Times New Roman"/>
          <w:b/>
          <w:bCs/>
          <w:sz w:val="22"/>
          <w:szCs w:val="22"/>
        </w:rPr>
        <w:t xml:space="preserve">AND WHEREAS, </w:t>
      </w:r>
      <w:r>
        <w:rPr>
          <w:rFonts w:ascii="Times New Roman" w:cs="Times New Roman" w:eastAsia="Times New Roman" w:hAnsi="Times New Roman"/>
          <w:sz w:val="22"/>
          <w:szCs w:val="22"/>
        </w:rPr>
        <w:t xml:space="preserve">the Parties, while reaffirming their mutual respect for the contractual framework established under the Master Agreement and the First Addendum, desire to record by way of this Addendum a time-bound, performance-linked framework for the continued exclusivity of EBIL in the Territory, together with clearly defined obligations on the part of Climatenza to support such exclusivity, and the consequences of failure to achieve the performance milestone set forth herein;</w:t>
      </w:r>
    </w:p>
    <w:p>
      <w:pPr>
        <w:spacing w:after="120" w:before="120" w:line="300"/>
        <w:jc w:val="both"/>
      </w:pPr>
      <w:r>
        <w:rPr>
          <w:rFonts w:ascii="Times New Roman" w:cs="Times New Roman" w:eastAsia="Times New Roman" w:hAnsi="Times New Roman"/>
          <w:b/>
          <w:bCs/>
          <w:sz w:val="22"/>
          <w:szCs w:val="22"/>
        </w:rPr>
        <w:t xml:space="preserve">NOW, THEREFORE, </w:t>
      </w:r>
      <w:r>
        <w:rPr>
          <w:rFonts w:ascii="Times New Roman" w:cs="Times New Roman" w:eastAsia="Times New Roman" w:hAnsi="Times New Roman"/>
          <w:sz w:val="22"/>
          <w:szCs w:val="22"/>
        </w:rPr>
        <w:t xml:space="preserve">in consideration of the foregoing premises and the mutual covenants, representations, warranties and agreements contained herein, and for other good and valuable consideration, the receipt and adequacy of which are hereby mutually acknowledged, the Parties, intending to be legally bound hereby, agree as follows:</w:t>
      </w:r>
    </w:p>
    <w:p>
      <w:pPr>
        <w:pStyle w:val="Heading1"/>
        <w:spacing w:after="180" w:before="360"/>
      </w:pPr>
      <w:r>
        <w:rPr>
          <w:rFonts w:ascii="Times New Roman" w:cs="Times New Roman" w:eastAsia="Times New Roman" w:hAnsi="Times New Roman"/>
          <w:b/>
          <w:bCs/>
          <w:sz w:val="26"/>
          <w:szCs w:val="26"/>
        </w:rPr>
        <w:t xml:space="preserve">1. DEFINITIONS AND INTERPRETATION</w:t>
      </w:r>
    </w:p>
    <w:p>
      <w:pPr>
        <w:spacing w:after="120" w:before="120" w:line="300"/>
        <w:ind w:left="720" w:hanging="72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In this Addendum, unless the context otherwise requires, capitalised terms used but not defined herein shall have the meanings ascribed to them in the Master Agreement. The following capitalised terms shall have the meanings set forth below:</w:t>
      </w:r>
    </w:p>
    <w:p>
      <w:pPr>
        <w:spacing w:after="80" w:before="80" w:line="300"/>
        <w:ind w:left="1440" w:hanging="720"/>
        <w:jc w:val="both"/>
      </w:pPr>
      <w:r>
        <w:rPr>
          <w:rFonts w:ascii="Times New Roman" w:cs="Times New Roman" w:eastAsia="Times New Roman" w:hAnsi="Times New Roman"/>
          <w:sz w:val="22"/>
          <w:szCs w:val="22"/>
        </w:rPr>
        <w:t xml:space="preserve">1.1.1	</w:t>
      </w:r>
      <w:r>
        <w:rPr>
          <w:rFonts w:ascii="Times New Roman" w:cs="Times New Roman" w:eastAsia="Times New Roman" w:hAnsi="Times New Roman"/>
          <w:sz w:val="22"/>
          <w:szCs w:val="22"/>
        </w:rPr>
        <w:t xml:space="preserve">“Addendum” shall mean this Addendum No. 2 to the Master Agreement, together with all Schedules, Annexures and Exhibits hereto, as amended, modified or supplemented from time to time in accordance with the terms hereof.</w:t>
      </w:r>
    </w:p>
    <w:p>
      <w:pPr>
        <w:spacing w:after="80" w:before="80" w:line="300"/>
        <w:ind w:left="1440" w:hanging="720"/>
        <w:jc w:val="both"/>
      </w:pPr>
      <w:r>
        <w:rPr>
          <w:rFonts w:ascii="Times New Roman" w:cs="Times New Roman" w:eastAsia="Times New Roman" w:hAnsi="Times New Roman"/>
          <w:sz w:val="22"/>
          <w:szCs w:val="22"/>
        </w:rPr>
        <w:t xml:space="preserve">1.1.2	</w:t>
      </w:r>
      <w:r>
        <w:rPr>
          <w:rFonts w:ascii="Times New Roman" w:cs="Times New Roman" w:eastAsia="Times New Roman" w:hAnsi="Times New Roman"/>
          <w:sz w:val="22"/>
          <w:szCs w:val="22"/>
        </w:rPr>
        <w:t xml:space="preserve">“Applicable Law” shall mean any statute, law, regulation, ordinance, rule, judgement, order, decree, bye-law, approval, directive, guideline, policy, requirement, notification or other governmental restriction having the force of law in India, Bangladesh or any other jurisdiction relevant to the performance of this Addendum.</w:t>
      </w:r>
    </w:p>
    <w:p>
      <w:pPr>
        <w:spacing w:after="80" w:before="80" w:line="300"/>
        <w:ind w:left="1440" w:hanging="720"/>
        <w:jc w:val="both"/>
      </w:pPr>
      <w:r>
        <w:rPr>
          <w:rFonts w:ascii="Times New Roman" w:cs="Times New Roman" w:eastAsia="Times New Roman" w:hAnsi="Times New Roman"/>
          <w:sz w:val="22"/>
          <w:szCs w:val="22"/>
        </w:rPr>
        <w:t xml:space="preserve">1.1.3	</w:t>
      </w:r>
      <w:r>
        <w:rPr>
          <w:rFonts w:ascii="Times New Roman" w:cs="Times New Roman" w:eastAsia="Times New Roman" w:hAnsi="Times New Roman"/>
          <w:sz w:val="22"/>
          <w:szCs w:val="22"/>
        </w:rPr>
        <w:t xml:space="preserve">“Business Day” shall mean a day (other than a Saturday, Sunday or public holiday) on which commercial banks are open for general business in New Delhi, India and Chittagong, Bangladesh.</w:t>
      </w:r>
    </w:p>
    <w:p>
      <w:pPr>
        <w:spacing w:after="80" w:before="80" w:line="300"/>
        <w:ind w:left="1440" w:hanging="720"/>
        <w:jc w:val="both"/>
      </w:pPr>
      <w:r>
        <w:rPr>
          <w:rFonts w:ascii="Times New Roman" w:cs="Times New Roman" w:eastAsia="Times New Roman" w:hAnsi="Times New Roman"/>
          <w:sz w:val="22"/>
          <w:szCs w:val="22"/>
        </w:rPr>
        <w:t xml:space="preserve">1.1.4	</w:t>
      </w:r>
      <w:r>
        <w:rPr>
          <w:rFonts w:ascii="Times New Roman" w:cs="Times New Roman" w:eastAsia="Times New Roman" w:hAnsi="Times New Roman"/>
          <w:sz w:val="22"/>
          <w:szCs w:val="22"/>
        </w:rPr>
        <w:t xml:space="preserve">“Effective Date” shall mean the date of execution of this Addendum by the Party signing last.</w:t>
      </w:r>
    </w:p>
    <w:p>
      <w:pPr>
        <w:spacing w:after="80" w:before="80" w:line="300"/>
        <w:ind w:left="1440" w:hanging="720"/>
        <w:jc w:val="both"/>
      </w:pPr>
      <w:r>
        <w:rPr>
          <w:rFonts w:ascii="Times New Roman" w:cs="Times New Roman" w:eastAsia="Times New Roman" w:hAnsi="Times New Roman"/>
          <w:sz w:val="22"/>
          <w:szCs w:val="22"/>
        </w:rPr>
        <w:t xml:space="preserve">1.1.5	</w:t>
      </w:r>
      <w:r>
        <w:rPr>
          <w:rFonts w:ascii="Times New Roman" w:cs="Times New Roman" w:eastAsia="Times New Roman" w:hAnsi="Times New Roman"/>
          <w:sz w:val="22"/>
          <w:szCs w:val="22"/>
        </w:rPr>
        <w:t xml:space="preserve">“Performance Period” shall mean the period of three hundred and sixty-five (365) consecutive calendar days commencing on and from the Effective Date.</w:t>
      </w:r>
    </w:p>
    <w:p>
      <w:pPr>
        <w:spacing w:after="80" w:before="80" w:line="300"/>
        <w:ind w:left="1440" w:hanging="720"/>
        <w:jc w:val="both"/>
      </w:pPr>
      <w:r>
        <w:rPr>
          <w:rFonts w:ascii="Times New Roman" w:cs="Times New Roman" w:eastAsia="Times New Roman" w:hAnsi="Times New Roman"/>
          <w:sz w:val="22"/>
          <w:szCs w:val="22"/>
        </w:rPr>
        <w:t xml:space="preserve">1.1.6	</w:t>
      </w:r>
      <w:r>
        <w:rPr>
          <w:rFonts w:ascii="Times New Roman" w:cs="Times New Roman" w:eastAsia="Times New Roman" w:hAnsi="Times New Roman"/>
          <w:sz w:val="22"/>
          <w:szCs w:val="22"/>
        </w:rPr>
        <w:t xml:space="preserve">“Qualifying Customer Contract” shall have the meaning ascribed to it in Clause 3 (Performance Milestone) and Schedule I (Qualifying Customer Contract Criteria).</w:t>
      </w:r>
    </w:p>
    <w:p>
      <w:pPr>
        <w:spacing w:after="80" w:before="80" w:line="300"/>
        <w:ind w:left="1440" w:hanging="720"/>
        <w:jc w:val="both"/>
      </w:pPr>
      <w:r>
        <w:rPr>
          <w:rFonts w:ascii="Times New Roman" w:cs="Times New Roman" w:eastAsia="Times New Roman" w:hAnsi="Times New Roman"/>
          <w:sz w:val="22"/>
          <w:szCs w:val="22"/>
        </w:rPr>
        <w:t xml:space="preserve">1.1.7	</w:t>
      </w:r>
      <w:r>
        <w:rPr>
          <w:rFonts w:ascii="Times New Roman" w:cs="Times New Roman" w:eastAsia="Times New Roman" w:hAnsi="Times New Roman"/>
          <w:sz w:val="22"/>
          <w:szCs w:val="22"/>
        </w:rPr>
        <w:t xml:space="preserve">“Performance Milestone” shall mean the achievement by EBIL, within the Performance Period, of one (1) or more Qualifying Customer Contract(s) in the Territory, in accordance with Clause 3 and Schedule I.</w:t>
      </w:r>
    </w:p>
    <w:p>
      <w:pPr>
        <w:spacing w:after="80" w:before="80" w:line="300"/>
        <w:ind w:left="1440" w:hanging="720"/>
        <w:jc w:val="both"/>
      </w:pPr>
      <w:r>
        <w:rPr>
          <w:rFonts w:ascii="Times New Roman" w:cs="Times New Roman" w:eastAsia="Times New Roman" w:hAnsi="Times New Roman"/>
          <w:sz w:val="22"/>
          <w:szCs w:val="22"/>
        </w:rPr>
        <w:t xml:space="preserve">1.1.8	</w:t>
      </w:r>
      <w:r>
        <w:rPr>
          <w:rFonts w:ascii="Times New Roman" w:cs="Times New Roman" w:eastAsia="Times New Roman" w:hAnsi="Times New Roman"/>
          <w:sz w:val="22"/>
          <w:szCs w:val="22"/>
        </w:rPr>
        <w:t xml:space="preserve">“Climatenza Support Obligations” shall mean the obligations of Climatenza set forth in Clause 4 and Schedule II (Climatenza Support Obligations Schedule).</w:t>
      </w:r>
    </w:p>
    <w:p>
      <w:pPr>
        <w:spacing w:after="80" w:before="80" w:line="300"/>
        <w:ind w:left="1440" w:hanging="720"/>
        <w:jc w:val="both"/>
      </w:pPr>
      <w:r>
        <w:rPr>
          <w:rFonts w:ascii="Times New Roman" w:cs="Times New Roman" w:eastAsia="Times New Roman" w:hAnsi="Times New Roman"/>
          <w:sz w:val="22"/>
          <w:szCs w:val="22"/>
        </w:rPr>
        <w:t xml:space="preserve">1.1.9	</w:t>
      </w:r>
      <w:r>
        <w:rPr>
          <w:rFonts w:ascii="Times New Roman" w:cs="Times New Roman" w:eastAsia="Times New Roman" w:hAnsi="Times New Roman"/>
          <w:sz w:val="22"/>
          <w:szCs w:val="22"/>
        </w:rPr>
        <w:t xml:space="preserve">“Territory” shall mean the geographical territory of the People’s Republic of Bangladesh.</w:t>
      </w:r>
    </w:p>
    <w:p>
      <w:pPr>
        <w:spacing w:after="80" w:before="80" w:line="300"/>
        <w:ind w:left="1440" w:hanging="720"/>
        <w:jc w:val="both"/>
      </w:pPr>
      <w:r>
        <w:rPr>
          <w:rFonts w:ascii="Times New Roman" w:cs="Times New Roman" w:eastAsia="Times New Roman" w:hAnsi="Times New Roman"/>
          <w:sz w:val="22"/>
          <w:szCs w:val="22"/>
        </w:rPr>
        <w:t xml:space="preserve">1.1.10	</w:t>
      </w:r>
      <w:r>
        <w:rPr>
          <w:rFonts w:ascii="Times New Roman" w:cs="Times New Roman" w:eastAsia="Times New Roman" w:hAnsi="Times New Roman"/>
          <w:sz w:val="22"/>
          <w:szCs w:val="22"/>
        </w:rPr>
        <w:t xml:space="preserve">“Tail Commission Clause” shall mean the provision(s) of the Master Agreement providing for post-termination trailing commissions payable to EBIL in respect of leads or opportunities originated by EBIL prior to termination.</w:t>
      </w:r>
    </w:p>
    <w:p>
      <w:pPr>
        <w:spacing w:after="120" w:before="120" w:line="300"/>
        <w:ind w:left="720" w:hanging="72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In this Addendum, unless the context otherwise requires: (a) the singular includes the plural and vice versa; (b) headings are for convenience only and shall not affect the interpretation hereof; (c) references to Clauses, Sub-Clauses and Schedules are to clauses, sub-clauses and schedules of this Addendum; (d) references to any agreement or instrument shall be construed as references to such agreement or instrument as amended, modified or supplemented from time to time; and (e) the words “including” and “include” shall be construed without limitation.</w:t>
      </w:r>
    </w:p>
    <w:p>
      <w:pPr>
        <w:pStyle w:val="Heading1"/>
        <w:spacing w:after="180" w:before="360"/>
      </w:pPr>
      <w:r>
        <w:rPr>
          <w:rFonts w:ascii="Times New Roman" w:cs="Times New Roman" w:eastAsia="Times New Roman" w:hAnsi="Times New Roman"/>
          <w:b/>
          <w:bCs/>
          <w:sz w:val="26"/>
          <w:szCs w:val="26"/>
        </w:rPr>
        <w:t xml:space="preserve">2. CONDITIONAL REAFFIRMATION OF EXCLUSIVITY</w:t>
      </w:r>
    </w:p>
    <w:p>
      <w:pPr>
        <w:spacing w:after="120" w:before="120" w:line="300"/>
        <w:ind w:left="720" w:hanging="72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Subject to and conditional upon the terms of this Addendum, Climatenza hereby reaffirms that, as on the Effective Date, EBIL’s exclusive rights in respect of the Territory under Clause 2.2 of the Master Agreement subsist and remain in full force and effect, and have not been terminated, amended, superseded, reassigned or otherwise transferred to any third party.</w:t>
      </w:r>
    </w:p>
    <w:p>
      <w:pPr>
        <w:spacing w:after="120" w:before="120" w:line="300"/>
        <w:ind w:left="720" w:hanging="72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The Parties expressly acknowledge and agree that the continuation of EBIL’s exclusivity under Clause 2.2 of the Master Agreement beyond the Performance Period is conditional upon EBIL’s achievement of the Performance Milestone within the Performance Period, in accordance with Clause 3 and Schedule I hereof.</w:t>
      </w:r>
    </w:p>
    <w:p>
      <w:pPr>
        <w:spacing w:after="120" w:before="120" w:line="300"/>
        <w:ind w:left="720" w:hanging="72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Climatenza covenants that during the Performance Period it shall not, directly or indirectly, appoint, engage, license or otherwise enter into any commercial arrangement with any third party in the Territory that is inconsistent with EBIL’s exclusivity under Clause 2.2 of the Master Agreement, save and except in respect of SPL’s participation as EBIL’s subcontractor pursuant to the First Addendum and the Tripartite Agreement.</w:t>
      </w:r>
    </w:p>
    <w:p>
      <w:pPr>
        <w:pStyle w:val="Heading1"/>
        <w:spacing w:after="180" w:before="360"/>
      </w:pPr>
      <w:r>
        <w:rPr>
          <w:rFonts w:ascii="Times New Roman" w:cs="Times New Roman" w:eastAsia="Times New Roman" w:hAnsi="Times New Roman"/>
          <w:b/>
          <w:bCs/>
          <w:sz w:val="26"/>
          <w:szCs w:val="26"/>
        </w:rPr>
        <w:t xml:space="preserve">3. PERFORMANCE MILESTONE</w:t>
      </w:r>
    </w:p>
    <w:p>
      <w:pPr>
        <w:spacing w:after="120" w:before="120" w:line="300"/>
        <w:ind w:left="720" w:hanging="72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EBIL shall, during the Performance Period, use its best endeavours to procure and secure at least one (1) Qualifying Customer Contract in the Territory.</w:t>
      </w:r>
    </w:p>
    <w:p>
      <w:pPr>
        <w:spacing w:after="120" w:before="120" w:line="300"/>
        <w:ind w:left="720" w:hanging="72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For the purposes of this Addendum, a “Qualifying Customer Contract” shall mean a commercial agreement which cumulatively satisfies each and every one of the criteria set forth in Schedule I, including without limitation:</w:t>
      </w:r>
    </w:p>
    <w:p>
      <w:pPr>
        <w:spacing w:after="80" w:before="80" w:line="300"/>
        <w:ind w:left="1440" w:hanging="720"/>
        <w:jc w:val="both"/>
      </w:pPr>
      <w:r>
        <w:rPr>
          <w:rFonts w:ascii="Times New Roman" w:cs="Times New Roman" w:eastAsia="Times New Roman" w:hAnsi="Times New Roman"/>
          <w:sz w:val="22"/>
          <w:szCs w:val="22"/>
        </w:rPr>
        <w:t xml:space="preserve">3.2.1	</w:t>
      </w:r>
      <w:r>
        <w:rPr>
          <w:rFonts w:ascii="Times New Roman" w:cs="Times New Roman" w:eastAsia="Times New Roman" w:hAnsi="Times New Roman"/>
          <w:sz w:val="22"/>
          <w:szCs w:val="22"/>
        </w:rPr>
        <w:t xml:space="preserve">being a bona fide written agreement for the supply by Climatenza of its proprietary solar collectors and/or engineering, manufacturing and procurement (EMP) scope, and/or an engineering, procurement and construction (EPC) contract incorporating the same;</w:t>
      </w:r>
    </w:p>
    <w:p>
      <w:pPr>
        <w:spacing w:after="80" w:before="80" w:line="300"/>
        <w:ind w:left="1440" w:hanging="720"/>
        <w:jc w:val="both"/>
      </w:pPr>
      <w:r>
        <w:rPr>
          <w:rFonts w:ascii="Times New Roman" w:cs="Times New Roman" w:eastAsia="Times New Roman" w:hAnsi="Times New Roman"/>
          <w:sz w:val="22"/>
          <w:szCs w:val="22"/>
        </w:rPr>
        <w:t xml:space="preserve">3.2.2	</w:t>
      </w:r>
      <w:r>
        <w:rPr>
          <w:rFonts w:ascii="Times New Roman" w:cs="Times New Roman" w:eastAsia="Times New Roman" w:hAnsi="Times New Roman"/>
          <w:sz w:val="22"/>
          <w:szCs w:val="22"/>
        </w:rPr>
        <w:t xml:space="preserve">having as its counterparty an industrial end-client located in the Territory, which is not an Affiliate of EBIL, SPL, or of the respective promoters, directors, shareholders or key managerial personnel of EBIL or SPL;</w:t>
      </w:r>
    </w:p>
    <w:p>
      <w:pPr>
        <w:spacing w:after="80" w:before="80" w:line="300"/>
        <w:ind w:left="1440" w:hanging="720"/>
        <w:jc w:val="both"/>
      </w:pPr>
      <w:r>
        <w:rPr>
          <w:rFonts w:ascii="Times New Roman" w:cs="Times New Roman" w:eastAsia="Times New Roman" w:hAnsi="Times New Roman"/>
          <w:sz w:val="22"/>
          <w:szCs w:val="22"/>
        </w:rPr>
        <w:t xml:space="preserve">3.2.3	</w:t>
      </w:r>
      <w:r>
        <w:rPr>
          <w:rFonts w:ascii="Times New Roman" w:cs="Times New Roman" w:eastAsia="Times New Roman" w:hAnsi="Times New Roman"/>
          <w:sz w:val="22"/>
          <w:szCs w:val="22"/>
        </w:rPr>
        <w:t xml:space="preserve">bearing a total minimum contract value of not less than United States Dollars [● ___________] (USD [● _______]) [TO BE CONFIRMED BY THE PARTIES];</w:t>
      </w:r>
    </w:p>
    <w:p>
      <w:pPr>
        <w:spacing w:after="80" w:before="80" w:line="300"/>
        <w:ind w:left="1440" w:hanging="720"/>
        <w:jc w:val="both"/>
      </w:pPr>
      <w:r>
        <w:rPr>
          <w:rFonts w:ascii="Times New Roman" w:cs="Times New Roman" w:eastAsia="Times New Roman" w:hAnsi="Times New Roman"/>
          <w:sz w:val="22"/>
          <w:szCs w:val="22"/>
        </w:rPr>
        <w:t xml:space="preserve">3.2.4	</w:t>
      </w:r>
      <w:r>
        <w:rPr>
          <w:rFonts w:ascii="Times New Roman" w:cs="Times New Roman" w:eastAsia="Times New Roman" w:hAnsi="Times New Roman"/>
          <w:sz w:val="22"/>
          <w:szCs w:val="22"/>
        </w:rPr>
        <w:t xml:space="preserve">being supported by a duly issued and executed Purchase Order in favour of Climatenza; and</w:t>
      </w:r>
    </w:p>
    <w:p>
      <w:pPr>
        <w:spacing w:after="80" w:before="80" w:line="300"/>
        <w:ind w:left="1440" w:hanging="720"/>
        <w:jc w:val="both"/>
      </w:pPr>
      <w:r>
        <w:rPr>
          <w:rFonts w:ascii="Times New Roman" w:cs="Times New Roman" w:eastAsia="Times New Roman" w:hAnsi="Times New Roman"/>
          <w:sz w:val="22"/>
          <w:szCs w:val="22"/>
        </w:rPr>
        <w:t xml:space="preserve">3.2.5	</w:t>
      </w:r>
      <w:r>
        <w:rPr>
          <w:rFonts w:ascii="Times New Roman" w:cs="Times New Roman" w:eastAsia="Times New Roman" w:hAnsi="Times New Roman"/>
          <w:sz w:val="22"/>
          <w:szCs w:val="22"/>
        </w:rPr>
        <w:t xml:space="preserve">being accompanied by the receipt, into Climatenza’s nominated bank account, of a non-refundable advance payment of not less than twenty per cent (20%) of the total contract value, in clear and unencumbered funds, within the Performance Period.</w:t>
      </w:r>
    </w:p>
    <w:p>
      <w:pPr>
        <w:spacing w:after="120" w:before="120" w:line="300"/>
        <w:ind w:left="720" w:hanging="72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The Performance Milestone shall be deemed to have been achieved on and from the date on which all of the criteria set out in Clause 3.2 and Schedule I have been cumulatively satisfied within the Performance Period (the “Milestone Achievement Date”).</w:t>
      </w:r>
    </w:p>
    <w:p>
      <w:pPr>
        <w:spacing w:after="120" w:before="120" w:line="300"/>
        <w:ind w:left="720" w:hanging="72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EBIL shall, within five (5) Business Days of the Milestone Achievement Date, deliver to Climatenza a written notice certifying the same, together with such supporting documentation as Climatenza may reasonably require to verify the achievement of the Performance Milestone.</w:t>
      </w:r>
    </w:p>
    <w:p>
      <w:pPr>
        <w:pStyle w:val="Heading1"/>
        <w:spacing w:after="180" w:before="360"/>
      </w:pPr>
      <w:r>
        <w:rPr>
          <w:rFonts w:ascii="Times New Roman" w:cs="Times New Roman" w:eastAsia="Times New Roman" w:hAnsi="Times New Roman"/>
          <w:b/>
          <w:bCs/>
          <w:sz w:val="26"/>
          <w:szCs w:val="26"/>
        </w:rPr>
        <w:t xml:space="preserve">4. CLIMATENZA SUPPORT OBLIGATIONS</w:t>
      </w:r>
    </w:p>
    <w:p>
      <w:pPr>
        <w:spacing w:after="120" w:before="120" w:line="300"/>
        <w:ind w:left="720" w:hanging="72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Climatenza shall, during the Performance Period, perform and discharge, at its own cost and expense, the Climatenza Support Obligations set forth in Schedule II, which shall include without limitation:</w:t>
      </w:r>
    </w:p>
    <w:p>
      <w:pPr>
        <w:spacing w:after="80" w:before="80" w:line="300"/>
        <w:ind w:left="1440" w:hanging="720"/>
        <w:jc w:val="both"/>
      </w:pPr>
      <w:r>
        <w:rPr>
          <w:rFonts w:ascii="Times New Roman" w:cs="Times New Roman" w:eastAsia="Times New Roman" w:hAnsi="Times New Roman"/>
          <w:sz w:val="22"/>
          <w:szCs w:val="22"/>
        </w:rPr>
        <w:t xml:space="preserve">4.1.1	</w:t>
      </w:r>
      <w:r>
        <w:rPr>
          <w:rFonts w:ascii="Times New Roman" w:cs="Times New Roman" w:eastAsia="Times New Roman" w:hAnsi="Times New Roman"/>
          <w:sz w:val="22"/>
          <w:szCs w:val="22"/>
        </w:rPr>
        <w:t xml:space="preserve">delivery of updated marketing and technical collateral in English (and Bengali, to the extent reasonably practicable), within thirty (30) calendar days of the Effective Date;</w:t>
      </w:r>
    </w:p>
    <w:p>
      <w:pPr>
        <w:spacing w:after="80" w:before="80" w:line="300"/>
        <w:ind w:left="1440" w:hanging="720"/>
        <w:jc w:val="both"/>
      </w:pPr>
      <w:r>
        <w:rPr>
          <w:rFonts w:ascii="Times New Roman" w:cs="Times New Roman" w:eastAsia="Times New Roman" w:hAnsi="Times New Roman"/>
          <w:sz w:val="22"/>
          <w:szCs w:val="22"/>
        </w:rPr>
        <w:t xml:space="preserve">4.1.2	</w:t>
      </w:r>
      <w:r>
        <w:rPr>
          <w:rFonts w:ascii="Times New Roman" w:cs="Times New Roman" w:eastAsia="Times New Roman" w:hAnsi="Times New Roman"/>
          <w:sz w:val="22"/>
          <w:szCs w:val="22"/>
        </w:rPr>
        <w:t xml:space="preserve">the conduct of not less than two (2) structured engineer-to-engineer knowledge transfer sessions with designated personnel of EBIL and/or SPL within the first ninety (90) calendar days of the Performance Period;</w:t>
      </w:r>
    </w:p>
    <w:p>
      <w:pPr>
        <w:spacing w:after="80" w:before="80" w:line="300"/>
        <w:ind w:left="1440" w:hanging="720"/>
        <w:jc w:val="both"/>
      </w:pPr>
      <w:r>
        <w:rPr>
          <w:rFonts w:ascii="Times New Roman" w:cs="Times New Roman" w:eastAsia="Times New Roman" w:hAnsi="Times New Roman"/>
          <w:sz w:val="22"/>
          <w:szCs w:val="22"/>
        </w:rPr>
        <w:t xml:space="preserve">4.1.3	</w:t>
      </w:r>
      <w:r>
        <w:rPr>
          <w:rFonts w:ascii="Times New Roman" w:cs="Times New Roman" w:eastAsia="Times New Roman" w:hAnsi="Times New Roman"/>
          <w:sz w:val="22"/>
          <w:szCs w:val="22"/>
        </w:rPr>
        <w:t xml:space="preserve">the provision of a minimum of forty (40) engineering support hours per calendar quarter during the Performance Period, to be utilised for project-specific design reviews, performance modelling, technical clarifications and client-facing technical presentations;</w:t>
      </w:r>
    </w:p>
    <w:p>
      <w:pPr>
        <w:spacing w:after="80" w:before="80" w:line="300"/>
        <w:ind w:left="1440" w:hanging="720"/>
        <w:jc w:val="both"/>
      </w:pPr>
      <w:r>
        <w:rPr>
          <w:rFonts w:ascii="Times New Roman" w:cs="Times New Roman" w:eastAsia="Times New Roman" w:hAnsi="Times New Roman"/>
          <w:sz w:val="22"/>
          <w:szCs w:val="22"/>
        </w:rPr>
        <w:t xml:space="preserve">4.1.4	</w:t>
      </w:r>
      <w:r>
        <w:rPr>
          <w:rFonts w:ascii="Times New Roman" w:cs="Times New Roman" w:eastAsia="Times New Roman" w:hAnsi="Times New Roman"/>
          <w:sz w:val="22"/>
          <w:szCs w:val="22"/>
        </w:rPr>
        <w:t xml:space="preserve">the issuance of preliminary budgetary quotations for qualified project enquiries within ten (10) Business Days of receipt of a complete technical brief from EBIL; and</w:t>
      </w:r>
    </w:p>
    <w:p>
      <w:pPr>
        <w:spacing w:after="80" w:before="80" w:line="300"/>
        <w:ind w:left="1440" w:hanging="720"/>
        <w:jc w:val="both"/>
      </w:pPr>
      <w:r>
        <w:rPr>
          <w:rFonts w:ascii="Times New Roman" w:cs="Times New Roman" w:eastAsia="Times New Roman" w:hAnsi="Times New Roman"/>
          <w:sz w:val="22"/>
          <w:szCs w:val="22"/>
        </w:rPr>
        <w:t xml:space="preserve">4.1.5	</w:t>
      </w:r>
      <w:r>
        <w:rPr>
          <w:rFonts w:ascii="Times New Roman" w:cs="Times New Roman" w:eastAsia="Times New Roman" w:hAnsi="Times New Roman"/>
          <w:sz w:val="22"/>
          <w:szCs w:val="22"/>
        </w:rPr>
        <w:t xml:space="preserve">the provision of written responses to technical due-diligence questionnaires from prospective clients within seven (7) Business Days of receipt thereof.</w:t>
      </w:r>
    </w:p>
    <w:p>
      <w:pPr>
        <w:spacing w:after="120" w:before="120" w:line="300"/>
        <w:ind w:left="720" w:hanging="72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The Climatenza Support Obligations shall be deemed to be of the essence of this Addendum. Any material and persistent failure by Climatenza to perform the Climatenza Support Obligations, which failure is not cured within thirty (30) Business Days of receipt of written notice thereof from EBIL, shall entitle EBIL to seek an equitable extension of the Performance Period for a period commensurate with the duration of such failure, as the Parties may mutually agree in writing.</w:t>
      </w:r>
    </w:p>
    <w:p>
      <w:pPr>
        <w:pStyle w:val="Heading1"/>
        <w:spacing w:after="180" w:before="360"/>
      </w:pPr>
      <w:r>
        <w:rPr>
          <w:rFonts w:ascii="Times New Roman" w:cs="Times New Roman" w:eastAsia="Times New Roman" w:hAnsi="Times New Roman"/>
          <w:b/>
          <w:bCs/>
          <w:sz w:val="26"/>
          <w:szCs w:val="26"/>
        </w:rPr>
        <w:t xml:space="preserve">5. EBIL OBLIGATIONS</w:t>
      </w:r>
    </w:p>
    <w:p>
      <w:pPr>
        <w:spacing w:after="120" w:before="120" w:line="300"/>
        <w:ind w:left="720" w:hanging="72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EBIL shall, during the Performance Period: (i) actively and diligently promote, market and procure sales of Climatenza’s products and services within the Territory; (ii) furnish to Climatenza, on a quarterly basis, a written progress report detailing the pipeline of prospective customers, the status of ongoing discussions, and the expected timelines for conversion; (iii) coordinate with SPL in its capacity as EBIL’s subcontractor under the First Addendum; and (iv) conduct itself at all times in accordance with the highest standards of commercial integrity and in compliance with all Applicable Laws.</w:t>
      </w:r>
    </w:p>
    <w:p>
      <w:pPr>
        <w:spacing w:after="120" w:before="120" w:line="300"/>
        <w:ind w:left="720" w:hanging="72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EBIL acknowledges and agrees that any engagement with SPL, or with any other subcontractor of EBIL in the Territory, shall be at EBIL’s sole risk and responsibility, and this Addendum shall not create, or be deemed to create, any direct contractual or commercial obligation between Climatenza and SPL save and except as may be expressly set forth in the Tripartite Agreement.</w:t>
      </w:r>
    </w:p>
    <w:p>
      <w:pPr>
        <w:pStyle w:val="Heading1"/>
        <w:spacing w:after="180" w:before="360"/>
      </w:pPr>
      <w:r>
        <w:rPr>
          <w:rFonts w:ascii="Times New Roman" w:cs="Times New Roman" w:eastAsia="Times New Roman" w:hAnsi="Times New Roman"/>
          <w:b/>
          <w:bCs/>
          <w:sz w:val="26"/>
          <w:szCs w:val="26"/>
        </w:rPr>
        <w:t xml:space="preserve">6. TRIPARTITE AGREEMENT</w:t>
      </w:r>
    </w:p>
    <w:p>
      <w:pPr>
        <w:spacing w:after="120" w:before="120" w:line="300"/>
        <w:ind w:left="720" w:hanging="72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The Parties agree to cooperate in good faith to finalise and execute the Tripartite Agreement, together with SPL, by way of electronic signature in accordance with the Information Technology Act, 2000 (India) and the Information and Communication Technology Act, 2006 (Bangladesh), within fifteen (15) Business Days of the Effective Date.</w:t>
      </w:r>
    </w:p>
    <w:p>
      <w:pPr>
        <w:spacing w:after="120" w:before="120" w:line="300"/>
        <w:ind w:left="720" w:hanging="72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The Tripartite Agreement shall be consistent with, and subject to, the terms of the Master Agreement, the First Addendum and this Addendum. In the event of any conflict or inconsistency between the Tripartite Agreement and this Addendum, the provisions of this Addendum shall prevail as between Climatenza and EBIL.</w:t>
      </w:r>
    </w:p>
    <w:p>
      <w:pPr>
        <w:pStyle w:val="Heading1"/>
        <w:spacing w:after="180" w:before="360"/>
      </w:pPr>
      <w:r>
        <w:rPr>
          <w:rFonts w:ascii="Times New Roman" w:cs="Times New Roman" w:eastAsia="Times New Roman" w:hAnsi="Times New Roman"/>
          <w:b/>
          <w:bCs/>
          <w:sz w:val="26"/>
          <w:szCs w:val="26"/>
        </w:rPr>
        <w:t xml:space="preserve">7. CONSEQUENCES OF ACHIEVEMENT OR NON-ACHIEVEMENT OF THE PERFORMANCE MILESTONE</w:t>
      </w:r>
    </w:p>
    <w:p>
      <w:pPr>
        <w:pStyle w:val="Heading2"/>
        <w:spacing w:after="120" w:before="240"/>
      </w:pPr>
      <w:r>
        <w:rPr>
          <w:rFonts w:ascii="Times New Roman" w:cs="Times New Roman" w:eastAsia="Times New Roman" w:hAnsi="Times New Roman"/>
          <w:b/>
          <w:bCs/>
          <w:sz w:val="24"/>
          <w:szCs w:val="24"/>
        </w:rPr>
        <w:t xml:space="preserve">7.1 Achievement of the Performance Milestone</w:t>
      </w:r>
    </w:p>
    <w:p>
      <w:pPr>
        <w:spacing w:after="120" w:before="120" w:line="300"/>
        <w:ind w:left="720" w:hanging="720"/>
        <w:jc w:val="both"/>
      </w:pPr>
      <w:r>
        <w:rPr>
          <w:rFonts w:ascii="Times New Roman" w:cs="Times New Roman" w:eastAsia="Times New Roman" w:hAnsi="Times New Roman"/>
          <w:b/>
          <w:bCs/>
          <w:sz w:val="22"/>
          <w:szCs w:val="22"/>
        </w:rPr>
        <w:t xml:space="preserve">7.1.1	</w:t>
      </w:r>
      <w:r>
        <w:rPr>
          <w:rFonts w:ascii="Times New Roman" w:cs="Times New Roman" w:eastAsia="Times New Roman" w:hAnsi="Times New Roman"/>
          <w:sz w:val="22"/>
          <w:szCs w:val="22"/>
        </w:rPr>
        <w:t xml:space="preserve">In the event that EBIL achieves the Performance Milestone within the Performance Period, the exclusivity of EBIL in the Territory under Clause 2.2 of the Master Agreement shall continue in full force and effect, and the Parties shall, within thirty (30) Business Days of the Milestone Achievement Date, enter into good-faith negotiations to document a modernised operating framework governing their future commercial relationship in the Territory, which framework shall be recorded in a separate written instrument executed by the Parties.</w:t>
      </w:r>
    </w:p>
    <w:p>
      <w:pPr>
        <w:pStyle w:val="Heading2"/>
        <w:spacing w:after="120" w:before="240"/>
      </w:pPr>
      <w:r>
        <w:rPr>
          <w:rFonts w:ascii="Times New Roman" w:cs="Times New Roman" w:eastAsia="Times New Roman" w:hAnsi="Times New Roman"/>
          <w:b/>
          <w:bCs/>
          <w:sz w:val="24"/>
          <w:szCs w:val="24"/>
        </w:rPr>
        <w:t xml:space="preserve">7.2 Non-achievement of the Performance Milestone</w:t>
      </w:r>
    </w:p>
    <w:p>
      <w:pPr>
        <w:spacing w:after="120" w:before="120" w:line="300"/>
        <w:ind w:left="720" w:hanging="720"/>
        <w:jc w:val="both"/>
      </w:pPr>
      <w:r>
        <w:rPr>
          <w:rFonts w:ascii="Times New Roman" w:cs="Times New Roman" w:eastAsia="Times New Roman" w:hAnsi="Times New Roman"/>
          <w:b/>
          <w:bCs/>
          <w:sz w:val="22"/>
          <w:szCs w:val="22"/>
        </w:rPr>
        <w:t xml:space="preserve">7.2.1	</w:t>
      </w:r>
      <w:r>
        <w:rPr>
          <w:rFonts w:ascii="Times New Roman" w:cs="Times New Roman" w:eastAsia="Times New Roman" w:hAnsi="Times New Roman"/>
          <w:sz w:val="22"/>
          <w:szCs w:val="22"/>
        </w:rPr>
        <w:t xml:space="preserve">In the event that EBIL fails to achieve the Performance Milestone within the Performance Period (the “Lapse Event”), the following consequences shall automatically follow on and from the first (1st) calendar day immediately succeeding the expiry of the Performance Period (the “Lapse Date”), without any further act, deed or notice by either Party:</w:t>
      </w:r>
    </w:p>
    <w:p>
      <w:pPr>
        <w:spacing w:after="80" w:before="80" w:line="300"/>
        <w:ind w:left="1440" w:hanging="720"/>
        <w:jc w:val="both"/>
      </w:pPr>
      <w:r>
        <w:rPr>
          <w:rFonts w:ascii="Times New Roman" w:cs="Times New Roman" w:eastAsia="Times New Roman" w:hAnsi="Times New Roman"/>
          <w:sz w:val="22"/>
          <w:szCs w:val="22"/>
        </w:rPr>
        <w:t xml:space="preserve">7.2.2	</w:t>
      </w:r>
      <w:r>
        <w:rPr>
          <w:rFonts w:ascii="Times New Roman" w:cs="Times New Roman" w:eastAsia="Times New Roman" w:hAnsi="Times New Roman"/>
          <w:sz w:val="22"/>
          <w:szCs w:val="22"/>
        </w:rPr>
        <w:t xml:space="preserve">(a) the exclusivity of EBIL in the Territory under Clause 2.2 of the Master Agreement shall stand automatically and irrevocably lapsed and extinguished;</w:t>
      </w:r>
    </w:p>
    <w:p>
      <w:pPr>
        <w:spacing w:after="80" w:before="80" w:line="300"/>
        <w:ind w:left="1440" w:hanging="720"/>
        <w:jc w:val="both"/>
      </w:pPr>
      <w:r>
        <w:rPr>
          <w:rFonts w:ascii="Times New Roman" w:cs="Times New Roman" w:eastAsia="Times New Roman" w:hAnsi="Times New Roman"/>
          <w:sz w:val="22"/>
          <w:szCs w:val="22"/>
        </w:rPr>
        <w:t xml:space="preserve">7.2.3	</w:t>
      </w:r>
      <w:r>
        <w:rPr>
          <w:rFonts w:ascii="Times New Roman" w:cs="Times New Roman" w:eastAsia="Times New Roman" w:hAnsi="Times New Roman"/>
          <w:sz w:val="22"/>
          <w:szCs w:val="22"/>
        </w:rPr>
        <w:t xml:space="preserve">(b) the Master Agreement shall, at Climatenza’s election exercised by written notice delivered within thirty (30) Business Days of the Lapse Date, either (i) stand terminated in its entirety, or (ii) continue in force on a non-exclusive basis, with such modifications as are necessary to reflect the non-exclusive character of EBIL’s rights in the Territory;</w:t>
      </w:r>
    </w:p>
    <w:p>
      <w:pPr>
        <w:spacing w:after="80" w:before="80" w:line="300"/>
        <w:ind w:left="1440" w:hanging="720"/>
        <w:jc w:val="both"/>
      </w:pPr>
      <w:r>
        <w:rPr>
          <w:rFonts w:ascii="Times New Roman" w:cs="Times New Roman" w:eastAsia="Times New Roman" w:hAnsi="Times New Roman"/>
          <w:sz w:val="22"/>
          <w:szCs w:val="22"/>
        </w:rPr>
        <w:t xml:space="preserve">7.2.4	</w:t>
      </w:r>
      <w:r>
        <w:rPr>
          <w:rFonts w:ascii="Times New Roman" w:cs="Times New Roman" w:eastAsia="Times New Roman" w:hAnsi="Times New Roman"/>
          <w:sz w:val="22"/>
          <w:szCs w:val="22"/>
        </w:rPr>
        <w:t xml:space="preserve">(c) any and all claims, entitlements or obligations of the Parties under the Tail Commission Clause of the Master Agreement, or under any other provision of the Master Agreement or the First Addendum providing for post-termination trailing commissions or similar entitlements, shall stand mutually and irrevocably waived and extinguished;</w:t>
      </w:r>
    </w:p>
    <w:p>
      <w:pPr>
        <w:spacing w:after="80" w:before="80" w:line="300"/>
        <w:ind w:left="1440" w:hanging="720"/>
        <w:jc w:val="both"/>
      </w:pPr>
      <w:r>
        <w:rPr>
          <w:rFonts w:ascii="Times New Roman" w:cs="Times New Roman" w:eastAsia="Times New Roman" w:hAnsi="Times New Roman"/>
          <w:sz w:val="22"/>
          <w:szCs w:val="22"/>
        </w:rPr>
        <w:t xml:space="preserve">7.2.5	</w:t>
      </w:r>
      <w:r>
        <w:rPr>
          <w:rFonts w:ascii="Times New Roman" w:cs="Times New Roman" w:eastAsia="Times New Roman" w:hAnsi="Times New Roman"/>
          <w:sz w:val="22"/>
          <w:szCs w:val="22"/>
        </w:rPr>
        <w:t xml:space="preserve">(d) each Party shall execute a mutual release, in a form to be mutually agreed, releasing and discharging the other Party from any and all claims, demands, liabilities, costs, damages and expenses of whatsoever nature arising out of or in connection with the Master Agreement, the First Addendum and this Addendum, save and except (i) claims arising from fraud or wilful misconduct, (ii) accrued and unpaid payment obligations, and (iii) confidentiality, intellectual property and dispute resolution obligations expressly stated to survive termination; and</w:t>
      </w:r>
    </w:p>
    <w:p>
      <w:pPr>
        <w:spacing w:after="80" w:before="80" w:line="300"/>
        <w:ind w:left="1440" w:hanging="720"/>
        <w:jc w:val="both"/>
      </w:pPr>
      <w:r>
        <w:rPr>
          <w:rFonts w:ascii="Times New Roman" w:cs="Times New Roman" w:eastAsia="Times New Roman" w:hAnsi="Times New Roman"/>
          <w:sz w:val="22"/>
          <w:szCs w:val="22"/>
        </w:rPr>
        <w:t xml:space="preserve">7.2.6	</w:t>
      </w:r>
      <w:r>
        <w:rPr>
          <w:rFonts w:ascii="Times New Roman" w:cs="Times New Roman" w:eastAsia="Times New Roman" w:hAnsi="Times New Roman"/>
          <w:sz w:val="22"/>
          <w:szCs w:val="22"/>
        </w:rPr>
        <w:t xml:space="preserve">(e) each Party shall thereafter be free, without restriction or reference to the other, to pursue the commercial development of the Territory independently, or in collaboration with any third party of its choosing.</w:t>
      </w:r>
    </w:p>
    <w:p>
      <w:pPr>
        <w:spacing w:after="120" w:before="120" w:line="300"/>
        <w:ind w:left="720" w:hanging="720"/>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The consequences set forth in Clause 7.2 are agreed by the Parties to be fair, reasonable and proportionate to the commercial realities of the Parties’ relationship as at the Effective Date, and shall not be construed as penal or punitive in nature, whether under the Indian Contract Act, 1872 or otherwise.</w:t>
      </w:r>
    </w:p>
    <w:p>
      <w:pPr>
        <w:pStyle w:val="Heading1"/>
        <w:spacing w:after="180" w:before="360"/>
      </w:pPr>
      <w:r>
        <w:rPr>
          <w:rFonts w:ascii="Times New Roman" w:cs="Times New Roman" w:eastAsia="Times New Roman" w:hAnsi="Times New Roman"/>
          <w:b/>
          <w:bCs/>
          <w:sz w:val="26"/>
          <w:szCs w:val="26"/>
        </w:rPr>
        <w:t xml:space="preserve">8. REPRESENTATIONS AND WARRANTIES</w:t>
      </w:r>
    </w:p>
    <w:p>
      <w:pPr>
        <w:spacing w:after="120" w:before="120" w:line="300"/>
        <w:ind w:left="720" w:hanging="720"/>
        <w:jc w:val="both"/>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Each Party hereby represents and warrants to the other Party, as on the Effective Date, that: (a) it is duly organised, validly existing and in good standing under the laws of its jurisdiction of incorporation; (b) it has full corporate power and authority to execute, deliver and perform its obligations under this Addendum; (c) the execution, delivery and performance of this Addendum have been duly authorised by all necessary corporate action; (d) this Addendum constitutes a legal, valid and binding obligation of such Party, enforceable against it in accordance with its terms; and (e) the execution of this Addendum does not and will not contravene any provision of its constitutional documents, any Applicable Law, or any material agreement to which it is a party.</w:t>
      </w:r>
    </w:p>
    <w:p>
      <w:pPr>
        <w:spacing w:after="120" w:before="120" w:line="300"/>
        <w:ind w:left="720" w:hanging="720"/>
        <w:jc w:val="both"/>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Each Party further represents and warrants that it shall perform its obligations under this Addendum in good faith, in compliance with all Applicable Laws (including without limitation anti-bribery and anti-corruption laws of India, Bangladesh and any other relevant jurisdiction), and with due regard for the legitimate commercial interests of the other Party.</w:t>
      </w:r>
    </w:p>
    <w:p>
      <w:pPr>
        <w:pStyle w:val="Heading1"/>
        <w:spacing w:after="180" w:before="360"/>
      </w:pPr>
      <w:r>
        <w:rPr>
          <w:rFonts w:ascii="Times New Roman" w:cs="Times New Roman" w:eastAsia="Times New Roman" w:hAnsi="Times New Roman"/>
          <w:b/>
          <w:bCs/>
          <w:sz w:val="26"/>
          <w:szCs w:val="26"/>
        </w:rPr>
        <w:t xml:space="preserve">9. CONFIDENTIALITY</w:t>
      </w:r>
    </w:p>
    <w:p>
      <w:pPr>
        <w:spacing w:after="120" w:before="120" w:line="300"/>
        <w:ind w:left="720" w:hanging="720"/>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The confidentiality obligations of the Parties set forth in the Master Agreement shall apply mutatis mutandis to this Addendum and to all information exchanged between the Parties pursuant hereto, and shall survive the expiry or termination of this Addendum and the Master Agreement.</w:t>
      </w:r>
    </w:p>
    <w:p>
      <w:pPr>
        <w:pStyle w:val="Heading1"/>
        <w:spacing w:after="180" w:before="360"/>
      </w:pPr>
      <w:r>
        <w:rPr>
          <w:rFonts w:ascii="Times New Roman" w:cs="Times New Roman" w:eastAsia="Times New Roman" w:hAnsi="Times New Roman"/>
          <w:b/>
          <w:bCs/>
          <w:sz w:val="26"/>
          <w:szCs w:val="26"/>
        </w:rPr>
        <w:t xml:space="preserve">10. GOVERNING LAW AND DISPUTE RESOLUTION</w:t>
      </w:r>
    </w:p>
    <w:p>
      <w:pPr>
        <w:spacing w:after="120" w:before="120" w:line="300"/>
        <w:ind w:left="720" w:hanging="720"/>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This Addendum, and all matters arising out of or in connection herewith (including without limitation its existence, validity, interpretation, performance, breach or termination, and any non-contractual obligations arising out of or in connection with this Addendum), shall be governed by, and construed in accordance with, the laws of the Republic of India, without reference to its conflict-of-laws principles.</w:t>
      </w:r>
    </w:p>
    <w:p>
      <w:pPr>
        <w:spacing w:after="120" w:before="120" w:line="300"/>
        <w:ind w:left="720" w:hanging="720"/>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Any dispute, controversy or claim arising out of or in connection with this Addendum (a “Dispute”) shall, in the first instance, be resolved amicably by senior management representatives of the Parties, who shall meet (whether in person or by video conference) within fifteen (15) Business Days of the delivery of a written notice of Dispute by one Party to the other.</w:t>
      </w:r>
    </w:p>
    <w:p>
      <w:pPr>
        <w:spacing w:after="120" w:before="120" w:line="300"/>
        <w:ind w:left="720" w:hanging="720"/>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Any Dispute which is not resolved amicably within thirty (30) Business Days of the delivery of the written notice of Dispute shall be finally resolved by arbitration administered in accordance with the Arbitration and Conciliation Act, 1996 of India. The arbitral tribunal shall consist of a sole arbitrator mutually appointed by the Parties, or failing such agreement within fifteen (15) Business Days, appointed in accordance with the aforesaid Act. The seat and venue of arbitration shall be New Delhi, India. The language of the arbitration shall be English. The award rendered by the arbitrator shall be final and binding on the Parties and may be enforced in any court of competent jurisdiction, including under the Arbitration and Conciliation Act, 1996 of India and the New York Convention, 1958.</w:t>
      </w:r>
    </w:p>
    <w:p>
      <w:pPr>
        <w:spacing w:after="120" w:before="120" w:line="300"/>
        <w:ind w:left="720" w:hanging="720"/>
        <w:jc w:val="both"/>
      </w:pPr>
      <w:r>
        <w:rPr>
          <w:rFonts w:ascii="Times New Roman" w:cs="Times New Roman" w:eastAsia="Times New Roman" w:hAnsi="Times New Roman"/>
          <w:b/>
          <w:bCs/>
          <w:sz w:val="22"/>
          <w:szCs w:val="22"/>
        </w:rPr>
        <w:t xml:space="preserve">10.4	</w:t>
      </w:r>
      <w:r>
        <w:rPr>
          <w:rFonts w:ascii="Times New Roman" w:cs="Times New Roman" w:eastAsia="Times New Roman" w:hAnsi="Times New Roman"/>
          <w:sz w:val="22"/>
          <w:szCs w:val="22"/>
        </w:rPr>
        <w:t xml:space="preserve">Subject to Clause 10.3, the courts at New Delhi, India shall have exclusive jurisdiction over any matter arising out of or in connection with this Addendum that is not subject to arbitration, including applications for interim relief.</w:t>
      </w:r>
    </w:p>
    <w:p>
      <w:pPr>
        <w:pStyle w:val="Heading1"/>
        <w:spacing w:after="180" w:before="360"/>
      </w:pPr>
      <w:r>
        <w:rPr>
          <w:rFonts w:ascii="Times New Roman" w:cs="Times New Roman" w:eastAsia="Times New Roman" w:hAnsi="Times New Roman"/>
          <w:b/>
          <w:bCs/>
          <w:sz w:val="26"/>
          <w:szCs w:val="26"/>
        </w:rPr>
        <w:t xml:space="preserve">11. NOTICES</w:t>
      </w:r>
    </w:p>
    <w:p>
      <w:pPr>
        <w:spacing w:after="120" w:before="120" w:line="300"/>
        <w:ind w:left="720" w:hanging="720"/>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Any notice or other communication given under this Addendum shall be in writing in the English language and shall be deemed to have been duly given if delivered by hand, by internationally recognised courier, or by electronic mail with confirmation of receipt, to the addresses set forth below (or to such other address as a Party may designate by written notice):</w:t>
      </w:r>
    </w:p>
    <w:p>
      <w:pPr>
        <w:spacing w:after="120" w:before="120" w:line="300"/>
        <w:jc w:val="both"/>
      </w:pPr>
      <w:r>
        <w:rPr>
          <w:rFonts w:ascii="Times New Roman" w:cs="Times New Roman" w:eastAsia="Times New Roman" w:hAnsi="Times New Roman"/>
          <w:b/>
          <w:bCs/>
          <w:sz w:val="22"/>
          <w:szCs w:val="22"/>
        </w:rPr>
        <w:t xml:space="preserve">If to Climatenza:</w:t>
      </w:r>
    </w:p>
    <w:p>
      <w:pPr>
        <w:spacing w:after="120" w:before="120" w:line="300"/>
        <w:jc w:val="both"/>
      </w:pPr>
      <w:r>
        <w:rPr>
          <w:rFonts w:ascii="Times New Roman" w:cs="Times New Roman" w:eastAsia="Times New Roman" w:hAnsi="Times New Roman"/>
          <w:sz w:val="22"/>
          <w:szCs w:val="22"/>
        </w:rPr>
        <w:t xml:space="preserve">Climatenza Solar Private Limited</w:t>
      </w:r>
    </w:p>
    <w:p>
      <w:pPr>
        <w:spacing w:after="120" w:before="120" w:line="300"/>
        <w:jc w:val="both"/>
      </w:pPr>
      <w:r>
        <w:rPr>
          <w:rFonts w:ascii="Times New Roman" w:cs="Times New Roman" w:eastAsia="Times New Roman" w:hAnsi="Times New Roman"/>
          <w:sz w:val="22"/>
          <w:szCs w:val="22"/>
        </w:rPr>
        <w:t xml:space="preserve">11 Hargobind Enclave, Karkardooma, Delhi – 110092, India</w:t>
      </w:r>
    </w:p>
    <w:p>
      <w:pPr>
        <w:spacing w:after="120" w:before="120" w:line="300"/>
        <w:jc w:val="both"/>
      </w:pPr>
      <w:r>
        <w:rPr>
          <w:rFonts w:ascii="Times New Roman" w:cs="Times New Roman" w:eastAsia="Times New Roman" w:hAnsi="Times New Roman"/>
          <w:sz w:val="22"/>
          <w:szCs w:val="22"/>
        </w:rPr>
        <w:t xml:space="preserve">Attention: Mr. Akshay Makar, Founder and Chief Executive Officer</w:t>
      </w:r>
    </w:p>
    <w:p>
      <w:pPr>
        <w:spacing w:after="120" w:before="120" w:line="300"/>
        <w:jc w:val="both"/>
      </w:pPr>
      <w:r>
        <w:rPr>
          <w:rFonts w:ascii="Times New Roman" w:cs="Times New Roman" w:eastAsia="Times New Roman" w:hAnsi="Times New Roman"/>
          <w:sz w:val="22"/>
          <w:szCs w:val="22"/>
        </w:rPr>
        <w:t xml:space="preserve">Email: contact@climatenza.in</w:t>
      </w:r>
    </w:p>
    <w:p>
      <w:pPr>
        <w:spacing w:after="120" w:before="120" w:line="300"/>
        <w:jc w:val="both"/>
      </w:pPr>
      <w:r>
        <w:rPr>
          <w:rFonts w:ascii="Times New Roman" w:cs="Times New Roman" w:eastAsia="Times New Roman" w:hAnsi="Times New Roman"/>
          <w:b/>
          <w:bCs/>
          <w:sz w:val="22"/>
          <w:szCs w:val="22"/>
        </w:rPr>
        <w:t xml:space="preserve">If to EBIL:</w:t>
      </w:r>
    </w:p>
    <w:p>
      <w:pPr>
        <w:spacing w:after="120" w:before="120" w:line="300"/>
        <w:jc w:val="both"/>
      </w:pPr>
      <w:r>
        <w:rPr>
          <w:rFonts w:ascii="Times New Roman" w:cs="Times New Roman" w:eastAsia="Times New Roman" w:hAnsi="Times New Roman"/>
          <w:sz w:val="22"/>
          <w:szCs w:val="22"/>
        </w:rPr>
        <w:t xml:space="preserve">Eco-Business Initiatives Limited</w:t>
      </w:r>
    </w:p>
    <w:p>
      <w:pPr>
        <w:spacing w:after="120" w:before="120" w:line="300"/>
        <w:jc w:val="both"/>
      </w:pPr>
      <w:r>
        <w:rPr>
          <w:rFonts w:ascii="Times New Roman" w:cs="Times New Roman" w:eastAsia="Times New Roman" w:hAnsi="Times New Roman"/>
          <w:sz w:val="22"/>
          <w:szCs w:val="22"/>
        </w:rPr>
        <w:t xml:space="preserve">Bashar Square (2nd Floor), 108 Agrabad C/A, Chittagong, Bangladesh</w:t>
      </w:r>
    </w:p>
    <w:p>
      <w:pPr>
        <w:spacing w:after="120" w:before="120" w:line="300"/>
        <w:jc w:val="both"/>
      </w:pPr>
      <w:r>
        <w:rPr>
          <w:rFonts w:ascii="Times New Roman" w:cs="Times New Roman" w:eastAsia="Times New Roman" w:hAnsi="Times New Roman"/>
          <w:sz w:val="22"/>
          <w:szCs w:val="22"/>
        </w:rPr>
        <w:t xml:space="preserve">Attention: Mr. Istiaque Doza, Founder and Managing Director</w:t>
      </w:r>
    </w:p>
    <w:p>
      <w:pPr>
        <w:spacing w:after="120" w:before="120" w:line="300"/>
        <w:jc w:val="both"/>
      </w:pPr>
      <w:r>
        <w:rPr>
          <w:rFonts w:ascii="Times New Roman" w:cs="Times New Roman" w:eastAsia="Times New Roman" w:hAnsi="Times New Roman"/>
          <w:sz w:val="22"/>
          <w:szCs w:val="22"/>
        </w:rPr>
        <w:t xml:space="preserve">Email: idoza@ebi.ltd</w:t>
      </w:r>
    </w:p>
    <w:p>
      <w:pPr>
        <w:pStyle w:val="Heading1"/>
        <w:spacing w:after="180" w:before="360"/>
      </w:pPr>
      <w:r>
        <w:rPr>
          <w:rFonts w:ascii="Times New Roman" w:cs="Times New Roman" w:eastAsia="Times New Roman" w:hAnsi="Times New Roman"/>
          <w:b/>
          <w:bCs/>
          <w:sz w:val="26"/>
          <w:szCs w:val="26"/>
        </w:rPr>
        <w:t xml:space="preserve">12. MISCELLANEOUS</w:t>
      </w:r>
    </w:p>
    <w:p>
      <w:pPr>
        <w:spacing w:after="120" w:before="120" w:line="300"/>
        <w:ind w:left="720" w:hanging="720"/>
        <w:jc w:val="both"/>
      </w:pPr>
      <w:r>
        <w:rPr>
          <w:rFonts w:ascii="Times New Roman" w:cs="Times New Roman" w:eastAsia="Times New Roman" w:hAnsi="Times New Roman"/>
          <w:b/>
          <w:bCs/>
          <w:sz w:val="22"/>
          <w:szCs w:val="22"/>
        </w:rPr>
        <w:t xml:space="preserve">12.1	</w:t>
      </w:r>
      <w:r>
        <w:rPr>
          <w:rFonts w:ascii="Times New Roman" w:cs="Times New Roman" w:eastAsia="Times New Roman" w:hAnsi="Times New Roman"/>
          <w:sz w:val="22"/>
          <w:szCs w:val="22"/>
        </w:rPr>
        <w:t xml:space="preserve">Relationship with Master Agreement. This Addendum shall be read in conjunction with and as a supplement to the Master Agreement and the First Addendum. Save and except as expressly modified, varied or supplemented by this Addendum, all provisions of the Master Agreement and the First Addendum shall continue in full force and effect. In the event of any inconsistency between the provisions of this Addendum and the Master Agreement or the First Addendum, the provisions of this Addendum shall prevail to the extent of such inconsistency.</w:t>
      </w:r>
    </w:p>
    <w:p>
      <w:pPr>
        <w:spacing w:after="120" w:before="120" w:line="300"/>
        <w:ind w:left="720" w:hanging="720"/>
        <w:jc w:val="both"/>
      </w:pPr>
      <w:r>
        <w:rPr>
          <w:rFonts w:ascii="Times New Roman" w:cs="Times New Roman" w:eastAsia="Times New Roman" w:hAnsi="Times New Roman"/>
          <w:b/>
          <w:bCs/>
          <w:sz w:val="22"/>
          <w:szCs w:val="22"/>
        </w:rPr>
        <w:t xml:space="preserve">12.2	</w:t>
      </w:r>
      <w:r>
        <w:rPr>
          <w:rFonts w:ascii="Times New Roman" w:cs="Times New Roman" w:eastAsia="Times New Roman" w:hAnsi="Times New Roman"/>
          <w:sz w:val="22"/>
          <w:szCs w:val="22"/>
        </w:rPr>
        <w:t xml:space="preserve">Entire Agreement. The Master Agreement, the First Addendum and this Addendum (together with all Schedules hereto and the Tripartite Agreement, once executed) constitute the entire understanding and agreement between the Parties in respect of the subject matter hereof, and supersede all prior oral or written negotiations, understandings, representations and communications relating thereto.</w:t>
      </w:r>
    </w:p>
    <w:p>
      <w:pPr>
        <w:spacing w:after="120" w:before="120" w:line="300"/>
        <w:ind w:left="720" w:hanging="720"/>
        <w:jc w:val="both"/>
      </w:pPr>
      <w:r>
        <w:rPr>
          <w:rFonts w:ascii="Times New Roman" w:cs="Times New Roman" w:eastAsia="Times New Roman" w:hAnsi="Times New Roman"/>
          <w:b/>
          <w:bCs/>
          <w:sz w:val="22"/>
          <w:szCs w:val="22"/>
        </w:rPr>
        <w:t xml:space="preserve">12.3	</w:t>
      </w:r>
      <w:r>
        <w:rPr>
          <w:rFonts w:ascii="Times New Roman" w:cs="Times New Roman" w:eastAsia="Times New Roman" w:hAnsi="Times New Roman"/>
          <w:sz w:val="22"/>
          <w:szCs w:val="22"/>
        </w:rPr>
        <w:t xml:space="preserve">Amendment. No amendment, modification or variation of this Addendum shall be effective unless made in writing and duly signed by the authorised representatives of both Parties.</w:t>
      </w:r>
    </w:p>
    <w:p>
      <w:pPr>
        <w:spacing w:after="120" w:before="120" w:line="300"/>
        <w:ind w:left="720" w:hanging="720"/>
        <w:jc w:val="both"/>
      </w:pPr>
      <w:r>
        <w:rPr>
          <w:rFonts w:ascii="Times New Roman" w:cs="Times New Roman" w:eastAsia="Times New Roman" w:hAnsi="Times New Roman"/>
          <w:b/>
          <w:bCs/>
          <w:sz w:val="22"/>
          <w:szCs w:val="22"/>
        </w:rPr>
        <w:t xml:space="preserve">12.4	</w:t>
      </w:r>
      <w:r>
        <w:rPr>
          <w:rFonts w:ascii="Times New Roman" w:cs="Times New Roman" w:eastAsia="Times New Roman" w:hAnsi="Times New Roman"/>
          <w:sz w:val="22"/>
          <w:szCs w:val="22"/>
        </w:rPr>
        <w:t xml:space="preserve">Waiver. No failure or delay by a Party in exercising any right, power or privilege under this Addendum shall operate as a waiver thereof, nor shall any single or partial exercise thereof preclude any other or further exercise of such right, power or privilege.</w:t>
      </w:r>
    </w:p>
    <w:p>
      <w:pPr>
        <w:spacing w:after="120" w:before="120" w:line="300"/>
        <w:ind w:left="720" w:hanging="720"/>
        <w:jc w:val="both"/>
      </w:pPr>
      <w:r>
        <w:rPr>
          <w:rFonts w:ascii="Times New Roman" w:cs="Times New Roman" w:eastAsia="Times New Roman" w:hAnsi="Times New Roman"/>
          <w:b/>
          <w:bCs/>
          <w:sz w:val="22"/>
          <w:szCs w:val="22"/>
        </w:rPr>
        <w:t xml:space="preserve">12.5	</w:t>
      </w:r>
      <w:r>
        <w:rPr>
          <w:rFonts w:ascii="Times New Roman" w:cs="Times New Roman" w:eastAsia="Times New Roman" w:hAnsi="Times New Roman"/>
          <w:sz w:val="22"/>
          <w:szCs w:val="22"/>
        </w:rPr>
        <w:t xml:space="preserve">Assignment. Neither Party shall assign, transfer or novate any of its rights or obligations under this Addendum without the prior written consent of the other Party, such consent not to be unreasonably withheld or delayed.</w:t>
      </w:r>
    </w:p>
    <w:p>
      <w:pPr>
        <w:spacing w:after="120" w:before="120" w:line="300"/>
        <w:ind w:left="720" w:hanging="720"/>
        <w:jc w:val="both"/>
      </w:pPr>
      <w:r>
        <w:rPr>
          <w:rFonts w:ascii="Times New Roman" w:cs="Times New Roman" w:eastAsia="Times New Roman" w:hAnsi="Times New Roman"/>
          <w:b/>
          <w:bCs/>
          <w:sz w:val="22"/>
          <w:szCs w:val="22"/>
        </w:rPr>
        <w:t xml:space="preserve">12.6	</w:t>
      </w:r>
      <w:r>
        <w:rPr>
          <w:rFonts w:ascii="Times New Roman" w:cs="Times New Roman" w:eastAsia="Times New Roman" w:hAnsi="Times New Roman"/>
          <w:sz w:val="22"/>
          <w:szCs w:val="22"/>
        </w:rPr>
        <w:t xml:space="preserve">Severability. If any provision of this Addendum is held to be invalid, illegal or unenforceable under any Applicable Law, the validity, legality and enforceability of the remaining provisions shall not in any way be affected or impaired thereby, and the Parties shall endeavour, in good faith, to replace any such invalid or unenforceable provision with a valid and enforceable provision that achieves, to the maximum extent possible, the original commercial intent of the Parties.</w:t>
      </w:r>
    </w:p>
    <w:p>
      <w:pPr>
        <w:spacing w:after="120" w:before="120" w:line="300"/>
        <w:ind w:left="720" w:hanging="720"/>
        <w:jc w:val="both"/>
      </w:pPr>
      <w:r>
        <w:rPr>
          <w:rFonts w:ascii="Times New Roman" w:cs="Times New Roman" w:eastAsia="Times New Roman" w:hAnsi="Times New Roman"/>
          <w:b/>
          <w:bCs/>
          <w:sz w:val="22"/>
          <w:szCs w:val="22"/>
        </w:rPr>
        <w:t xml:space="preserve">12.7	</w:t>
      </w:r>
      <w:r>
        <w:rPr>
          <w:rFonts w:ascii="Times New Roman" w:cs="Times New Roman" w:eastAsia="Times New Roman" w:hAnsi="Times New Roman"/>
          <w:sz w:val="22"/>
          <w:szCs w:val="22"/>
        </w:rPr>
        <w:t xml:space="preserve">Counterparts and Electronic Execution. This Addendum may be executed in any number of counterparts, each of which, when so executed and delivered, shall be an original, and all such counterparts shall together constitute one and the same instrument. The Parties expressly agree that this Addendum may be validly executed by electronic signature in accordance with Section 3 and Section 5 of the Information Technology Act, 2000 (India) and the Information and Communication Technology Act, 2006 (Bangladesh), and that such electronic execution shall have the same legal effect as a physical signature.</w:t>
      </w:r>
    </w:p>
    <w:p>
      <w:pPr>
        <w:spacing w:after="120" w:before="120" w:line="300"/>
        <w:ind w:left="720" w:hanging="720"/>
        <w:jc w:val="both"/>
      </w:pPr>
      <w:r>
        <w:rPr>
          <w:rFonts w:ascii="Times New Roman" w:cs="Times New Roman" w:eastAsia="Times New Roman" w:hAnsi="Times New Roman"/>
          <w:b/>
          <w:bCs/>
          <w:sz w:val="22"/>
          <w:szCs w:val="22"/>
        </w:rPr>
        <w:t xml:space="preserve">12.8	</w:t>
      </w:r>
      <w:r>
        <w:rPr>
          <w:rFonts w:ascii="Times New Roman" w:cs="Times New Roman" w:eastAsia="Times New Roman" w:hAnsi="Times New Roman"/>
          <w:sz w:val="22"/>
          <w:szCs w:val="22"/>
        </w:rPr>
        <w:t xml:space="preserve">Stamping. The Parties acknowledge that this Addendum shall be stamped in accordance with the provisions of the Indian Stamp Act, 1899 (as applicable in the State of Delhi) and the Stamp Act, 1899 (as applicable in Bangladesh), within the timelines prescribed thereunder. Each Party shall bear its own share of the applicable stamp duty, unless otherwise mutually agreed in writing.</w:t>
      </w:r>
    </w:p>
    <w:p>
      <w:pPr>
        <w:spacing w:after="120" w:before="120" w:line="300"/>
        <w:ind w:left="720" w:hanging="720"/>
        <w:jc w:val="both"/>
      </w:pPr>
      <w:r>
        <w:rPr>
          <w:rFonts w:ascii="Times New Roman" w:cs="Times New Roman" w:eastAsia="Times New Roman" w:hAnsi="Times New Roman"/>
          <w:b/>
          <w:bCs/>
          <w:sz w:val="22"/>
          <w:szCs w:val="22"/>
        </w:rPr>
        <w:t xml:space="preserve">12.9	</w:t>
      </w:r>
      <w:r>
        <w:rPr>
          <w:rFonts w:ascii="Times New Roman" w:cs="Times New Roman" w:eastAsia="Times New Roman" w:hAnsi="Times New Roman"/>
          <w:sz w:val="22"/>
          <w:szCs w:val="22"/>
        </w:rPr>
        <w:t xml:space="preserve">Further Assurances. Each Party shall, at its own cost, execute and deliver such further documents and instruments and take such further actions as may be reasonably necessary or appropriate to give full effect to the terms and intent of this Addendum.</w:t>
      </w:r>
    </w:p>
    <w:p>
      <w:pPr>
        <w:spacing w:after="120" w:before="120" w:line="300"/>
        <w:ind w:left="720" w:hanging="720"/>
        <w:jc w:val="both"/>
      </w:pPr>
      <w:r>
        <w:rPr>
          <w:rFonts w:ascii="Times New Roman" w:cs="Times New Roman" w:eastAsia="Times New Roman" w:hAnsi="Times New Roman"/>
          <w:b/>
          <w:bCs/>
          <w:sz w:val="22"/>
          <w:szCs w:val="22"/>
        </w:rPr>
        <w:t xml:space="preserve">12.10	</w:t>
      </w:r>
      <w:r>
        <w:rPr>
          <w:rFonts w:ascii="Times New Roman" w:cs="Times New Roman" w:eastAsia="Times New Roman" w:hAnsi="Times New Roman"/>
          <w:sz w:val="22"/>
          <w:szCs w:val="22"/>
        </w:rPr>
        <w:t xml:space="preserve">Survival. The provisions of Clauses 7 (Consequences), 9 (Confidentiality), 10 (Governing Law and Dispute Resolution), 11 (Notices) and this Clause 12 shall survive the expiry or termination of this Addendum.</w:t>
      </w:r>
    </w:p>
    <w:p>
      <w:pPr>
        <w:pStyle w:val="Heading1"/>
        <w:spacing w:after="180" w:before="360"/>
      </w:pPr>
      <w:r>
        <w:rPr>
          <w:rFonts w:ascii="Times New Roman" w:cs="Times New Roman" w:eastAsia="Times New Roman" w:hAnsi="Times New Roman"/>
          <w:b/>
          <w:bCs/>
          <w:sz w:val="26"/>
          <w:szCs w:val="26"/>
        </w:rPr>
        <w:t xml:space="preserve">IN WITNESS WHEREOF</w:t>
      </w:r>
    </w:p>
    <w:p>
      <w:pPr>
        <w:spacing w:after="120" w:before="120" w:line="300"/>
        <w:jc w:val="both"/>
      </w:pPr>
      <w:r>
        <w:rPr>
          <w:rFonts w:ascii="Times New Roman" w:cs="Times New Roman" w:eastAsia="Times New Roman" w:hAnsi="Times New Roman"/>
          <w:b/>
          <w:bCs/>
          <w:sz w:val="22"/>
          <w:szCs w:val="22"/>
        </w:rPr>
        <w:t xml:space="preserve">IN WITNESS WHEREOF, </w:t>
      </w:r>
      <w:r>
        <w:rPr>
          <w:rFonts w:ascii="Times New Roman" w:cs="Times New Roman" w:eastAsia="Times New Roman" w:hAnsi="Times New Roman"/>
          <w:sz w:val="22"/>
          <w:szCs w:val="22"/>
        </w:rPr>
        <w:t xml:space="preserve">the Parties have caused this Addendum to be executed by their respective duly authorised representatives on the day, month and year first hereinabove written.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For and on behalf of</w:t>
            </w:r>
          </w:p>
          <w:p>
            <w:r>
              <w:rPr>
                <w:rFonts w:ascii="Times New Roman" w:cs="Times New Roman" w:eastAsia="Times New Roman" w:hAnsi="Times New Roman"/>
                <w:b/>
                <w:bCs/>
                <w:sz w:val="22"/>
                <w:szCs w:val="22"/>
              </w:rPr>
              <w:t xml:space="preserve">CLIMATENZA SOLAR PRIVATE LIMITED</w:t>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________________________________</w:t>
            </w:r>
          </w:p>
          <w:p>
            <w:r>
              <w:rPr>
                <w:rFonts w:ascii="Times New Roman" w:cs="Times New Roman" w:eastAsia="Times New Roman" w:hAnsi="Times New Roman"/>
                <w:b w:val="false"/>
                <w:bCs w:val="false"/>
                <w:sz w:val="22"/>
                <w:szCs w:val="22"/>
              </w:rPr>
              <w:t xml:space="preserve">Name: Mr. Akshay Makar</w:t>
            </w:r>
          </w:p>
          <w:p>
            <w:r>
              <w:rPr>
                <w:rFonts w:ascii="Times New Roman" w:cs="Times New Roman" w:eastAsia="Times New Roman" w:hAnsi="Times New Roman"/>
                <w:b w:val="false"/>
                <w:bCs w:val="false"/>
                <w:sz w:val="22"/>
                <w:szCs w:val="22"/>
              </w:rPr>
              <w:t xml:space="preserve">Title: Founder and Chief Executive Officer</w:t>
            </w:r>
          </w:p>
          <w:p>
            <w:r>
              <w:rPr>
                <w:rFonts w:ascii="Times New Roman" w:cs="Times New Roman" w:eastAsia="Times New Roman" w:hAnsi="Times New Roman"/>
                <w:b w:val="false"/>
                <w:bCs w:val="false"/>
                <w:sz w:val="22"/>
                <w:szCs w:val="22"/>
              </w:rPr>
              <w:t xml:space="preserve">Date: _________________________</w:t>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Witness:</w:t>
            </w:r>
          </w:p>
          <w:p>
            <w:r>
              <w:rPr>
                <w:rFonts w:ascii="Times New Roman" w:cs="Times New Roman" w:eastAsia="Times New Roman" w:hAnsi="Times New Roman"/>
                <w:b w:val="false"/>
                <w:bCs w:val="false"/>
                <w:sz w:val="22"/>
                <w:szCs w:val="22"/>
              </w:rPr>
              <w:t xml:space="preserve">Name: _________________________</w:t>
            </w:r>
          </w:p>
          <w:p>
            <w:r>
              <w:rPr>
                <w:rFonts w:ascii="Times New Roman" w:cs="Times New Roman" w:eastAsia="Times New Roman" w:hAnsi="Times New Roman"/>
                <w:b w:val="false"/>
                <w:bCs w:val="false"/>
                <w:sz w:val="22"/>
                <w:szCs w:val="22"/>
              </w:rPr>
              <w:t xml:space="preserve">Signature: _____________________</w:t>
            </w:r>
          </w:p>
          <w:p>
            <w:r>
              <w:rPr>
                <w:rFonts w:ascii="Times New Roman" w:cs="Times New Roman" w:eastAsia="Times New Roman" w:hAnsi="Times New Roman"/>
                <w:b w:val="false"/>
                <w:bCs w:val="false"/>
                <w:sz w:val="22"/>
                <w:szCs w:val="22"/>
              </w:rPr>
              <w:t xml:space="preserve">Address: _______________________</w:t>
            </w:r>
          </w:p>
        </w:tc>
        <w:tc>
          <w:tcPr>
            <w:tcW w:type="dxa" w:w="4680"/>
            <w:tcBorders>
              <w:top w:val="none"/>
              <w:left w:val="none"/>
              <w:bottom w:val="none"/>
              <w:right w:val="none"/>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For and on behalf of</w:t>
            </w:r>
          </w:p>
          <w:p>
            <w:r>
              <w:rPr>
                <w:rFonts w:ascii="Times New Roman" w:cs="Times New Roman" w:eastAsia="Times New Roman" w:hAnsi="Times New Roman"/>
                <w:b/>
                <w:bCs/>
                <w:sz w:val="22"/>
                <w:szCs w:val="22"/>
              </w:rPr>
              <w:t xml:space="preserve">ECO-BUSINESS INITIATIVES LIMITED</w:t>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________________________________</w:t>
            </w:r>
          </w:p>
          <w:p>
            <w:r>
              <w:rPr>
                <w:rFonts w:ascii="Times New Roman" w:cs="Times New Roman" w:eastAsia="Times New Roman" w:hAnsi="Times New Roman"/>
                <w:b w:val="false"/>
                <w:bCs w:val="false"/>
                <w:sz w:val="22"/>
                <w:szCs w:val="22"/>
              </w:rPr>
              <w:t xml:space="preserve">Name: Mr. Istiaque Doza</w:t>
            </w:r>
          </w:p>
          <w:p>
            <w:r>
              <w:rPr>
                <w:rFonts w:ascii="Times New Roman" w:cs="Times New Roman" w:eastAsia="Times New Roman" w:hAnsi="Times New Roman"/>
                <w:b w:val="false"/>
                <w:bCs w:val="false"/>
                <w:sz w:val="22"/>
                <w:szCs w:val="22"/>
              </w:rPr>
              <w:t xml:space="preserve">Title: Founder and Managing Director</w:t>
            </w:r>
          </w:p>
          <w:p>
            <w:r>
              <w:rPr>
                <w:rFonts w:ascii="Times New Roman" w:cs="Times New Roman" w:eastAsia="Times New Roman" w:hAnsi="Times New Roman"/>
                <w:b w:val="false"/>
                <w:bCs w:val="false"/>
                <w:sz w:val="22"/>
                <w:szCs w:val="22"/>
              </w:rPr>
              <w:t xml:space="preserve">Date: _________________________</w:t>
            </w:r>
          </w:p>
          <w:p>
            <w:r>
              <w:rPr>
                <w:rFonts w:ascii="Times New Roman" w:cs="Times New Roman" w:eastAsia="Times New Roman" w:hAnsi="Times New Roman"/>
                <w:b w:val="false"/>
                <w:bCs w:val="false"/>
                <w:sz w:val="22"/>
                <w:szCs w:val="22"/>
              </w:rPr>
              <w:t xml:space="preserve"/>
            </w:r>
          </w:p>
          <w:p>
            <w:r>
              <w:rPr>
                <w:rFonts w:ascii="Times New Roman" w:cs="Times New Roman" w:eastAsia="Times New Roman" w:hAnsi="Times New Roman"/>
                <w:b w:val="false"/>
                <w:bCs w:val="false"/>
                <w:sz w:val="22"/>
                <w:szCs w:val="22"/>
              </w:rPr>
              <w:t xml:space="preserve">Witness:</w:t>
            </w:r>
          </w:p>
          <w:p>
            <w:r>
              <w:rPr>
                <w:rFonts w:ascii="Times New Roman" w:cs="Times New Roman" w:eastAsia="Times New Roman" w:hAnsi="Times New Roman"/>
                <w:b w:val="false"/>
                <w:bCs w:val="false"/>
                <w:sz w:val="22"/>
                <w:szCs w:val="22"/>
              </w:rPr>
              <w:t xml:space="preserve">Name: _________________________</w:t>
            </w:r>
          </w:p>
          <w:p>
            <w:r>
              <w:rPr>
                <w:rFonts w:ascii="Times New Roman" w:cs="Times New Roman" w:eastAsia="Times New Roman" w:hAnsi="Times New Roman"/>
                <w:b w:val="false"/>
                <w:bCs w:val="false"/>
                <w:sz w:val="22"/>
                <w:szCs w:val="22"/>
              </w:rPr>
              <w:t xml:space="preserve">Signature: _____________________</w:t>
            </w:r>
          </w:p>
          <w:p>
            <w:r>
              <w:rPr>
                <w:rFonts w:ascii="Times New Roman" w:cs="Times New Roman" w:eastAsia="Times New Roman" w:hAnsi="Times New Roman"/>
                <w:b w:val="false"/>
                <w:bCs w:val="false"/>
                <w:sz w:val="22"/>
                <w:szCs w:val="22"/>
              </w:rPr>
              <w:t xml:space="preserve">Address: _______________________</w:t>
            </w:r>
          </w:p>
        </w:tc>
      </w:tr>
    </w:tbl>
    <w:p>
      <w:r>
        <w:br w:type="page"/>
      </w:r>
    </w:p>
    <w:p>
      <w:pPr>
        <w:pStyle w:val="Heading1"/>
        <w:spacing w:after="180" w:before="360"/>
      </w:pPr>
      <w:r>
        <w:rPr>
          <w:rFonts w:ascii="Times New Roman" w:cs="Times New Roman" w:eastAsia="Times New Roman" w:hAnsi="Times New Roman"/>
          <w:b/>
          <w:bCs/>
          <w:sz w:val="26"/>
          <w:szCs w:val="26"/>
        </w:rPr>
        <w:t xml:space="preserve">SCHEDULE I</w:t>
      </w:r>
    </w:p>
    <w:p>
      <w:pPr>
        <w:spacing w:after="240" w:before="60"/>
        <w:jc w:val="center"/>
      </w:pPr>
      <w:r>
        <w:rPr>
          <w:rFonts w:ascii="Times New Roman" w:cs="Times New Roman" w:eastAsia="Times New Roman" w:hAnsi="Times New Roman"/>
          <w:b/>
          <w:bCs/>
          <w:sz w:val="24"/>
          <w:szCs w:val="24"/>
        </w:rPr>
        <w:t xml:space="preserve">QUALIFYING CUSTOMER CONTRACT CRITERIA</w:t>
      </w:r>
    </w:p>
    <w:p>
      <w:pPr>
        <w:spacing w:after="120" w:before="120" w:line="300"/>
        <w:jc w:val="both"/>
      </w:pPr>
      <w:r>
        <w:rPr>
          <w:rFonts w:ascii="Times New Roman" w:cs="Times New Roman" w:eastAsia="Times New Roman" w:hAnsi="Times New Roman"/>
          <w:sz w:val="22"/>
          <w:szCs w:val="22"/>
        </w:rPr>
        <w:t xml:space="preserve">A Qualifying Customer Contract, for the purposes of Clause 3 of this Addendum, shall be a written commercial contract which cumulatively satisfies each of the following criteria, as evidenced by documentation reasonably satisfactory to Climatenza: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600"/>
        <w:gridCol w:w="5720"/>
      </w:tblGrid>
      <w:tr>
        <w:trPr>
          <w:tblHeader/>
        </w:trPr>
        <w:tc>
          <w:tcPr>
            <w:tcW w:type="dxa" w:w="104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 No.</w:t>
            </w:r>
          </w:p>
        </w:tc>
        <w:tc>
          <w:tcPr>
            <w:tcW w:type="dxa" w:w="260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Criterion</w:t>
            </w:r>
          </w:p>
        </w:tc>
        <w:tc>
          <w:tcPr>
            <w:tcW w:type="dxa" w:w="572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Specification</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1</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Nature of Contract</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 binding written commercial agreement for the supply of Climatenza's proprietary solar collectors and/or EMP scope, and/or an EPC contract incorporating the same, duly executed by each party thereto.</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2</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Counterparty</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 bona fide industrial end-client located in the Territory that is not an Affiliate of EBIL, SPL, or of the respective promoters, directors, shareholders or key managerial personnel of EBIL or SPL.</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3</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Minimum Contract Value</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Total contract value of not less than USD [●] (United States Dollars [●]). [TO BE CONFIRMED BY THE PARTIES]</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4</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Purchase Order</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 duly issued and executed Purchase Order in favour of Climatenza, referencing the relevant contract and setting forth scope, delivery timelines and payment terms.</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5</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Advance Payment</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Receipt into Climatenza's nominated bank account, in clear and unencumbered funds, of a non-refundable advance payment of not less than twenty per cent (20%) of the total contract value.</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6</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Compliance Certificate</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 written compliance certificate from EBIL, countersigned (where applicable) by SPL, certifying that the contract has been secured in compliance with all Applicable Laws, including without limitation anti-bribery and anti-corruption laws.</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7</w:t>
            </w:r>
          </w:p>
        </w:tc>
        <w:tc>
          <w:tcPr>
            <w:tcW w:type="dxa" w:w="26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Timing</w:t>
            </w:r>
          </w:p>
        </w:tc>
        <w:tc>
          <w:tcPr>
            <w:tcW w:type="dxa" w:w="57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All of the above criteria to be satisfied within the Performance Period.</w:t>
            </w:r>
          </w:p>
        </w:tc>
      </w:tr>
    </w:tbl>
    <w:p>
      <w:r>
        <w:br w:type="page"/>
      </w:r>
    </w:p>
    <w:p>
      <w:pPr>
        <w:pStyle w:val="Heading1"/>
        <w:spacing w:after="180" w:before="360"/>
      </w:pPr>
      <w:r>
        <w:rPr>
          <w:rFonts w:ascii="Times New Roman" w:cs="Times New Roman" w:eastAsia="Times New Roman" w:hAnsi="Times New Roman"/>
          <w:b/>
          <w:bCs/>
          <w:sz w:val="26"/>
          <w:szCs w:val="26"/>
        </w:rPr>
        <w:t xml:space="preserve">SCHEDULE II</w:t>
      </w:r>
    </w:p>
    <w:p>
      <w:pPr>
        <w:spacing w:after="240" w:before="60"/>
        <w:jc w:val="center"/>
      </w:pPr>
      <w:r>
        <w:rPr>
          <w:rFonts w:ascii="Times New Roman" w:cs="Times New Roman" w:eastAsia="Times New Roman" w:hAnsi="Times New Roman"/>
          <w:b/>
          <w:bCs/>
          <w:sz w:val="24"/>
          <w:szCs w:val="24"/>
        </w:rPr>
        <w:t xml:space="preserve">CLIMATENZA SUPPORT OBLIGATIONS SCHEDULE</w:t>
      </w:r>
    </w:p>
    <w:p>
      <w:pPr>
        <w:spacing w:after="120" w:before="120" w:line="300"/>
        <w:jc w:val="both"/>
      </w:pPr>
      <w:r>
        <w:rPr>
          <w:rFonts w:ascii="Times New Roman" w:cs="Times New Roman" w:eastAsia="Times New Roman" w:hAnsi="Times New Roman"/>
          <w:sz w:val="22"/>
          <w:szCs w:val="22"/>
        </w:rPr>
        <w:t xml:space="preserve">During the Performance Period, Climatenza shall deliver, at its own cost and expense, the following support obligations to EBIL (and, where applicable, to SPL in its capacity as EBIL's subcontractor):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4000"/>
        <w:gridCol w:w="4320"/>
      </w:tblGrid>
      <w:tr>
        <w:trPr>
          <w:tblHeader/>
        </w:trPr>
        <w:tc>
          <w:tcPr>
            <w:tcW w:type="dxa" w:w="104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 No.</w:t>
            </w:r>
          </w:p>
        </w:tc>
        <w:tc>
          <w:tcPr>
            <w:tcW w:type="dxa" w:w="400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Support Obligation</w:t>
            </w:r>
          </w:p>
        </w:tc>
        <w:tc>
          <w:tcPr>
            <w:tcW w:type="dxa" w:w="4320"/>
            <w:tcBorders>
              <w:top w:val="single" w:color="808080" w:sz="4"/>
              <w:left w:val="single" w:color="808080" w:sz="4"/>
              <w:bottom w:val="single" w:color="808080" w:sz="4"/>
              <w:right w:val="single" w:color="808080" w:sz="4"/>
            </w:tcBorders>
            <w:shd w:fill="D5E8F0"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Service Level / Timeline</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1</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Delivery of Marketing and Technical Collateral</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Within thirty (30) calendar days of the Effective Date. To include updated product brochures, technical specification sheets, case studies, and a Bangladesh-specific value-proposition deck.</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2</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Engineer-to-Engineer Knowledge Transfer Sessions</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Minimum two (2) structured sessions within the first ninety (90) calendar days of the Performance Period. Each session shall be of not less than three (3) hours duration and shall be attended by at least one (1) senior engineer from Climatenza.</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3</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Engineering Support Hours</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Minimum forty (40) engineering support hours per calendar quarter (pro-rated for any partial quarter), to be used for design reviews, performance modelling, technical clarifications and client-facing presentations.</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4</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Preliminary Budgetary Quotations</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Within ten (10) Business Days of receipt of a complete technical brief from EBIL.</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5</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Technical Due-Diligence Responses</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Within seven (7) Business Days of receipt of a written questionnaire from a prospective client, via EBIL.</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6</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Remote Participation in Client Meetings</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Subject to reasonable notice of not less than five (5) Business Days. Climatenza shall make available a senior engineer and/or the Chief Executive Officer, as appropriate, for remote participation.</w:t>
            </w:r>
          </w:p>
        </w:tc>
      </w:tr>
      <w:tr>
        <w:tc>
          <w:tcPr>
            <w:tcW w:type="dxa" w:w="104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7</w:t>
            </w:r>
          </w:p>
        </w:tc>
        <w:tc>
          <w:tcPr>
            <w:tcW w:type="dxa" w:w="400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b/>
                <w:bCs/>
                <w:sz w:val="22"/>
                <w:szCs w:val="22"/>
              </w:rPr>
              <w:t xml:space="preserve">Quarterly Review Call</w:t>
            </w:r>
          </w:p>
        </w:tc>
        <w:tc>
          <w:tcPr>
            <w:tcW w:type="dxa" w:w="4320"/>
            <w:tcBorders>
              <w:top w:val="single" w:color="808080" w:sz="4"/>
              <w:left w:val="single" w:color="808080" w:sz="4"/>
              <w:bottom w:val="single" w:color="808080" w:sz="4"/>
              <w:right w:val="single" w:color="808080" w:sz="4"/>
            </w:tcBorders>
            <w:tcMar>
              <w:top w:type="dxa" w:w="100"/>
              <w:left w:type="dxa" w:w="120"/>
              <w:bottom w:type="dxa" w:w="100"/>
              <w:right w:type="dxa" w:w="120"/>
            </w:tcMar>
          </w:tcPr>
          <w:p>
            <w:r>
              <w:rPr>
                <w:rFonts w:ascii="Times New Roman" w:cs="Times New Roman" w:eastAsia="Times New Roman" w:hAnsi="Times New Roman"/>
                <w:sz w:val="22"/>
                <w:szCs w:val="22"/>
              </w:rPr>
              <w:t xml:space="preserve">One (1) quarterly review call between senior management of the Parties to review pipeline progress, obligations and any escalations.</w:t>
            </w:r>
          </w:p>
        </w:tc>
      </w:tr>
    </w:tbl>
    <w:p>
      <w:r>
        <w:br w:type="page"/>
      </w:r>
    </w:p>
    <w:p>
      <w:pPr>
        <w:pStyle w:val="Heading1"/>
        <w:spacing w:after="180" w:before="360"/>
      </w:pPr>
      <w:r>
        <w:rPr>
          <w:rFonts w:ascii="Times New Roman" w:cs="Times New Roman" w:eastAsia="Times New Roman" w:hAnsi="Times New Roman"/>
          <w:b/>
          <w:bCs/>
          <w:sz w:val="26"/>
          <w:szCs w:val="26"/>
        </w:rPr>
        <w:t xml:space="preserve">SCHEDULE III</w:t>
      </w:r>
    </w:p>
    <w:p>
      <w:pPr>
        <w:spacing w:after="240" w:before="60"/>
        <w:jc w:val="center"/>
      </w:pPr>
      <w:r>
        <w:rPr>
          <w:rFonts w:ascii="Times New Roman" w:cs="Times New Roman" w:eastAsia="Times New Roman" w:hAnsi="Times New Roman"/>
          <w:b/>
          <w:bCs/>
          <w:sz w:val="24"/>
          <w:szCs w:val="24"/>
        </w:rPr>
        <w:t xml:space="preserve">OPEN COMMERCIAL POINTS FOR COUNSEL REVIEW</w:t>
      </w:r>
    </w:p>
    <w:p>
      <w:pPr>
        <w:spacing w:after="120" w:before="120" w:line="300"/>
        <w:jc w:val="both"/>
      </w:pPr>
      <w:r>
        <w:rPr>
          <w:rFonts w:ascii="Times New Roman" w:cs="Times New Roman" w:eastAsia="Times New Roman" w:hAnsi="Times New Roman"/>
          <w:i/>
          <w:iCs/>
          <w:sz w:val="22"/>
          <w:szCs w:val="22"/>
        </w:rPr>
        <w:t xml:space="preserve">The following commercial terms are marked as placeholders in the body of this Addendum and are to be confirmed between the Parties prior to execution, subject to legal review by counsel of each Party:</w:t>
      </w:r>
    </w:p>
    <w:p>
      <w:pPr>
        <w:spacing w:after="120" w:before="120" w:line="300"/>
        <w:jc w:val="both"/>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Minimum Contract Value for a Qualifying Customer Contract (Clause 3.2.3 and Schedule I, Criterion 3) — proposed: USD 250,000 to USD 500,000.</w:t>
      </w:r>
    </w:p>
    <w:p>
      <w:pPr>
        <w:spacing w:after="120" w:before="120" w:line="300"/>
        <w:jc w:val="both"/>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Advance Payment Percentage (Clause 3.2.5 and Schedule I, Criterion 5) — proposed: 20% of total contract value.</w:t>
      </w:r>
    </w:p>
    <w:p>
      <w:pPr>
        <w:spacing w:after="120" w:before="120" w:line="300"/>
        <w:jc w:val="both"/>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Exact date of the First Addendum, for the purposes of the Recitals — to be inserted from records of the Parties.</w:t>
      </w:r>
    </w:p>
    <w:p>
      <w:pPr>
        <w:spacing w:after="120" w:before="120" w:line="300"/>
        <w:jc w:val="both"/>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Precise reference to the Tail Commission Clause in the Master Agreement — to be cross-referenced against the executed Master Agreement dated 20 July 2019.</w:t>
      </w:r>
    </w:p>
    <w:p>
      <w:pPr>
        <w:spacing w:after="120" w:before="120" w:line="300"/>
        <w:jc w:val="both"/>
      </w:pPr>
      <w:r>
        <w:rPr>
          <w:rFonts w:ascii="Times New Roman" w:cs="Times New Roman" w:eastAsia="Times New Roman" w:hAnsi="Times New Roman"/>
          <w:b/>
          <w:bCs/>
          <w:sz w:val="22"/>
          <w:szCs w:val="22"/>
        </w:rPr>
        <w:t xml:space="preserve">(e) </w:t>
      </w:r>
      <w:r>
        <w:rPr>
          <w:rFonts w:ascii="Times New Roman" w:cs="Times New Roman" w:eastAsia="Times New Roman" w:hAnsi="Times New Roman"/>
          <w:sz w:val="22"/>
          <w:szCs w:val="22"/>
        </w:rPr>
        <w:t xml:space="preserve">Number of engineering support hours per quarter — proposed: 40 hours.</w:t>
      </w:r>
    </w:p>
    <w:p>
      <w:pPr>
        <w:spacing w:after="120" w:before="120" w:line="300"/>
        <w:jc w:val="both"/>
      </w:pPr>
      <w:r>
        <w:rPr>
          <w:rFonts w:ascii="Times New Roman" w:cs="Times New Roman" w:eastAsia="Times New Roman" w:hAnsi="Times New Roman"/>
          <w:b/>
          <w:bCs/>
          <w:sz w:val="22"/>
          <w:szCs w:val="22"/>
        </w:rPr>
        <w:t xml:space="preserve">(f) </w:t>
      </w:r>
      <w:r>
        <w:rPr>
          <w:rFonts w:ascii="Times New Roman" w:cs="Times New Roman" w:eastAsia="Times New Roman" w:hAnsi="Times New Roman"/>
          <w:sz w:val="22"/>
          <w:szCs w:val="22"/>
        </w:rPr>
        <w:t xml:space="preserve">Seat of arbitration — proposed: New Delhi, India. Singapore (under SIAC Rules) may be considered as a neutral alternative.</w:t>
      </w:r>
    </w:p>
    <w:p>
      <w:pPr>
        <w:spacing w:after="120" w:before="120" w:line="300"/>
        <w:jc w:val="both"/>
      </w:pPr>
      <w:r>
        <w:rPr>
          <w:rFonts w:ascii="Times New Roman" w:cs="Times New Roman" w:eastAsia="Times New Roman" w:hAnsi="Times New Roman"/>
          <w:b/>
          <w:bCs/>
          <w:sz w:val="22"/>
          <w:szCs w:val="22"/>
        </w:rPr>
        <w:t xml:space="preserve">(g) </w:t>
      </w:r>
      <w:r>
        <w:rPr>
          <w:rFonts w:ascii="Times New Roman" w:cs="Times New Roman" w:eastAsia="Times New Roman" w:hAnsi="Times New Roman"/>
          <w:sz w:val="22"/>
          <w:szCs w:val="22"/>
        </w:rPr>
        <w:t xml:space="preserve">Extent of SPL’s role as a consenting party or signatory — to be clarified in the Tripartite Agreement referenced in Clause 6.</w:t>
      </w:r>
    </w:p>
    <w:p>
      <w:pPr>
        <w:spacing w:after="120" w:before="120" w:line="300"/>
        <w:jc w:val="both"/>
      </w:pPr>
      <w:r>
        <w:rPr>
          <w:rFonts w:ascii="Times New Roman" w:cs="Times New Roman" w:eastAsia="Times New Roman" w:hAnsi="Times New Roman"/>
          <w:b/>
          <w:bCs/>
          <w:sz w:val="22"/>
          <w:szCs w:val="22"/>
        </w:rPr>
        <w:t xml:space="preserve">(h) </w:t>
      </w:r>
      <w:r>
        <w:rPr>
          <w:rFonts w:ascii="Times New Roman" w:cs="Times New Roman" w:eastAsia="Times New Roman" w:hAnsi="Times New Roman"/>
          <w:sz w:val="22"/>
          <w:szCs w:val="22"/>
        </w:rPr>
        <w:t xml:space="preserve">Stamp duty quantum applicable in the State of Delhi and in Bangladesh — to be computed and allocated.</w:t>
      </w:r>
    </w:p>
    <w:p>
      <w:r>
        <w:t xml:space="preserve"/>
      </w:r>
    </w:p>
    <w:p>
      <w:pPr>
        <w:spacing w:after="120" w:before="120" w:line="300"/>
        <w:jc w:val="both"/>
      </w:pPr>
      <w:r>
        <w:rPr>
          <w:rFonts w:ascii="Times New Roman" w:cs="Times New Roman" w:eastAsia="Times New Roman" w:hAnsi="Times New Roman"/>
          <w:i/>
          <w:iCs/>
          <w:sz w:val="22"/>
          <w:szCs w:val="22"/>
        </w:rPr>
        <w:t xml:space="preserve">This Addendum has been drafted in the standard form of Indian commercial contracts and is designed to be read alongside the Master Collaboration Agreement dated 20 July 2019. It is not a substitute for independent legal advice and shall not be executed without a final review by qualified counsel admitted to practice in India (and, where relevant, in Bangladesh).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Climatenza Solar Private Limited — Eco-Business Initiatives Limited  |  Page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 of </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Addendum No. 2 — Master Collaboration Agreement dated 20 July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No. 2 to Master Collaboration Agreement</dc:title>
  <dc:creator>Climatenza Solar Private Limited</dc:creator>
  <dc:description>Performance-linked conditional extension of exclusivity</dc:description>
  <cp:lastModifiedBy>Un-named</cp:lastModifiedBy>
  <cp:revision>1</cp:revision>
  <dcterms:created xsi:type="dcterms:W3CDTF">2026-04-23T11:28:34.108Z</dcterms:created>
  <dcterms:modified xsi:type="dcterms:W3CDTF">2026-04-23T11:28:34.109Z</dcterms:modified>
</cp:coreProperties>
</file>

<file path=docProps/custom.xml><?xml version="1.0" encoding="utf-8"?>
<Properties xmlns="http://schemas.openxmlformats.org/officeDocument/2006/custom-properties" xmlns:vt="http://schemas.openxmlformats.org/officeDocument/2006/docPropsVTypes"/>
</file>