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4E79"/>
          <w:sz w:val="52"/>
        </w:rPr>
        <w:t>GreenLang Climate OS</w:t>
      </w:r>
    </w:p>
    <w:p>
      <w:pPr>
        <w:jc w:val="center"/>
      </w:pPr>
      <w:r>
        <w:rPr>
          <w:b/>
          <w:color w:val="2E7D32"/>
          <w:sz w:val="36"/>
        </w:rPr>
        <w:t>Final Product Definition &amp; Version Roadmap</w:t>
      </w:r>
    </w:p>
    <w:p>
      <w:pPr>
        <w:jc w:val="center"/>
      </w:pPr>
      <w:r>
        <w:rPr>
          <w:b/>
          <w:sz w:val="24"/>
        </w:rPr>
        <w:t>FY27-FY31 | CTO Final Version | 36 Products | One Climate OS Substrate</w:t>
      </w:r>
    </w:p>
    <w:p>
      <w:pPr>
        <w:jc w:val="center"/>
      </w:pPr>
      <w:r>
        <w:rPr>
          <w:sz w:val="21"/>
        </w:rPr>
        <w:t>Prepared for Akshay Makar and the GreenLang founding team</w:t>
      </w:r>
    </w:p>
    <w:p>
      <w:pPr>
        <w:jc w:val="center"/>
      </w:pPr>
      <w:r>
        <w:rPr>
          <w:sz w:val="21"/>
        </w:rPr>
        <w:t>Finalized: 24 April 2026</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EAF4EA"/>
          </w:tcPr>
          <w:p>
            <w:pPr>
              <w:jc w:val="center"/>
            </w:pPr>
            <w:r>
              <w:rPr>
                <w:b/>
                <w:color w:val="222222"/>
                <w:sz w:val="20"/>
              </w:rPr>
              <w:t>CTO FINAL DECISION</w:t>
              <w:br/>
              <w:t>Adopt a substrate-first pathway. Ship the FY27 core platform and compliance wedge, prove the India-EU exporter use case, expand into supplier/product carbon and operations in FY28, add finance/risk/MRV in FY29, then scale project execution, markets, public sector, CDR, nature, and circularity only after evidence, ledger, policy, and data-network foundations are mature.</w:t>
            </w:r>
          </w:p>
        </w:tc>
      </w:tr>
    </w:tbl>
    <w:p>
      <w:pPr>
        <w:spacing w:after="80"/>
      </w:pPr>
      <w:r>
        <w:t>Source integration: this final version consolidates the two CTO product-definition drafts and aligns them to the original GreenLang Climate OS v3 Business Plan. The final pathway uses the more product-specific release timing from the Product Definitions &amp; Version Roadmap, the stronger stage-gate/product-operating model from the Detailed Product Definition draft, and the 36-product architecture and sequencing from the business plan.</w:t>
      </w:r>
    </w:p>
    <w:p>
      <w:pPr>
        <w:pStyle w:val="Heading3"/>
      </w:pPr>
      <w:r>
        <w:t>Document structure</w:t>
      </w:r>
    </w:p>
    <w:p>
      <w:pPr>
        <w:pStyle w:val="ListBullet"/>
        <w:spacing w:after="20"/>
      </w:pPr>
      <w:r>
        <w:t>Part 1 - CTO final pathway and release governance</w:t>
      </w:r>
    </w:p>
    <w:p>
      <w:pPr>
        <w:pStyle w:val="ListBullet"/>
        <w:spacing w:after="20"/>
      </w:pPr>
      <w:r>
        <w:t>Part 2 - Architecture, data model, AI governance, and engineering operating model</w:t>
      </w:r>
    </w:p>
    <w:p>
      <w:pPr>
        <w:pStyle w:val="ListBullet"/>
        <w:spacing w:after="20"/>
      </w:pPr>
      <w:r>
        <w:t>Part 3 - Master release matrix and fiscal-year roadmap</w:t>
      </w:r>
    </w:p>
    <w:p>
      <w:pPr>
        <w:pStyle w:val="ListBullet"/>
        <w:spacing w:after="20"/>
      </w:pPr>
      <w:r>
        <w:t>Part 4 - Detailed final definitions for all 36 products</w:t>
      </w:r>
    </w:p>
    <w:p>
      <w:pPr>
        <w:pStyle w:val="ListBullet"/>
        <w:spacing w:after="20"/>
      </w:pPr>
      <w:r>
        <w:t>Part 5 - Portfolio stage gates, kill/pause/merge criteria, and PRD template</w:t>
      </w:r>
    </w:p>
    <w:p>
      <w:r>
        <w:br w:type="page"/>
      </w:r>
    </w:p>
    <w:p>
      <w:pPr>
        <w:pStyle w:val="Heading1"/>
      </w:pPr>
      <w:r>
        <w:t>Part 1 - CTO Final Pathway</w:t>
      </w:r>
    </w:p>
    <w:p>
      <w:pPr>
        <w:spacing w:after="80"/>
      </w:pPr>
      <w:r>
        <w:t>This final product strategy deliberately avoids a 36-products-at-once failure mode. GreenLang should be built as one Climate OS substrate with sector applications on top. Product release dates are targets; release gates are binding. A product slips before the substrate is compromised.</w:t>
      </w:r>
    </w:p>
    <w:p>
      <w:pPr>
        <w:pStyle w:val="Heading3"/>
      </w:pPr>
      <w:r>
        <w:t>Final pathway summary</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c>
          <w:tcPr>
            <w:tcW w:type="dxa" w:w="1800"/>
            <w:vAlign w:val="top"/>
            <w:shd w:fill="1F4E79"/>
          </w:tcPr>
          <w:p>
            <w:r>
              <w:rPr>
                <w:b/>
                <w:color w:val="FFFFFF"/>
                <w:sz w:val="17"/>
              </w:rPr>
              <w:t>Phase</w:t>
            </w:r>
          </w:p>
        </w:tc>
        <w:tc>
          <w:tcPr>
            <w:tcW w:type="dxa" w:w="1080"/>
            <w:vAlign w:val="top"/>
            <w:shd w:fill="1F4E79"/>
          </w:tcPr>
          <w:p>
            <w:r>
              <w:rPr>
                <w:b/>
                <w:color w:val="FFFFFF"/>
                <w:sz w:val="17"/>
              </w:rPr>
              <w:t>Fiscal year</w:t>
            </w:r>
          </w:p>
        </w:tc>
        <w:tc>
          <w:tcPr>
            <w:tcW w:type="dxa" w:w="4608"/>
            <w:vAlign w:val="top"/>
            <w:shd w:fill="1F4E79"/>
          </w:tcPr>
          <w:p>
            <w:r>
              <w:rPr>
                <w:b/>
                <w:color w:val="FFFFFF"/>
                <w:sz w:val="17"/>
              </w:rPr>
              <w:t>Primary product objective</w:t>
            </w:r>
          </w:p>
        </w:tc>
        <w:tc>
          <w:tcPr>
            <w:tcW w:type="dxa" w:w="4608"/>
            <w:vAlign w:val="top"/>
            <w:shd w:fill="1F4E79"/>
          </w:tcPr>
          <w:p>
            <w:r>
              <w:rPr>
                <w:b/>
                <w:color w:val="FFFFFF"/>
                <w:sz w:val="17"/>
              </w:rPr>
              <w:t>CTO release posture</w:t>
            </w:r>
          </w:p>
        </w:tc>
      </w:tr>
      <w:tr>
        <w:tc>
          <w:tcPr>
            <w:tcW w:type="dxa" w:w="1800"/>
            <w:vAlign w:val="top"/>
          </w:tcPr>
          <w:p>
            <w:r>
              <w:rPr>
                <w:sz w:val="17"/>
              </w:rPr>
              <w:t>1. Foundation and first revenue</w:t>
            </w:r>
          </w:p>
        </w:tc>
        <w:tc>
          <w:tcPr>
            <w:tcW w:type="dxa" w:w="1080"/>
            <w:vAlign w:val="top"/>
          </w:tcPr>
          <w:p>
            <w:r>
              <w:rPr>
                <w:sz w:val="17"/>
              </w:rPr>
              <w:t>FY27</w:t>
            </w:r>
          </w:p>
        </w:tc>
        <w:tc>
          <w:tcPr>
            <w:tcW w:type="dxa" w:w="4608"/>
            <w:vAlign w:val="top"/>
          </w:tcPr>
          <w:p>
            <w:r>
              <w:rPr>
                <w:sz w:val="17"/>
              </w:rPr>
              <w:t>Core substrate + compliance wedge: Factors, Connect, Entity Graph, Climate Ledger, Evidence Vault, Policy Graph, Agent Runtime + Eval, SDK/API/CLI, Comply, CBAM, Scope Engine.</w:t>
            </w:r>
          </w:p>
        </w:tc>
        <w:tc>
          <w:tcPr>
            <w:tcW w:type="dxa" w:w="4608"/>
            <w:vAlign w:val="top"/>
          </w:tcPr>
          <w:p>
            <w:r>
              <w:rPr>
                <w:sz w:val="17"/>
              </w:rPr>
              <w:t>Ship substrate first; GA only what has repeatable data, evidence linkage, and paid design-partner validation.</w:t>
            </w:r>
          </w:p>
        </w:tc>
      </w:tr>
      <w:tr>
        <w:tc>
          <w:tcPr>
            <w:tcW w:type="dxa" w:w="1800"/>
            <w:vAlign w:val="top"/>
          </w:tcPr>
          <w:p>
            <w:r>
              <w:rPr>
                <w:sz w:val="17"/>
              </w:rPr>
              <w:t>2. Supply chain and operations expansion</w:t>
            </w:r>
          </w:p>
        </w:tc>
        <w:tc>
          <w:tcPr>
            <w:tcW w:type="dxa" w:w="1080"/>
            <w:vAlign w:val="top"/>
          </w:tcPr>
          <w:p>
            <w:r>
              <w:rPr>
                <w:sz w:val="17"/>
              </w:rPr>
              <w:t>FY28</w:t>
            </w:r>
          </w:p>
        </w:tc>
        <w:tc>
          <w:tcPr>
            <w:tcW w:type="dxa" w:w="4608"/>
            <w:vAlign w:val="top"/>
          </w:tcPr>
          <w:p>
            <w:r>
              <w:rPr>
                <w:sz w:val="17"/>
              </w:rPr>
              <w:t>SupplierOS, PCF Studio, DPP Hub, PlantOS, BuildingOS.</w:t>
            </w:r>
          </w:p>
        </w:tc>
        <w:tc>
          <w:tcPr>
            <w:tcW w:type="dxa" w:w="4608"/>
            <w:vAlign w:val="top"/>
          </w:tcPr>
          <w:p>
            <w:r>
              <w:rPr>
                <w:sz w:val="17"/>
              </w:rPr>
              <w:t>Turn compliance data into supplier/product records and ROI-grade plant/building workflows.</w:t>
            </w:r>
          </w:p>
        </w:tc>
      </w:tr>
      <w:tr>
        <w:tc>
          <w:tcPr>
            <w:tcW w:type="dxa" w:w="1800"/>
            <w:vAlign w:val="top"/>
          </w:tcPr>
          <w:p>
            <w:r>
              <w:rPr>
                <w:sz w:val="17"/>
              </w:rPr>
              <w:t>3. Finance, risk, MRV, and deeper operations</w:t>
            </w:r>
          </w:p>
        </w:tc>
        <w:tc>
          <w:tcPr>
            <w:tcW w:type="dxa" w:w="1080"/>
            <w:vAlign w:val="top"/>
          </w:tcPr>
          <w:p>
            <w:r>
              <w:rPr>
                <w:sz w:val="17"/>
              </w:rPr>
              <w:t>FY29</w:t>
            </w:r>
          </w:p>
        </w:tc>
        <w:tc>
          <w:tcPr>
            <w:tcW w:type="dxa" w:w="4608"/>
            <w:vAlign w:val="top"/>
          </w:tcPr>
          <w:p>
            <w:r>
              <w:rPr>
                <w:sz w:val="17"/>
              </w:rPr>
              <w:t>Proof Hub, DataCenter CarbonOps, PowerOS, FleetOS, RiskOS, FinanceOS, MRV Studio.</w:t>
            </w:r>
          </w:p>
        </w:tc>
        <w:tc>
          <w:tcPr>
            <w:tcW w:type="dxa" w:w="4608"/>
            <w:vAlign w:val="top"/>
          </w:tcPr>
          <w:p>
            <w:r>
              <w:rPr>
                <w:sz w:val="17"/>
              </w:rPr>
              <w:t>Add new buyers only after the ledger/evidence/policy stack is trusted.</w:t>
            </w:r>
          </w:p>
        </w:tc>
      </w:tr>
      <w:tr>
        <w:tc>
          <w:tcPr>
            <w:tcW w:type="dxa" w:w="1800"/>
            <w:vAlign w:val="top"/>
          </w:tcPr>
          <w:p>
            <w:r>
              <w:rPr>
                <w:sz w:val="17"/>
              </w:rPr>
              <w:t>4. Network and project execution</w:t>
            </w:r>
          </w:p>
        </w:tc>
        <w:tc>
          <w:tcPr>
            <w:tcW w:type="dxa" w:w="1080"/>
            <w:vAlign w:val="top"/>
          </w:tcPr>
          <w:p>
            <w:r>
              <w:rPr>
                <w:sz w:val="17"/>
              </w:rPr>
              <w:t>FY30</w:t>
            </w:r>
          </w:p>
        </w:tc>
        <w:tc>
          <w:tcPr>
            <w:tcW w:type="dxa" w:w="4608"/>
            <w:vAlign w:val="top"/>
          </w:tcPr>
          <w:p>
            <w:r>
              <w:rPr>
                <w:sz w:val="17"/>
              </w:rPr>
              <w:t>FlexOS, Microgrid Planner, Freight Carbon API, AgriLandOS, WaterOS, Methane &amp; Nitrogen Monitor, Adaptation Planner, Transition Finance Studio, Carbon Markets Hub.</w:t>
            </w:r>
          </w:p>
        </w:tc>
        <w:tc>
          <w:tcPr>
            <w:tcW w:type="dxa" w:w="4608"/>
            <w:vAlign w:val="top"/>
          </w:tcPr>
          <w:p>
            <w:r>
              <w:rPr>
                <w:sz w:val="17"/>
              </w:rPr>
              <w:t>Use transactions carefully; require legal, methodology, evidence, and partner gates.</w:t>
            </w:r>
          </w:p>
        </w:tc>
      </w:tr>
      <w:tr>
        <w:tc>
          <w:tcPr>
            <w:tcW w:type="dxa" w:w="1800"/>
            <w:vAlign w:val="top"/>
          </w:tcPr>
          <w:p>
            <w:r>
              <w:rPr>
                <w:sz w:val="17"/>
              </w:rPr>
              <w:t>5. Public sector, nature, CDR, circularity</w:t>
            </w:r>
          </w:p>
        </w:tc>
        <w:tc>
          <w:tcPr>
            <w:tcW w:type="dxa" w:w="1080"/>
            <w:vAlign w:val="top"/>
          </w:tcPr>
          <w:p>
            <w:r>
              <w:rPr>
                <w:sz w:val="17"/>
              </w:rPr>
              <w:t>FY31</w:t>
            </w:r>
          </w:p>
        </w:tc>
        <w:tc>
          <w:tcPr>
            <w:tcW w:type="dxa" w:w="4608"/>
            <w:vAlign w:val="top"/>
          </w:tcPr>
          <w:p>
            <w:r>
              <w:rPr>
                <w:sz w:val="17"/>
              </w:rPr>
              <w:t>Nature/TNFD Hub, CityOS, CDR Portfolio Manager, Circularity Hub.</w:t>
            </w:r>
          </w:p>
        </w:tc>
        <w:tc>
          <w:tcPr>
            <w:tcW w:type="dxa" w:w="4608"/>
            <w:vAlign w:val="top"/>
          </w:tcPr>
          <w:p>
            <w:r>
              <w:rPr>
                <w:sz w:val="17"/>
              </w:rPr>
              <w:t>Launch as late-horizon modules on a mature substrate; avoid custom civic or marketplace theater.</w:t>
            </w:r>
          </w:p>
        </w:tc>
      </w:tr>
    </w:tbl>
    <w:p>
      <w:pPr>
        <w:pStyle w:val="Heading3"/>
      </w:pPr>
      <w:r>
        <w:t>Final CTO decisions</w:t>
      </w:r>
    </w:p>
    <w:p>
      <w:pPr>
        <w:pStyle w:val="ListBullet"/>
        <w:spacing w:after="20"/>
      </w:pPr>
      <w:r>
        <w:t>Keep the full 36-product ambition, but enforce phased release gates. The calendar is the ambition; the gates are the actual ship authority.</w:t>
      </w:r>
    </w:p>
    <w:p>
      <w:pPr>
        <w:pStyle w:val="ListBullet"/>
        <w:spacing w:after="20"/>
      </w:pPr>
      <w:r>
        <w:t>Stagger FY27 GA. Factors, Connect, Climate Ledger, SDK/API/CLI, CBAM, and Scope Engine can reach GA in FY27 Q4. Entity Graph, Evidence Vault, Policy Graph, Agent Runtime + Eval, and Comply should GA across FY28 Q1-Q2 because they require stronger assurance, policy, security, and workflow validation.</w:t>
      </w:r>
    </w:p>
    <w:p>
      <w:pPr>
        <w:pStyle w:val="ListBullet"/>
        <w:spacing w:after="20"/>
      </w:pPr>
      <w:r>
        <w:t>Treat Comply/CBAM/Scope Engine as the beachhead, not the identity. The long-term identity is system of record, system of action, and system of trust for climate workflows.</w:t>
      </w:r>
    </w:p>
    <w:p>
      <w:pPr>
        <w:pStyle w:val="ListBullet"/>
        <w:spacing w:after="20"/>
      </w:pPr>
      <w:r>
        <w:t>Build SupplierOS, PCF Studio, and DPP Hub as one data-network loop. Do not build three unrelated apps.</w:t>
      </w:r>
    </w:p>
    <w:p>
      <w:pPr>
        <w:pStyle w:val="ListBullet"/>
        <w:spacing w:after="20"/>
      </w:pPr>
      <w:r>
        <w:t>Gate PlantOS and BuildingOS on measurable savings and repeatable integrations. Their job is CFO-grade ROI, not dashboard theater.</w:t>
      </w:r>
    </w:p>
    <w:p>
      <w:pPr>
        <w:pStyle w:val="ListBullet"/>
        <w:spacing w:after="20"/>
      </w:pPr>
      <w:r>
        <w:t>Launch finance, MRV, and markets only after the trust layer is credible. Do not touch take-rates or transaction brokerage without legal role clarity.</w:t>
      </w:r>
    </w:p>
    <w:p>
      <w:pPr>
        <w:pStyle w:val="ListBullet"/>
        <w:spacing w:after="20"/>
      </w:pPr>
      <w:r>
        <w:t>Incubate public-sector, nature, CDR, and circularity with anchor customers; do not let late-horizon products consume FY27-FY28 core engineering bandwidth.</w:t>
      </w:r>
    </w:p>
    <w:p>
      <w:pPr>
        <w:pStyle w:val="Heading3"/>
      </w:pPr>
      <w:r>
        <w:t>Non-negotiable release gates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1F4E79"/>
          </w:tcPr>
          <w:p>
            <w:r>
              <w:rPr>
                <w:b/>
                <w:color w:val="FFFFFF"/>
                <w:sz w:val="17"/>
              </w:rPr>
              <w:t>Gate</w:t>
            </w:r>
          </w:p>
        </w:tc>
        <w:tc>
          <w:tcPr>
            <w:tcW w:type="dxa" w:w="8496"/>
            <w:vAlign w:val="top"/>
            <w:shd w:fill="1F4E79"/>
          </w:tcPr>
          <w:p>
            <w:r>
              <w:rPr>
                <w:b/>
                <w:color w:val="FFFFFF"/>
                <w:sz w:val="17"/>
              </w:rPr>
              <w:t>Release requirement</w:t>
            </w:r>
          </w:p>
        </w:tc>
      </w:tr>
      <w:tr>
        <w:tc>
          <w:tcPr>
            <w:tcW w:type="dxa" w:w="2448"/>
            <w:vAlign w:val="top"/>
          </w:tcPr>
          <w:p>
            <w:r>
              <w:rPr>
                <w:sz w:val="17"/>
              </w:rPr>
              <w:t>Buyer validation</w:t>
            </w:r>
          </w:p>
        </w:tc>
        <w:tc>
          <w:tcPr>
            <w:tcW w:type="dxa" w:w="8496"/>
            <w:vAlign w:val="top"/>
          </w:tcPr>
          <w:p>
            <w:r>
              <w:rPr>
                <w:sz w:val="17"/>
              </w:rPr>
              <w:t>At least 3 design partners or a justified internal-platform exception before GA.</w:t>
            </w:r>
          </w:p>
        </w:tc>
      </w:tr>
      <w:tr>
        <w:tc>
          <w:tcPr>
            <w:tcW w:type="dxa" w:w="2448"/>
            <w:vAlign w:val="top"/>
          </w:tcPr>
          <w:p>
            <w:r>
              <w:rPr>
                <w:sz w:val="17"/>
              </w:rPr>
              <w:t>Data readiness</w:t>
            </w:r>
          </w:p>
        </w:tc>
        <w:tc>
          <w:tcPr>
            <w:tcW w:type="dxa" w:w="8496"/>
            <w:vAlign w:val="top"/>
          </w:tcPr>
          <w:p>
            <w:r>
              <w:rPr>
                <w:sz w:val="17"/>
              </w:rPr>
              <w:t>Source data can be ingested, mapped, validated, and traced to canonical objects.</w:t>
            </w:r>
          </w:p>
        </w:tc>
      </w:tr>
      <w:tr>
        <w:tc>
          <w:tcPr>
            <w:tcW w:type="dxa" w:w="2448"/>
            <w:vAlign w:val="top"/>
          </w:tcPr>
          <w:p>
            <w:r>
              <w:rPr>
                <w:sz w:val="17"/>
              </w:rPr>
              <w:t>Evidence readiness</w:t>
            </w:r>
          </w:p>
        </w:tc>
        <w:tc>
          <w:tcPr>
            <w:tcW w:type="dxa" w:w="8496"/>
            <w:vAlign w:val="top"/>
          </w:tcPr>
          <w:p>
            <w:r>
              <w:rPr>
                <w:sz w:val="17"/>
              </w:rPr>
              <w:t>High-stakes outputs link to Evidence Vault and Climate Ledger entries.</w:t>
            </w:r>
          </w:p>
        </w:tc>
      </w:tr>
      <w:tr>
        <w:tc>
          <w:tcPr>
            <w:tcW w:type="dxa" w:w="2448"/>
            <w:vAlign w:val="top"/>
          </w:tcPr>
          <w:p>
            <w:r>
              <w:rPr>
                <w:sz w:val="17"/>
              </w:rPr>
              <w:t>Methodology readiness</w:t>
            </w:r>
          </w:p>
        </w:tc>
        <w:tc>
          <w:tcPr>
            <w:tcW w:type="dxa" w:w="8496"/>
            <w:vAlign w:val="top"/>
          </w:tcPr>
          <w:p>
            <w:r>
              <w:rPr>
                <w:sz w:val="17"/>
              </w:rPr>
              <w:t>Calculation, risk, finance, MRV, or policy assumptions are documented and reviewable.</w:t>
            </w:r>
          </w:p>
        </w:tc>
      </w:tr>
      <w:tr>
        <w:tc>
          <w:tcPr>
            <w:tcW w:type="dxa" w:w="2448"/>
            <w:vAlign w:val="top"/>
          </w:tcPr>
          <w:p>
            <w:r>
              <w:rPr>
                <w:sz w:val="17"/>
              </w:rPr>
              <w:t>Security readiness</w:t>
            </w:r>
          </w:p>
        </w:tc>
        <w:tc>
          <w:tcPr>
            <w:tcW w:type="dxa" w:w="8496"/>
            <w:vAlign w:val="top"/>
          </w:tcPr>
          <w:p>
            <w:r>
              <w:rPr>
                <w:sz w:val="17"/>
              </w:rPr>
              <w:t>RBAC, admin controls, logging, data isolation, and customer boundaries pass review.</w:t>
            </w:r>
          </w:p>
        </w:tc>
      </w:tr>
      <w:tr>
        <w:tc>
          <w:tcPr>
            <w:tcW w:type="dxa" w:w="2448"/>
            <w:vAlign w:val="top"/>
          </w:tcPr>
          <w:p>
            <w:r>
              <w:rPr>
                <w:sz w:val="17"/>
              </w:rPr>
              <w:t>Commercial readiness</w:t>
            </w:r>
          </w:p>
        </w:tc>
        <w:tc>
          <w:tcPr>
            <w:tcW w:type="dxa" w:w="8496"/>
            <w:vAlign w:val="top"/>
          </w:tcPr>
          <w:p>
            <w:r>
              <w:rPr>
                <w:sz w:val="17"/>
              </w:rPr>
              <w:t>Packaging, pricing, onboarding, support model, and sales narrative are ready.</w:t>
            </w:r>
          </w:p>
        </w:tc>
      </w:tr>
      <w:tr>
        <w:tc>
          <w:tcPr>
            <w:tcW w:type="dxa" w:w="2448"/>
            <w:vAlign w:val="top"/>
          </w:tcPr>
          <w:p>
            <w:r>
              <w:rPr>
                <w:sz w:val="17"/>
              </w:rPr>
              <w:t>Operational readiness</w:t>
            </w:r>
          </w:p>
        </w:tc>
        <w:tc>
          <w:tcPr>
            <w:tcW w:type="dxa" w:w="8496"/>
            <w:vAlign w:val="top"/>
          </w:tcPr>
          <w:p>
            <w:r>
              <w:rPr>
                <w:sz w:val="17"/>
              </w:rPr>
              <w:t>Implementation effort is repeatable; services cannot dominate product revenue.</w:t>
            </w:r>
          </w:p>
        </w:tc>
      </w:tr>
      <w:tr>
        <w:tc>
          <w:tcPr>
            <w:tcW w:type="dxa" w:w="2448"/>
            <w:vAlign w:val="top"/>
          </w:tcPr>
          <w:p>
            <w:r>
              <w:rPr>
                <w:sz w:val="17"/>
              </w:rPr>
              <w:t>AI readiness</w:t>
            </w:r>
          </w:p>
        </w:tc>
        <w:tc>
          <w:tcPr>
            <w:tcW w:type="dxa" w:w="8496"/>
            <w:vAlign w:val="top"/>
          </w:tcPr>
          <w:p>
            <w:r>
              <w:rPr>
                <w:sz w:val="17"/>
              </w:rPr>
              <w:t>AI outputs cite sources, pass evals, and route high-stakes outputs to human review.</w:t>
            </w:r>
          </w:p>
        </w:tc>
      </w:tr>
    </w:tbl>
    <w:p>
      <w:r>
        <w:br w:type="page"/>
      </w:r>
    </w:p>
    <w:p>
      <w:pPr>
        <w:pStyle w:val="Heading1"/>
      </w:pPr>
      <w:r>
        <w:t>Part 2 - Architecture and Engineering Model</w:t>
      </w:r>
    </w:p>
    <w:p>
      <w:pPr>
        <w:pStyle w:val="Heading3"/>
      </w:pPr>
      <w:r>
        <w:t>Four-layer Climate OS architecture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2304"/>
            <w:vAlign w:val="top"/>
            <w:shd w:fill="1F4E79"/>
          </w:tcPr>
          <w:p>
            <w:r>
              <w:rPr>
                <w:b/>
                <w:color w:val="FFFFFF"/>
                <w:sz w:val="17"/>
              </w:rPr>
              <w:t>Layer</w:t>
            </w:r>
          </w:p>
        </w:tc>
        <w:tc>
          <w:tcPr>
            <w:tcW w:type="dxa" w:w="3744"/>
            <w:vAlign w:val="top"/>
            <w:shd w:fill="1F4E79"/>
          </w:tcPr>
          <w:p>
            <w:r>
              <w:rPr>
                <w:b/>
                <w:color w:val="FFFFFF"/>
                <w:sz w:val="17"/>
              </w:rPr>
              <w:t>Core modules</w:t>
            </w:r>
          </w:p>
        </w:tc>
        <w:tc>
          <w:tcPr>
            <w:tcW w:type="dxa" w:w="6048"/>
            <w:vAlign w:val="top"/>
            <w:shd w:fill="1F4E79"/>
          </w:tcPr>
          <w:p>
            <w:r>
              <w:rPr>
                <w:b/>
                <w:color w:val="FFFFFF"/>
                <w:sz w:val="17"/>
              </w:rPr>
              <w:t>Why it matters</w:t>
            </w:r>
          </w:p>
        </w:tc>
      </w:tr>
      <w:tr>
        <w:tc>
          <w:tcPr>
            <w:tcW w:type="dxa" w:w="2304"/>
            <w:vAlign w:val="top"/>
          </w:tcPr>
          <w:p>
            <w:r>
              <w:rPr>
                <w:sz w:val="17"/>
              </w:rPr>
              <w:t>Layer 1 - Data foundation</w:t>
            </w:r>
          </w:p>
        </w:tc>
        <w:tc>
          <w:tcPr>
            <w:tcW w:type="dxa" w:w="3744"/>
            <w:vAlign w:val="top"/>
          </w:tcPr>
          <w:p>
            <w:r>
              <w:rPr>
                <w:sz w:val="17"/>
              </w:rPr>
              <w:t>Factors, Connect, Entity Graph, IoT schemas, external datasets</w:t>
            </w:r>
          </w:p>
        </w:tc>
        <w:tc>
          <w:tcPr>
            <w:tcW w:type="dxa" w:w="6048"/>
            <w:vAlign w:val="top"/>
          </w:tcPr>
          <w:p>
            <w:r>
              <w:rPr>
                <w:sz w:val="17"/>
              </w:rPr>
              <w:t>One normalized climate data model across facilities, suppliers, products, assets, markets, policies, and projects.</w:t>
            </w:r>
          </w:p>
        </w:tc>
      </w:tr>
      <w:tr>
        <w:tc>
          <w:tcPr>
            <w:tcW w:type="dxa" w:w="2304"/>
            <w:vAlign w:val="top"/>
          </w:tcPr>
          <w:p>
            <w:r>
              <w:rPr>
                <w:sz w:val="17"/>
              </w:rPr>
              <w:t>Layer 2 - System of record</w:t>
            </w:r>
          </w:p>
        </w:tc>
        <w:tc>
          <w:tcPr>
            <w:tcW w:type="dxa" w:w="3744"/>
            <w:vAlign w:val="top"/>
          </w:tcPr>
          <w:p>
            <w:r>
              <w:rPr>
                <w:sz w:val="17"/>
              </w:rPr>
              <w:t>Climate Ledger, Evidence Vault, Proof Hub</w:t>
            </w:r>
          </w:p>
        </w:tc>
        <w:tc>
          <w:tcPr>
            <w:tcW w:type="dxa" w:w="6048"/>
            <w:vAlign w:val="top"/>
          </w:tcPr>
          <w:p>
            <w:r>
              <w:rPr>
                <w:sz w:val="17"/>
              </w:rPr>
              <w:t>Auditable records for activity data, emissions, product footprints, evidence, claims, approvals, and assurance.</w:t>
            </w:r>
          </w:p>
        </w:tc>
      </w:tr>
      <w:tr>
        <w:tc>
          <w:tcPr>
            <w:tcW w:type="dxa" w:w="2304"/>
            <w:vAlign w:val="top"/>
          </w:tcPr>
          <w:p>
            <w:r>
              <w:rPr>
                <w:sz w:val="17"/>
              </w:rPr>
              <w:t>Layer 3 - Intelligence layer</w:t>
            </w:r>
          </w:p>
        </w:tc>
        <w:tc>
          <w:tcPr>
            <w:tcW w:type="dxa" w:w="3744"/>
            <w:vAlign w:val="top"/>
          </w:tcPr>
          <w:p>
            <w:r>
              <w:rPr>
                <w:sz w:val="17"/>
              </w:rPr>
              <w:t>Policy Graph, Agent Runtime + Eval, scenario engines, benchmarks</w:t>
            </w:r>
          </w:p>
        </w:tc>
        <w:tc>
          <w:tcPr>
            <w:tcW w:type="dxa" w:w="6048"/>
            <w:vAlign w:val="top"/>
          </w:tcPr>
          <w:p>
            <w:r>
              <w:rPr>
                <w:sz w:val="17"/>
              </w:rPr>
              <w:t>Policy-aware AI workflows, traceable recommendations, evaluation, and decision support.</w:t>
            </w:r>
          </w:p>
        </w:tc>
      </w:tr>
      <w:tr>
        <w:tc>
          <w:tcPr>
            <w:tcW w:type="dxa" w:w="2304"/>
            <w:vAlign w:val="top"/>
          </w:tcPr>
          <w:p>
            <w:r>
              <w:rPr>
                <w:sz w:val="17"/>
              </w:rPr>
              <w:t>Layer 4 - Sector clouds</w:t>
            </w:r>
          </w:p>
        </w:tc>
        <w:tc>
          <w:tcPr>
            <w:tcW w:type="dxa" w:w="3744"/>
            <w:vAlign w:val="top"/>
          </w:tcPr>
          <w:p>
            <w:r>
              <w:rPr>
                <w:sz w:val="17"/>
              </w:rPr>
              <w:t>Comply, SupplierOS, PlantOS, BuildingOS, FinanceOS, RiskOS, CityOS, etc.</w:t>
            </w:r>
          </w:p>
        </w:tc>
        <w:tc>
          <w:tcPr>
            <w:tcW w:type="dxa" w:w="6048"/>
            <w:vAlign w:val="top"/>
          </w:tcPr>
          <w:p>
            <w:r>
              <w:rPr>
                <w:sz w:val="17"/>
              </w:rPr>
              <w:t>Commercial applications built on the same substrate, not disconnected SaaS modules.</w:t>
            </w:r>
          </w:p>
        </w:tc>
      </w:tr>
    </w:tbl>
    <w:p>
      <w:pPr>
        <w:pStyle w:val="Heading3"/>
      </w:pPr>
      <w:r>
        <w:t>Canonical object model</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shd w:fill="1F4E79"/>
          </w:tcPr>
          <w:p>
            <w:r>
              <w:rPr>
                <w:b/>
                <w:color w:val="FFFFFF"/>
                <w:sz w:val="17"/>
              </w:rPr>
              <w:t>Object family</w:t>
            </w:r>
          </w:p>
        </w:tc>
        <w:tc>
          <w:tcPr>
            <w:tcW w:type="dxa" w:w="8928"/>
            <w:vAlign w:val="top"/>
            <w:shd w:fill="1F4E79"/>
          </w:tcPr>
          <w:p>
            <w:r>
              <w:rPr>
                <w:b/>
                <w:color w:val="FFFFFF"/>
                <w:sz w:val="17"/>
              </w:rPr>
              <w:t>Canonical objects</w:t>
            </w:r>
          </w:p>
        </w:tc>
      </w:tr>
      <w:tr>
        <w:tc>
          <w:tcPr>
            <w:tcW w:type="dxa" w:w="3024"/>
            <w:vAlign w:val="top"/>
          </w:tcPr>
          <w:p>
            <w:r>
              <w:rPr>
                <w:sz w:val="17"/>
              </w:rPr>
              <w:t>Organization and boundary</w:t>
            </w:r>
          </w:p>
        </w:tc>
        <w:tc>
          <w:tcPr>
            <w:tcW w:type="dxa" w:w="8928"/>
            <w:vAlign w:val="top"/>
          </w:tcPr>
          <w:p>
            <w:r>
              <w:rPr>
                <w:sz w:val="17"/>
              </w:rPr>
              <w:t>Legal entity, operating entity, business unit, consolidation boundary, reporting period, jurisdiction, ownership/control percentage.</w:t>
            </w:r>
          </w:p>
        </w:tc>
      </w:tr>
      <w:tr>
        <w:tc>
          <w:tcPr>
            <w:tcW w:type="dxa" w:w="3024"/>
            <w:vAlign w:val="top"/>
          </w:tcPr>
          <w:p>
            <w:r>
              <w:rPr>
                <w:sz w:val="17"/>
              </w:rPr>
              <w:t>Physical assets</w:t>
            </w:r>
          </w:p>
        </w:tc>
        <w:tc>
          <w:tcPr>
            <w:tcW w:type="dxa" w:w="8928"/>
            <w:vAlign w:val="top"/>
          </w:tcPr>
          <w:p>
            <w:r>
              <w:rPr>
                <w:sz w:val="17"/>
              </w:rPr>
              <w:t>Facility, plant, building, meter, equipment, line, vehicle, fleet, data-center hall, water asset, microgrid component.</w:t>
            </w:r>
          </w:p>
        </w:tc>
      </w:tr>
      <w:tr>
        <w:tc>
          <w:tcPr>
            <w:tcW w:type="dxa" w:w="3024"/>
            <w:vAlign w:val="top"/>
          </w:tcPr>
          <w:p>
            <w:r>
              <w:rPr>
                <w:sz w:val="17"/>
              </w:rPr>
              <w:t>Supply chain and products</w:t>
            </w:r>
          </w:p>
        </w:tc>
        <w:tc>
          <w:tcPr>
            <w:tcW w:type="dxa" w:w="8928"/>
            <w:vAlign w:val="top"/>
          </w:tcPr>
          <w:p>
            <w:r>
              <w:rPr>
                <w:sz w:val="17"/>
              </w:rPr>
              <w:t>Supplier, supplier facility, customer, SKU, BOM, material, process step, product footprint, DPP record, circularity attribute.</w:t>
            </w:r>
          </w:p>
        </w:tc>
      </w:tr>
      <w:tr>
        <w:tc>
          <w:tcPr>
            <w:tcW w:type="dxa" w:w="3024"/>
            <w:vAlign w:val="top"/>
          </w:tcPr>
          <w:p>
            <w:r>
              <w:rPr>
                <w:sz w:val="17"/>
              </w:rPr>
              <w:t>Activity and emissions</w:t>
            </w:r>
          </w:p>
        </w:tc>
        <w:tc>
          <w:tcPr>
            <w:tcW w:type="dxa" w:w="8928"/>
            <w:vAlign w:val="top"/>
          </w:tcPr>
          <w:p>
            <w:r>
              <w:rPr>
                <w:sz w:val="17"/>
              </w:rPr>
              <w:t>Activity record, emission factor, calculation method, gas, GWP basis, emission result, uncertainty, restatement, approval.</w:t>
            </w:r>
          </w:p>
        </w:tc>
      </w:tr>
      <w:tr>
        <w:tc>
          <w:tcPr>
            <w:tcW w:type="dxa" w:w="3024"/>
            <w:vAlign w:val="top"/>
          </w:tcPr>
          <w:p>
            <w:r>
              <w:rPr>
                <w:sz w:val="17"/>
              </w:rPr>
              <w:t>Evidence and proof</w:t>
            </w:r>
          </w:p>
        </w:tc>
        <w:tc>
          <w:tcPr>
            <w:tcW w:type="dxa" w:w="8928"/>
            <w:vAlign w:val="top"/>
          </w:tcPr>
          <w:p>
            <w:r>
              <w:rPr>
                <w:sz w:val="17"/>
              </w:rPr>
              <w:t>Evidence object, source document, certificate, contract, image, field record, verifier note, proof status, finding.</w:t>
            </w:r>
          </w:p>
        </w:tc>
      </w:tr>
      <w:tr>
        <w:tc>
          <w:tcPr>
            <w:tcW w:type="dxa" w:w="3024"/>
            <w:vAlign w:val="top"/>
          </w:tcPr>
          <w:p>
            <w:r>
              <w:rPr>
                <w:sz w:val="17"/>
              </w:rPr>
              <w:t>Policy and obligations</w:t>
            </w:r>
          </w:p>
        </w:tc>
        <w:tc>
          <w:tcPr>
            <w:tcW w:type="dxa" w:w="8928"/>
            <w:vAlign w:val="top"/>
          </w:tcPr>
          <w:p>
            <w:r>
              <w:rPr>
                <w:sz w:val="17"/>
              </w:rPr>
              <w:t>Policy object, applicability rule, deadline, disclosure datapoint, methodology reference, evidence requirement.</w:t>
            </w:r>
          </w:p>
        </w:tc>
      </w:tr>
      <w:tr>
        <w:tc>
          <w:tcPr>
            <w:tcW w:type="dxa" w:w="3024"/>
            <w:vAlign w:val="top"/>
          </w:tcPr>
          <w:p>
            <w:r>
              <w:rPr>
                <w:sz w:val="17"/>
              </w:rPr>
              <w:t>Finance and markets</w:t>
            </w:r>
          </w:p>
        </w:tc>
        <w:tc>
          <w:tcPr>
            <w:tcW w:type="dxa" w:w="8928"/>
            <w:vAlign w:val="top"/>
          </w:tcPr>
          <w:p>
            <w:r>
              <w:rPr>
                <w:sz w:val="17"/>
              </w:rPr>
              <w:t>Portfolio holding, loan, project, deal, credit, retirement, offtake, covenant, risk score, scenario.</w:t>
            </w:r>
          </w:p>
        </w:tc>
      </w:tr>
      <w:tr>
        <w:tc>
          <w:tcPr>
            <w:tcW w:type="dxa" w:w="3024"/>
            <w:vAlign w:val="top"/>
          </w:tcPr>
          <w:p>
            <w:r>
              <w:rPr>
                <w:sz w:val="17"/>
              </w:rPr>
              <w:t>Public sector/nature/water</w:t>
            </w:r>
          </w:p>
        </w:tc>
        <w:tc>
          <w:tcPr>
            <w:tcW w:type="dxa" w:w="8928"/>
            <w:vAlign w:val="top"/>
          </w:tcPr>
          <w:p>
            <w:r>
              <w:rPr>
                <w:sz w:val="17"/>
              </w:rPr>
              <w:t>City asset, basin, hazard, adaptation measure, nature dependency, ecosystem pressure, public dashboard record.</w:t>
            </w:r>
          </w:p>
        </w:tc>
      </w:tr>
    </w:tbl>
    <w:p>
      <w:pPr>
        <w:pStyle w:val="Heading3"/>
      </w:pPr>
      <w:r>
        <w:t>AI governance model</w:t>
      </w:r>
    </w:p>
    <w:p>
      <w:pPr>
        <w:pStyle w:val="ListBullet"/>
        <w:spacing w:after="20"/>
      </w:pPr>
      <w:r>
        <w:t>AI agents may map messy activity data, summarize policy, draft supplier messages, triage evidence gaps, generate scenario narratives, and prepare first-draft reports.</w:t>
      </w:r>
    </w:p>
    <w:p>
      <w:pPr>
        <w:pStyle w:val="ListBullet"/>
        <w:spacing w:after="20"/>
      </w:pPr>
      <w:r>
        <w:t>AI agents must never silently create regulated, financial, MRV, or assurance claims. High-stakes outputs require citations, evaluation, reviewer approval, and ledger traceability.</w:t>
      </w:r>
    </w:p>
    <w:p>
      <w:pPr>
        <w:pStyle w:val="ListBullet"/>
        <w:spacing w:after="20"/>
      </w:pPr>
      <w:r>
        <w:t>Every agent release must include a pinned model, prompt version, tool-permission profile, eval suite, failure-handling path, and cost guardrail.</w:t>
      </w:r>
    </w:p>
    <w:p>
      <w:pPr>
        <w:pStyle w:val="ListBullet"/>
        <w:spacing w:after="20"/>
      </w:pPr>
      <w:r>
        <w:t>The Agent Runtime is a platform service. Sector products may consume agents, but must not implement unmanaged AI workflows independently.</w:t>
      </w:r>
    </w:p>
    <w:p>
      <w:pPr>
        <w:pStyle w:val="Heading3"/>
      </w:pPr>
      <w:r>
        <w:t>Engineering operating model by FY</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c>
          <w:tcPr>
            <w:tcW w:type="dxa" w:w="1008"/>
            <w:vAlign w:val="top"/>
            <w:shd w:fill="1F4E79"/>
          </w:tcPr>
          <w:p>
            <w:r>
              <w:rPr>
                <w:b/>
                <w:color w:val="FFFFFF"/>
                <w:sz w:val="16"/>
              </w:rPr>
              <w:t>FY</w:t>
            </w:r>
          </w:p>
        </w:tc>
        <w:tc>
          <w:tcPr>
            <w:tcW w:type="dxa" w:w="3456"/>
            <w:vAlign w:val="top"/>
            <w:shd w:fill="1F4E79"/>
          </w:tcPr>
          <w:p>
            <w:r>
              <w:rPr>
                <w:b/>
                <w:color w:val="FFFFFF"/>
                <w:sz w:val="16"/>
              </w:rPr>
              <w:t>Primary squads</w:t>
            </w:r>
          </w:p>
        </w:tc>
        <w:tc>
          <w:tcPr>
            <w:tcW w:type="dxa" w:w="1728"/>
            <w:vAlign w:val="top"/>
            <w:shd w:fill="1F4E79"/>
          </w:tcPr>
          <w:p>
            <w:r>
              <w:rPr>
                <w:b/>
                <w:color w:val="FFFFFF"/>
                <w:sz w:val="16"/>
              </w:rPr>
              <w:t>Headcount posture</w:t>
            </w:r>
          </w:p>
        </w:tc>
        <w:tc>
          <w:tcPr>
            <w:tcW w:type="dxa" w:w="5760"/>
            <w:vAlign w:val="top"/>
            <w:shd w:fill="1F4E79"/>
          </w:tcPr>
          <w:p>
            <w:r>
              <w:rPr>
                <w:b/>
                <w:color w:val="FFFFFF"/>
                <w:sz w:val="16"/>
              </w:rPr>
              <w:t>Engineering focus</w:t>
            </w:r>
          </w:p>
        </w:tc>
      </w:tr>
      <w:tr>
        <w:tc>
          <w:tcPr>
            <w:tcW w:type="dxa" w:w="1008"/>
            <w:vAlign w:val="top"/>
          </w:tcPr>
          <w:p>
            <w:r>
              <w:rPr>
                <w:sz w:val="16"/>
              </w:rPr>
              <w:t>FY27</w:t>
            </w:r>
          </w:p>
        </w:tc>
        <w:tc>
          <w:tcPr>
            <w:tcW w:type="dxa" w:w="3456"/>
            <w:vAlign w:val="top"/>
          </w:tcPr>
          <w:p>
            <w:r>
              <w:rPr>
                <w:sz w:val="16"/>
              </w:rPr>
              <w:t>Core Substrate, Compliance Wedge, Data/Factors, Developer Experience, Methodology &amp; Trust</w:t>
            </w:r>
          </w:p>
        </w:tc>
        <w:tc>
          <w:tcPr>
            <w:tcW w:type="dxa" w:w="1728"/>
            <w:vAlign w:val="top"/>
          </w:tcPr>
          <w:p>
            <w:r>
              <w:rPr>
                <w:sz w:val="16"/>
              </w:rPr>
              <w:t>~12 EOY</w:t>
            </w:r>
          </w:p>
        </w:tc>
        <w:tc>
          <w:tcPr>
            <w:tcW w:type="dxa" w:w="5760"/>
            <w:vAlign w:val="top"/>
          </w:tcPr>
          <w:p>
            <w:r>
              <w:rPr>
                <w:sz w:val="16"/>
              </w:rPr>
              <w:t>Build the core substrate, ship compliance wedge, prove design-partner workflow, keep services bounded.</w:t>
            </w:r>
          </w:p>
        </w:tc>
      </w:tr>
      <w:tr>
        <w:tc>
          <w:tcPr>
            <w:tcW w:type="dxa" w:w="1008"/>
            <w:vAlign w:val="top"/>
          </w:tcPr>
          <w:p>
            <w:r>
              <w:rPr>
                <w:sz w:val="16"/>
              </w:rPr>
              <w:t>FY28</w:t>
            </w:r>
          </w:p>
        </w:tc>
        <w:tc>
          <w:tcPr>
            <w:tcW w:type="dxa" w:w="3456"/>
            <w:vAlign w:val="top"/>
          </w:tcPr>
          <w:p>
            <w:r>
              <w:rPr>
                <w:sz w:val="16"/>
              </w:rPr>
              <w:t>Supply Chain/Product Carbon, Operations Alpha, Europe GTM/Implementation, Partner/Verifier Enablement</w:t>
            </w:r>
          </w:p>
        </w:tc>
        <w:tc>
          <w:tcPr>
            <w:tcW w:type="dxa" w:w="1728"/>
            <w:vAlign w:val="top"/>
          </w:tcPr>
          <w:p>
            <w:r>
              <w:rPr>
                <w:sz w:val="16"/>
              </w:rPr>
              <w:t>~30 EOY</w:t>
            </w:r>
          </w:p>
        </w:tc>
        <w:tc>
          <w:tcPr>
            <w:tcW w:type="dxa" w:w="5760"/>
            <w:vAlign w:val="top"/>
          </w:tcPr>
          <w:p>
            <w:r>
              <w:rPr>
                <w:sz w:val="16"/>
              </w:rPr>
              <w:t>Expand to SupplierOS/PCF/DPP and PlantOS/BuildingOS while hardening core platform.</w:t>
            </w:r>
          </w:p>
        </w:tc>
      </w:tr>
      <w:tr>
        <w:tc>
          <w:tcPr>
            <w:tcW w:type="dxa" w:w="1008"/>
            <w:vAlign w:val="top"/>
          </w:tcPr>
          <w:p>
            <w:r>
              <w:rPr>
                <w:sz w:val="16"/>
              </w:rPr>
              <w:t>FY29</w:t>
            </w:r>
          </w:p>
        </w:tc>
        <w:tc>
          <w:tcPr>
            <w:tcW w:type="dxa" w:w="3456"/>
            <w:vAlign w:val="top"/>
          </w:tcPr>
          <w:p>
            <w:r>
              <w:rPr>
                <w:sz w:val="16"/>
              </w:rPr>
              <w:t>Risk/Finance/MRV, Data Center/Power/Fleet, Proof/Assurance, APAC Commercial</w:t>
            </w:r>
          </w:p>
        </w:tc>
        <w:tc>
          <w:tcPr>
            <w:tcW w:type="dxa" w:w="1728"/>
            <w:vAlign w:val="top"/>
          </w:tcPr>
          <w:p>
            <w:r>
              <w:rPr>
                <w:sz w:val="16"/>
              </w:rPr>
              <w:t>~60 EOY</w:t>
            </w:r>
          </w:p>
        </w:tc>
        <w:tc>
          <w:tcPr>
            <w:tcW w:type="dxa" w:w="5760"/>
            <w:vAlign w:val="top"/>
          </w:tcPr>
          <w:p>
            <w:r>
              <w:rPr>
                <w:sz w:val="16"/>
              </w:rPr>
              <w:t>Introduce finance/risk buyers and trust products; build partner ecosystem.</w:t>
            </w:r>
          </w:p>
        </w:tc>
      </w:tr>
      <w:tr>
        <w:tc>
          <w:tcPr>
            <w:tcW w:type="dxa" w:w="1008"/>
            <w:vAlign w:val="top"/>
          </w:tcPr>
          <w:p>
            <w:r>
              <w:rPr>
                <w:sz w:val="16"/>
              </w:rPr>
              <w:t>FY30</w:t>
            </w:r>
          </w:p>
        </w:tc>
        <w:tc>
          <w:tcPr>
            <w:tcW w:type="dxa" w:w="3456"/>
            <w:vAlign w:val="top"/>
          </w:tcPr>
          <w:p>
            <w:r>
              <w:rPr>
                <w:sz w:val="16"/>
              </w:rPr>
              <w:t>Project Execution and Transactions, Land/Water/Methane, Flex/Microgrid, Transition Finance</w:t>
            </w:r>
          </w:p>
        </w:tc>
        <w:tc>
          <w:tcPr>
            <w:tcW w:type="dxa" w:w="1728"/>
            <w:vAlign w:val="top"/>
          </w:tcPr>
          <w:p>
            <w:r>
              <w:rPr>
                <w:sz w:val="16"/>
              </w:rPr>
              <w:t>~110 EOY</w:t>
            </w:r>
          </w:p>
        </w:tc>
        <w:tc>
          <w:tcPr>
            <w:tcW w:type="dxa" w:w="5760"/>
            <w:vAlign w:val="top"/>
          </w:tcPr>
          <w:p>
            <w:r>
              <w:rPr>
                <w:sz w:val="16"/>
              </w:rPr>
              <w:t>Monetize project execution and transaction-adjacent workflows after legal/trust gates.</w:t>
            </w:r>
          </w:p>
        </w:tc>
      </w:tr>
      <w:tr>
        <w:tc>
          <w:tcPr>
            <w:tcW w:type="dxa" w:w="1008"/>
            <w:vAlign w:val="top"/>
          </w:tcPr>
          <w:p>
            <w:r>
              <w:rPr>
                <w:sz w:val="16"/>
              </w:rPr>
              <w:t>FY31</w:t>
            </w:r>
          </w:p>
        </w:tc>
        <w:tc>
          <w:tcPr>
            <w:tcW w:type="dxa" w:w="3456"/>
            <w:vAlign w:val="top"/>
          </w:tcPr>
          <w:p>
            <w:r>
              <w:rPr>
                <w:sz w:val="16"/>
              </w:rPr>
              <w:t>Public Sector/City, Nature/CDR/Circularity, Ecosystem/Marketplace Governance</w:t>
            </w:r>
          </w:p>
        </w:tc>
        <w:tc>
          <w:tcPr>
            <w:tcW w:type="dxa" w:w="1728"/>
            <w:vAlign w:val="top"/>
          </w:tcPr>
          <w:p>
            <w:r>
              <w:rPr>
                <w:sz w:val="16"/>
              </w:rPr>
              <w:t>~165 EOY</w:t>
            </w:r>
          </w:p>
        </w:tc>
        <w:tc>
          <w:tcPr>
            <w:tcW w:type="dxa" w:w="5760"/>
            <w:vAlign w:val="top"/>
          </w:tcPr>
          <w:p>
            <w:r>
              <w:rPr>
                <w:sz w:val="16"/>
              </w:rPr>
              <w:t>Scale mature multi-region Climate OS with late-horizon modules and network effects.</w:t>
            </w:r>
          </w:p>
        </w:tc>
      </w:tr>
    </w:tbl>
    <w:p>
      <w:r>
        <w:br w:type="page"/>
      </w:r>
    </w:p>
    <w:p>
      <w:pPr>
        <w:pStyle w:val="Heading1"/>
      </w:pPr>
      <w:r>
        <w:t>Part 3 - Final Release Matrix</w:t>
      </w:r>
    </w:p>
    <w:p>
      <w:pPr>
        <w:spacing w:after="80"/>
      </w:pPr>
      <w:r>
        <w:t>The matrix below is the final CTO release pathway. Launch FY is when design work and alpha access begin. v1.0 GA is the first contractually-supported production release. v2.0 is a major scale/intelligence release. v3.0 is an ecosystem/network generation where appropriate. Products launched late in FY30-FY31 may not reach v2.0 or v3.0 inside this planning horizon.</w:t>
      </w:r>
    </w:p>
    <w:p>
      <w:pPr>
        <w:pStyle w:val="Heading3"/>
      </w:pPr>
      <w:r>
        <w:t>FY27 launch cohort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c>
          <w:tcPr>
            <w:tcW w:type="dxa" w:w="3456"/>
            <w:vAlign w:val="top"/>
            <w:shd w:fill="1F4E79"/>
          </w:tcPr>
          <w:p>
            <w:r>
              <w:rPr>
                <w:b/>
                <w:color w:val="FFFFFF"/>
                <w:sz w:val="16"/>
              </w:rPr>
              <w:t>Product</w:t>
            </w:r>
          </w:p>
        </w:tc>
        <w:tc>
          <w:tcPr>
            <w:tcW w:type="dxa" w:w="2592"/>
            <w:vAlign w:val="top"/>
            <w:shd w:fill="1F4E79"/>
          </w:tcPr>
          <w:p>
            <w:r>
              <w:rPr>
                <w:b/>
                <w:color w:val="FFFFFF"/>
                <w:sz w:val="16"/>
              </w:rPr>
              <w:t>Cloud</w:t>
            </w:r>
          </w:p>
        </w:tc>
        <w:tc>
          <w:tcPr>
            <w:tcW w:type="dxa" w:w="2160"/>
            <w:vAlign w:val="top"/>
            <w:shd w:fill="1F4E79"/>
          </w:tcPr>
          <w:p>
            <w:r>
              <w:rPr>
                <w:b/>
                <w:color w:val="FFFFFF"/>
                <w:sz w:val="16"/>
              </w:rPr>
              <w:t>v1.0 GA</w:t>
            </w:r>
          </w:p>
        </w:tc>
        <w:tc>
          <w:tcPr>
            <w:tcW w:type="dxa" w:w="1728"/>
            <w:vAlign w:val="top"/>
            <w:shd w:fill="1F4E79"/>
          </w:tcPr>
          <w:p>
            <w:r>
              <w:rPr>
                <w:b/>
                <w:color w:val="FFFFFF"/>
                <w:sz w:val="16"/>
              </w:rPr>
              <w:t>v2.0</w:t>
            </w:r>
          </w:p>
        </w:tc>
        <w:tc>
          <w:tcPr>
            <w:tcW w:type="dxa" w:w="1728"/>
            <w:vAlign w:val="top"/>
            <w:shd w:fill="1F4E79"/>
          </w:tcPr>
          <w:p>
            <w:r>
              <w:rPr>
                <w:b/>
                <w:color w:val="FFFFFF"/>
                <w:sz w:val="16"/>
              </w:rPr>
              <w:t>v3.0</w:t>
            </w:r>
          </w:p>
        </w:tc>
      </w:tr>
      <w:tr>
        <w:tc>
          <w:tcPr>
            <w:tcW w:type="dxa" w:w="3456"/>
            <w:vAlign w:val="top"/>
          </w:tcPr>
          <w:p>
            <w:r>
              <w:rPr>
                <w:sz w:val="16"/>
              </w:rPr>
              <w:t>GreenLang Factors</w:t>
            </w:r>
          </w:p>
        </w:tc>
        <w:tc>
          <w:tcPr>
            <w:tcW w:type="dxa" w:w="2592"/>
            <w:vAlign w:val="top"/>
          </w:tcPr>
          <w:p>
            <w:r>
              <w:rPr>
                <w:sz w:val="16"/>
              </w:rPr>
              <w:t>Core Platform</w:t>
            </w:r>
          </w:p>
        </w:tc>
        <w:tc>
          <w:tcPr>
            <w:tcW w:type="dxa" w:w="2160"/>
            <w:vAlign w:val="top"/>
          </w:tcPr>
          <w:p>
            <w:r>
              <w:rPr>
                <w:sz w:val="16"/>
              </w:rPr>
              <w:t>FY27 Q4 (Jan-Mar 2027)</w:t>
            </w:r>
          </w:p>
        </w:tc>
        <w:tc>
          <w:tcPr>
            <w:tcW w:type="dxa" w:w="1728"/>
            <w:vAlign w:val="top"/>
          </w:tcPr>
          <w:p>
            <w:r>
              <w:rPr>
                <w:sz w:val="16"/>
              </w:rPr>
              <w:t>FY29 Q2</w:t>
            </w:r>
          </w:p>
        </w:tc>
        <w:tc>
          <w:tcPr>
            <w:tcW w:type="dxa" w:w="1728"/>
            <w:vAlign w:val="top"/>
          </w:tcPr>
          <w:p>
            <w:r>
              <w:rPr>
                <w:sz w:val="16"/>
              </w:rPr>
              <w:t>FY31 Q1</w:t>
            </w:r>
          </w:p>
        </w:tc>
      </w:tr>
      <w:tr>
        <w:tc>
          <w:tcPr>
            <w:tcW w:type="dxa" w:w="3456"/>
            <w:vAlign w:val="top"/>
          </w:tcPr>
          <w:p>
            <w:r>
              <w:rPr>
                <w:sz w:val="16"/>
              </w:rPr>
              <w:t>GreenLang Connect</w:t>
            </w:r>
          </w:p>
        </w:tc>
        <w:tc>
          <w:tcPr>
            <w:tcW w:type="dxa" w:w="2592"/>
            <w:vAlign w:val="top"/>
          </w:tcPr>
          <w:p>
            <w:r>
              <w:rPr>
                <w:sz w:val="16"/>
              </w:rPr>
              <w:t>Core Platform</w:t>
            </w:r>
          </w:p>
        </w:tc>
        <w:tc>
          <w:tcPr>
            <w:tcW w:type="dxa" w:w="2160"/>
            <w:vAlign w:val="top"/>
          </w:tcPr>
          <w:p>
            <w:r>
              <w:rPr>
                <w:sz w:val="16"/>
              </w:rPr>
              <w:t>FY27 Q4</w:t>
            </w:r>
          </w:p>
        </w:tc>
        <w:tc>
          <w:tcPr>
            <w:tcW w:type="dxa" w:w="1728"/>
            <w:vAlign w:val="top"/>
          </w:tcPr>
          <w:p>
            <w:r>
              <w:rPr>
                <w:sz w:val="16"/>
              </w:rPr>
              <w:t>FY29 Q2</w:t>
            </w:r>
          </w:p>
        </w:tc>
        <w:tc>
          <w:tcPr>
            <w:tcW w:type="dxa" w:w="1728"/>
            <w:vAlign w:val="top"/>
          </w:tcPr>
          <w:p>
            <w:r>
              <w:rPr>
                <w:sz w:val="16"/>
              </w:rPr>
              <w:t>FY31 Q1</w:t>
            </w:r>
          </w:p>
        </w:tc>
      </w:tr>
      <w:tr>
        <w:tc>
          <w:tcPr>
            <w:tcW w:type="dxa" w:w="3456"/>
            <w:vAlign w:val="top"/>
          </w:tcPr>
          <w:p>
            <w:r>
              <w:rPr>
                <w:sz w:val="16"/>
              </w:rPr>
              <w:t>GreenLang Entity Graph</w:t>
            </w:r>
          </w:p>
        </w:tc>
        <w:tc>
          <w:tcPr>
            <w:tcW w:type="dxa" w:w="2592"/>
            <w:vAlign w:val="top"/>
          </w:tcPr>
          <w:p>
            <w:r>
              <w:rPr>
                <w:sz w:val="16"/>
              </w:rPr>
              <w:t>Core Platform</w:t>
            </w:r>
          </w:p>
        </w:tc>
        <w:tc>
          <w:tcPr>
            <w:tcW w:type="dxa" w:w="2160"/>
            <w:vAlign w:val="top"/>
          </w:tcPr>
          <w:p>
            <w:r>
              <w:rPr>
                <w:sz w:val="16"/>
              </w:rPr>
              <w:t>FY28 Q2</w:t>
            </w:r>
          </w:p>
        </w:tc>
        <w:tc>
          <w:tcPr>
            <w:tcW w:type="dxa" w:w="1728"/>
            <w:vAlign w:val="top"/>
          </w:tcPr>
          <w:p>
            <w:r>
              <w:rPr>
                <w:sz w:val="16"/>
              </w:rPr>
              <w:t>FY29 Q4</w:t>
            </w:r>
          </w:p>
        </w:tc>
        <w:tc>
          <w:tcPr>
            <w:tcW w:type="dxa" w:w="1728"/>
            <w:vAlign w:val="top"/>
          </w:tcPr>
          <w:p>
            <w:r>
              <w:rPr>
                <w:sz w:val="16"/>
              </w:rPr>
              <w:t>FY31 Q2</w:t>
            </w:r>
          </w:p>
        </w:tc>
      </w:tr>
      <w:tr>
        <w:tc>
          <w:tcPr>
            <w:tcW w:type="dxa" w:w="3456"/>
            <w:vAlign w:val="top"/>
          </w:tcPr>
          <w:p>
            <w:r>
              <w:rPr>
                <w:sz w:val="16"/>
              </w:rPr>
              <w:t>GreenLang Climate Ledger</w:t>
            </w:r>
          </w:p>
        </w:tc>
        <w:tc>
          <w:tcPr>
            <w:tcW w:type="dxa" w:w="2592"/>
            <w:vAlign w:val="top"/>
          </w:tcPr>
          <w:p>
            <w:r>
              <w:rPr>
                <w:sz w:val="16"/>
              </w:rPr>
              <w:t>Core Platform</w:t>
            </w:r>
          </w:p>
        </w:tc>
        <w:tc>
          <w:tcPr>
            <w:tcW w:type="dxa" w:w="2160"/>
            <w:vAlign w:val="top"/>
          </w:tcPr>
          <w:p>
            <w:r>
              <w:rPr>
                <w:sz w:val="16"/>
              </w:rPr>
              <w:t>FY27 Q4</w:t>
            </w:r>
          </w:p>
        </w:tc>
        <w:tc>
          <w:tcPr>
            <w:tcW w:type="dxa" w:w="1728"/>
            <w:vAlign w:val="top"/>
          </w:tcPr>
          <w:p>
            <w:r>
              <w:rPr>
                <w:sz w:val="16"/>
              </w:rPr>
              <w:t>FY29 Q3</w:t>
            </w:r>
          </w:p>
        </w:tc>
        <w:tc>
          <w:tcPr>
            <w:tcW w:type="dxa" w:w="1728"/>
            <w:vAlign w:val="top"/>
          </w:tcPr>
          <w:p>
            <w:r>
              <w:rPr>
                <w:sz w:val="16"/>
              </w:rPr>
              <w:t>FY31 Q2</w:t>
            </w:r>
          </w:p>
        </w:tc>
      </w:tr>
      <w:tr>
        <w:tc>
          <w:tcPr>
            <w:tcW w:type="dxa" w:w="3456"/>
            <w:vAlign w:val="top"/>
          </w:tcPr>
          <w:p>
            <w:r>
              <w:rPr>
                <w:sz w:val="16"/>
              </w:rPr>
              <w:t>GreenLang Evidence Vault</w:t>
            </w:r>
          </w:p>
        </w:tc>
        <w:tc>
          <w:tcPr>
            <w:tcW w:type="dxa" w:w="2592"/>
            <w:vAlign w:val="top"/>
          </w:tcPr>
          <w:p>
            <w:r>
              <w:rPr>
                <w:sz w:val="16"/>
              </w:rPr>
              <w:t>Core Platform</w:t>
            </w:r>
          </w:p>
        </w:tc>
        <w:tc>
          <w:tcPr>
            <w:tcW w:type="dxa" w:w="2160"/>
            <w:vAlign w:val="top"/>
          </w:tcPr>
          <w:p>
            <w:r>
              <w:rPr>
                <w:sz w:val="16"/>
              </w:rPr>
              <w:t>FY28 Q2</w:t>
            </w:r>
          </w:p>
        </w:tc>
        <w:tc>
          <w:tcPr>
            <w:tcW w:type="dxa" w:w="1728"/>
            <w:vAlign w:val="top"/>
          </w:tcPr>
          <w:p>
            <w:r>
              <w:rPr>
                <w:sz w:val="16"/>
              </w:rPr>
              <w:t>FY29 Q3</w:t>
            </w:r>
          </w:p>
        </w:tc>
        <w:tc>
          <w:tcPr>
            <w:tcW w:type="dxa" w:w="1728"/>
            <w:vAlign w:val="top"/>
          </w:tcPr>
          <w:p>
            <w:r>
              <w:rPr>
                <w:sz w:val="16"/>
              </w:rPr>
              <w:t>FY31 Q2</w:t>
            </w:r>
          </w:p>
        </w:tc>
      </w:tr>
      <w:tr>
        <w:tc>
          <w:tcPr>
            <w:tcW w:type="dxa" w:w="3456"/>
            <w:vAlign w:val="top"/>
          </w:tcPr>
          <w:p>
            <w:r>
              <w:rPr>
                <w:sz w:val="16"/>
              </w:rPr>
              <w:t>GreenLang Policy Graph</w:t>
            </w:r>
          </w:p>
        </w:tc>
        <w:tc>
          <w:tcPr>
            <w:tcW w:type="dxa" w:w="2592"/>
            <w:vAlign w:val="top"/>
          </w:tcPr>
          <w:p>
            <w:r>
              <w:rPr>
                <w:sz w:val="16"/>
              </w:rPr>
              <w:t>Core Platform</w:t>
            </w:r>
          </w:p>
        </w:tc>
        <w:tc>
          <w:tcPr>
            <w:tcW w:type="dxa" w:w="2160"/>
            <w:vAlign w:val="top"/>
          </w:tcPr>
          <w:p>
            <w:r>
              <w:rPr>
                <w:sz w:val="16"/>
              </w:rPr>
              <w:t>FY28 Q1</w:t>
            </w:r>
          </w:p>
        </w:tc>
        <w:tc>
          <w:tcPr>
            <w:tcW w:type="dxa" w:w="1728"/>
            <w:vAlign w:val="top"/>
          </w:tcPr>
          <w:p>
            <w:r>
              <w:rPr>
                <w:sz w:val="16"/>
              </w:rPr>
              <w:t>FY29 Q4</w:t>
            </w:r>
          </w:p>
        </w:tc>
        <w:tc>
          <w:tcPr>
            <w:tcW w:type="dxa" w:w="1728"/>
            <w:vAlign w:val="top"/>
          </w:tcPr>
          <w:p>
            <w:r>
              <w:rPr>
                <w:sz w:val="16"/>
              </w:rPr>
              <w:t>FY31 Q3</w:t>
            </w:r>
          </w:p>
        </w:tc>
      </w:tr>
      <w:tr>
        <w:tc>
          <w:tcPr>
            <w:tcW w:type="dxa" w:w="3456"/>
            <w:vAlign w:val="top"/>
          </w:tcPr>
          <w:p>
            <w:r>
              <w:rPr>
                <w:sz w:val="16"/>
              </w:rPr>
              <w:t>GreenLang Agent Runtime + Eval</w:t>
            </w:r>
          </w:p>
        </w:tc>
        <w:tc>
          <w:tcPr>
            <w:tcW w:type="dxa" w:w="2592"/>
            <w:vAlign w:val="top"/>
          </w:tcPr>
          <w:p>
            <w:r>
              <w:rPr>
                <w:sz w:val="16"/>
              </w:rPr>
              <w:t>Core Platform</w:t>
            </w:r>
          </w:p>
        </w:tc>
        <w:tc>
          <w:tcPr>
            <w:tcW w:type="dxa" w:w="2160"/>
            <w:vAlign w:val="top"/>
          </w:tcPr>
          <w:p>
            <w:r>
              <w:rPr>
                <w:sz w:val="16"/>
              </w:rPr>
              <w:t>FY28 Q2</w:t>
            </w:r>
          </w:p>
        </w:tc>
        <w:tc>
          <w:tcPr>
            <w:tcW w:type="dxa" w:w="1728"/>
            <w:vAlign w:val="top"/>
          </w:tcPr>
          <w:p>
            <w:r>
              <w:rPr>
                <w:sz w:val="16"/>
              </w:rPr>
              <w:t>FY29 Q3</w:t>
            </w:r>
          </w:p>
        </w:tc>
        <w:tc>
          <w:tcPr>
            <w:tcW w:type="dxa" w:w="1728"/>
            <w:vAlign w:val="top"/>
          </w:tcPr>
          <w:p>
            <w:r>
              <w:rPr>
                <w:sz w:val="16"/>
              </w:rPr>
              <w:t>FY31 Q2</w:t>
            </w:r>
          </w:p>
        </w:tc>
      </w:tr>
      <w:tr>
        <w:tc>
          <w:tcPr>
            <w:tcW w:type="dxa" w:w="3456"/>
            <w:vAlign w:val="top"/>
          </w:tcPr>
          <w:p>
            <w:r>
              <w:rPr>
                <w:sz w:val="16"/>
              </w:rPr>
              <w:t>GreenLang SDK/API/CLI</w:t>
            </w:r>
          </w:p>
        </w:tc>
        <w:tc>
          <w:tcPr>
            <w:tcW w:type="dxa" w:w="2592"/>
            <w:vAlign w:val="top"/>
          </w:tcPr>
          <w:p>
            <w:r>
              <w:rPr>
                <w:sz w:val="16"/>
              </w:rPr>
              <w:t>Core Platform</w:t>
            </w:r>
          </w:p>
        </w:tc>
        <w:tc>
          <w:tcPr>
            <w:tcW w:type="dxa" w:w="2160"/>
            <w:vAlign w:val="top"/>
          </w:tcPr>
          <w:p>
            <w:r>
              <w:rPr>
                <w:sz w:val="16"/>
              </w:rPr>
              <w:t>FY27 Q4</w:t>
            </w:r>
          </w:p>
        </w:tc>
        <w:tc>
          <w:tcPr>
            <w:tcW w:type="dxa" w:w="1728"/>
            <w:vAlign w:val="top"/>
          </w:tcPr>
          <w:p>
            <w:r>
              <w:rPr>
                <w:sz w:val="16"/>
              </w:rPr>
              <w:t>FY29 Q2</w:t>
            </w:r>
          </w:p>
        </w:tc>
        <w:tc>
          <w:tcPr>
            <w:tcW w:type="dxa" w:w="1728"/>
            <w:vAlign w:val="top"/>
          </w:tcPr>
          <w:p>
            <w:r>
              <w:rPr>
                <w:sz w:val="16"/>
              </w:rPr>
              <w:t>FY31 Q1</w:t>
            </w:r>
          </w:p>
        </w:tc>
      </w:tr>
      <w:tr>
        <w:tc>
          <w:tcPr>
            <w:tcW w:type="dxa" w:w="3456"/>
            <w:vAlign w:val="top"/>
          </w:tcPr>
          <w:p>
            <w:r>
              <w:rPr>
                <w:sz w:val="16"/>
              </w:rPr>
              <w:t>GreenLang Comply</w:t>
            </w:r>
          </w:p>
        </w:tc>
        <w:tc>
          <w:tcPr>
            <w:tcW w:type="dxa" w:w="2592"/>
            <w:vAlign w:val="top"/>
          </w:tcPr>
          <w:p>
            <w:r>
              <w:rPr>
                <w:sz w:val="16"/>
              </w:rPr>
              <w:t>Compliance Cloud</w:t>
            </w:r>
          </w:p>
        </w:tc>
        <w:tc>
          <w:tcPr>
            <w:tcW w:type="dxa" w:w="2160"/>
            <w:vAlign w:val="top"/>
          </w:tcPr>
          <w:p>
            <w:r>
              <w:rPr>
                <w:sz w:val="16"/>
              </w:rPr>
              <w:t>FY28 Q2</w:t>
            </w:r>
          </w:p>
        </w:tc>
        <w:tc>
          <w:tcPr>
            <w:tcW w:type="dxa" w:w="1728"/>
            <w:vAlign w:val="top"/>
          </w:tcPr>
          <w:p>
            <w:r>
              <w:rPr>
                <w:sz w:val="16"/>
              </w:rPr>
              <w:t>FY29 Q3</w:t>
            </w:r>
          </w:p>
        </w:tc>
        <w:tc>
          <w:tcPr>
            <w:tcW w:type="dxa" w:w="1728"/>
            <w:vAlign w:val="top"/>
          </w:tcPr>
          <w:p>
            <w:r>
              <w:rPr>
                <w:sz w:val="16"/>
              </w:rPr>
              <w:t>FY31 Q2</w:t>
            </w:r>
          </w:p>
        </w:tc>
      </w:tr>
      <w:tr>
        <w:tc>
          <w:tcPr>
            <w:tcW w:type="dxa" w:w="3456"/>
            <w:vAlign w:val="top"/>
          </w:tcPr>
          <w:p>
            <w:r>
              <w:rPr>
                <w:sz w:val="16"/>
              </w:rPr>
              <w:t>GreenLang CBAM</w:t>
            </w:r>
          </w:p>
        </w:tc>
        <w:tc>
          <w:tcPr>
            <w:tcW w:type="dxa" w:w="2592"/>
            <w:vAlign w:val="top"/>
          </w:tcPr>
          <w:p>
            <w:r>
              <w:rPr>
                <w:sz w:val="16"/>
              </w:rPr>
              <w:t>Compliance Cloud</w:t>
            </w:r>
          </w:p>
        </w:tc>
        <w:tc>
          <w:tcPr>
            <w:tcW w:type="dxa" w:w="2160"/>
            <w:vAlign w:val="top"/>
          </w:tcPr>
          <w:p>
            <w:r>
              <w:rPr>
                <w:sz w:val="16"/>
              </w:rPr>
              <w:t>FY27 Q4</w:t>
            </w:r>
          </w:p>
        </w:tc>
        <w:tc>
          <w:tcPr>
            <w:tcW w:type="dxa" w:w="1728"/>
            <w:vAlign w:val="top"/>
          </w:tcPr>
          <w:p>
            <w:r>
              <w:rPr>
                <w:sz w:val="16"/>
              </w:rPr>
              <w:t>FY29 Q2</w:t>
            </w:r>
          </w:p>
        </w:tc>
        <w:tc>
          <w:tcPr>
            <w:tcW w:type="dxa" w:w="1728"/>
            <w:vAlign w:val="top"/>
          </w:tcPr>
          <w:p>
            <w:r>
              <w:rPr>
                <w:sz w:val="16"/>
              </w:rPr>
              <w:t>FY31 Q1</w:t>
            </w:r>
          </w:p>
        </w:tc>
      </w:tr>
      <w:tr>
        <w:tc>
          <w:tcPr>
            <w:tcW w:type="dxa" w:w="3456"/>
            <w:vAlign w:val="top"/>
          </w:tcPr>
          <w:p>
            <w:r>
              <w:rPr>
                <w:sz w:val="16"/>
              </w:rPr>
              <w:t>GreenLang Scope Engine</w:t>
            </w:r>
          </w:p>
        </w:tc>
        <w:tc>
          <w:tcPr>
            <w:tcW w:type="dxa" w:w="2592"/>
            <w:vAlign w:val="top"/>
          </w:tcPr>
          <w:p>
            <w:r>
              <w:rPr>
                <w:sz w:val="16"/>
              </w:rPr>
              <w:t>Compliance Cloud</w:t>
            </w:r>
          </w:p>
        </w:tc>
        <w:tc>
          <w:tcPr>
            <w:tcW w:type="dxa" w:w="2160"/>
            <w:vAlign w:val="top"/>
          </w:tcPr>
          <w:p>
            <w:r>
              <w:rPr>
                <w:sz w:val="16"/>
              </w:rPr>
              <w:t>FY27 Q4</w:t>
            </w:r>
          </w:p>
        </w:tc>
        <w:tc>
          <w:tcPr>
            <w:tcW w:type="dxa" w:w="1728"/>
            <w:vAlign w:val="top"/>
          </w:tcPr>
          <w:p>
            <w:r>
              <w:rPr>
                <w:sz w:val="16"/>
              </w:rPr>
              <w:t>FY29 Q3</w:t>
            </w:r>
          </w:p>
        </w:tc>
        <w:tc>
          <w:tcPr>
            <w:tcW w:type="dxa" w:w="1728"/>
            <w:vAlign w:val="top"/>
          </w:tcPr>
          <w:p>
            <w:r>
              <w:rPr>
                <w:sz w:val="16"/>
              </w:rPr>
              <w:t>FY31 Q2</w:t>
            </w:r>
          </w:p>
        </w:tc>
      </w:tr>
    </w:tbl>
    <w:p>
      <w:pPr>
        <w:pStyle w:val="Heading3"/>
      </w:pPr>
      <w:r>
        <w:t>FY28 launch cohort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c>
          <w:tcPr>
            <w:tcW w:type="dxa" w:w="3456"/>
            <w:vAlign w:val="top"/>
            <w:shd w:fill="1F4E79"/>
          </w:tcPr>
          <w:p>
            <w:r>
              <w:rPr>
                <w:b/>
                <w:color w:val="FFFFFF"/>
                <w:sz w:val="16"/>
              </w:rPr>
              <w:t>Product</w:t>
            </w:r>
          </w:p>
        </w:tc>
        <w:tc>
          <w:tcPr>
            <w:tcW w:type="dxa" w:w="2592"/>
            <w:vAlign w:val="top"/>
            <w:shd w:fill="1F4E79"/>
          </w:tcPr>
          <w:p>
            <w:r>
              <w:rPr>
                <w:b/>
                <w:color w:val="FFFFFF"/>
                <w:sz w:val="16"/>
              </w:rPr>
              <w:t>Cloud</w:t>
            </w:r>
          </w:p>
        </w:tc>
        <w:tc>
          <w:tcPr>
            <w:tcW w:type="dxa" w:w="2160"/>
            <w:vAlign w:val="top"/>
            <w:shd w:fill="1F4E79"/>
          </w:tcPr>
          <w:p>
            <w:r>
              <w:rPr>
                <w:b/>
                <w:color w:val="FFFFFF"/>
                <w:sz w:val="16"/>
              </w:rPr>
              <w:t>v1.0 GA</w:t>
            </w:r>
          </w:p>
        </w:tc>
        <w:tc>
          <w:tcPr>
            <w:tcW w:type="dxa" w:w="1728"/>
            <w:vAlign w:val="top"/>
            <w:shd w:fill="1F4E79"/>
          </w:tcPr>
          <w:p>
            <w:r>
              <w:rPr>
                <w:b/>
                <w:color w:val="FFFFFF"/>
                <w:sz w:val="16"/>
              </w:rPr>
              <w:t>v2.0</w:t>
            </w:r>
          </w:p>
        </w:tc>
        <w:tc>
          <w:tcPr>
            <w:tcW w:type="dxa" w:w="1728"/>
            <w:vAlign w:val="top"/>
            <w:shd w:fill="1F4E79"/>
          </w:tcPr>
          <w:p>
            <w:r>
              <w:rPr>
                <w:b/>
                <w:color w:val="FFFFFF"/>
                <w:sz w:val="16"/>
              </w:rPr>
              <w:t>v3.0</w:t>
            </w:r>
          </w:p>
        </w:tc>
      </w:tr>
      <w:tr>
        <w:tc>
          <w:tcPr>
            <w:tcW w:type="dxa" w:w="3456"/>
            <w:vAlign w:val="top"/>
          </w:tcPr>
          <w:p>
            <w:r>
              <w:rPr>
                <w:sz w:val="16"/>
              </w:rPr>
              <w:t>GreenLang SupplierOS</w:t>
            </w:r>
          </w:p>
        </w:tc>
        <w:tc>
          <w:tcPr>
            <w:tcW w:type="dxa" w:w="2592"/>
            <w:vAlign w:val="top"/>
          </w:tcPr>
          <w:p>
            <w:r>
              <w:rPr>
                <w:sz w:val="16"/>
              </w:rPr>
              <w:t>Supply Chain Cloud</w:t>
            </w:r>
          </w:p>
        </w:tc>
        <w:tc>
          <w:tcPr>
            <w:tcW w:type="dxa" w:w="2160"/>
            <w:vAlign w:val="top"/>
          </w:tcPr>
          <w:p>
            <w:r>
              <w:rPr>
                <w:sz w:val="16"/>
              </w:rPr>
              <w:t>FY28 Q4</w:t>
            </w:r>
          </w:p>
        </w:tc>
        <w:tc>
          <w:tcPr>
            <w:tcW w:type="dxa" w:w="1728"/>
            <w:vAlign w:val="top"/>
          </w:tcPr>
          <w:p>
            <w:r>
              <w:rPr>
                <w:sz w:val="16"/>
              </w:rPr>
              <w:t>FY30 Q2</w:t>
            </w:r>
          </w:p>
        </w:tc>
        <w:tc>
          <w:tcPr>
            <w:tcW w:type="dxa" w:w="1728"/>
            <w:vAlign w:val="top"/>
          </w:tcPr>
          <w:p>
            <w:r>
              <w:rPr>
                <w:sz w:val="16"/>
              </w:rPr>
              <w:t>FY31 Q3</w:t>
            </w:r>
          </w:p>
        </w:tc>
      </w:tr>
      <w:tr>
        <w:tc>
          <w:tcPr>
            <w:tcW w:type="dxa" w:w="3456"/>
            <w:vAlign w:val="top"/>
          </w:tcPr>
          <w:p>
            <w:r>
              <w:rPr>
                <w:sz w:val="16"/>
              </w:rPr>
              <w:t>GreenLang PCF Studio</w:t>
            </w:r>
          </w:p>
        </w:tc>
        <w:tc>
          <w:tcPr>
            <w:tcW w:type="dxa" w:w="2592"/>
            <w:vAlign w:val="top"/>
          </w:tcPr>
          <w:p>
            <w:r>
              <w:rPr>
                <w:sz w:val="16"/>
              </w:rPr>
              <w:t>Supply Chain Cloud</w:t>
            </w:r>
          </w:p>
        </w:tc>
        <w:tc>
          <w:tcPr>
            <w:tcW w:type="dxa" w:w="2160"/>
            <w:vAlign w:val="top"/>
          </w:tcPr>
          <w:p>
            <w:r>
              <w:rPr>
                <w:sz w:val="16"/>
              </w:rPr>
              <w:t>FY28 Q4</w:t>
            </w:r>
          </w:p>
        </w:tc>
        <w:tc>
          <w:tcPr>
            <w:tcW w:type="dxa" w:w="1728"/>
            <w:vAlign w:val="top"/>
          </w:tcPr>
          <w:p>
            <w:r>
              <w:rPr>
                <w:sz w:val="16"/>
              </w:rPr>
              <w:t>FY30 Q2</w:t>
            </w:r>
          </w:p>
        </w:tc>
        <w:tc>
          <w:tcPr>
            <w:tcW w:type="dxa" w:w="1728"/>
            <w:vAlign w:val="top"/>
          </w:tcPr>
          <w:p>
            <w:r>
              <w:rPr>
                <w:sz w:val="16"/>
              </w:rPr>
              <w:t>FY31 Q3</w:t>
            </w:r>
          </w:p>
        </w:tc>
      </w:tr>
      <w:tr>
        <w:tc>
          <w:tcPr>
            <w:tcW w:type="dxa" w:w="3456"/>
            <w:vAlign w:val="top"/>
          </w:tcPr>
          <w:p>
            <w:r>
              <w:rPr>
                <w:sz w:val="16"/>
              </w:rPr>
              <w:t>GreenLang DPP Hub</w:t>
            </w:r>
          </w:p>
        </w:tc>
        <w:tc>
          <w:tcPr>
            <w:tcW w:type="dxa" w:w="2592"/>
            <w:vAlign w:val="top"/>
          </w:tcPr>
          <w:p>
            <w:r>
              <w:rPr>
                <w:sz w:val="16"/>
              </w:rPr>
              <w:t>Supply Chain Cloud</w:t>
            </w:r>
          </w:p>
        </w:tc>
        <w:tc>
          <w:tcPr>
            <w:tcW w:type="dxa" w:w="2160"/>
            <w:vAlign w:val="top"/>
          </w:tcPr>
          <w:p>
            <w:r>
              <w:rPr>
                <w:sz w:val="16"/>
              </w:rPr>
              <w:t>FY29 Q2</w:t>
            </w:r>
          </w:p>
        </w:tc>
        <w:tc>
          <w:tcPr>
            <w:tcW w:type="dxa" w:w="1728"/>
            <w:vAlign w:val="top"/>
          </w:tcPr>
          <w:p>
            <w:r>
              <w:rPr>
                <w:sz w:val="16"/>
              </w:rPr>
              <w:t>FY30 Q3</w:t>
            </w:r>
          </w:p>
        </w:tc>
        <w:tc>
          <w:tcPr>
            <w:tcW w:type="dxa" w:w="1728"/>
            <w:vAlign w:val="top"/>
          </w:tcPr>
          <w:p>
            <w:r>
              <w:rPr>
                <w:sz w:val="16"/>
              </w:rPr>
              <w:t>FY31 Q3</w:t>
            </w:r>
          </w:p>
        </w:tc>
      </w:tr>
      <w:tr>
        <w:tc>
          <w:tcPr>
            <w:tcW w:type="dxa" w:w="3456"/>
            <w:vAlign w:val="top"/>
          </w:tcPr>
          <w:p>
            <w:r>
              <w:rPr>
                <w:sz w:val="16"/>
              </w:rPr>
              <w:t>GreenLang PlantOS</w:t>
            </w:r>
          </w:p>
        </w:tc>
        <w:tc>
          <w:tcPr>
            <w:tcW w:type="dxa" w:w="2592"/>
            <w:vAlign w:val="top"/>
          </w:tcPr>
          <w:p>
            <w:r>
              <w:rPr>
                <w:sz w:val="16"/>
              </w:rPr>
              <w:t>Operations Cloud</w:t>
            </w:r>
          </w:p>
        </w:tc>
        <w:tc>
          <w:tcPr>
            <w:tcW w:type="dxa" w:w="2160"/>
            <w:vAlign w:val="top"/>
          </w:tcPr>
          <w:p>
            <w:r>
              <w:rPr>
                <w:sz w:val="16"/>
              </w:rPr>
              <w:t>FY28 Q4</w:t>
            </w:r>
          </w:p>
        </w:tc>
        <w:tc>
          <w:tcPr>
            <w:tcW w:type="dxa" w:w="1728"/>
            <w:vAlign w:val="top"/>
          </w:tcPr>
          <w:p>
            <w:r>
              <w:rPr>
                <w:sz w:val="16"/>
              </w:rPr>
              <w:t>FY30 Q2</w:t>
            </w:r>
          </w:p>
        </w:tc>
        <w:tc>
          <w:tcPr>
            <w:tcW w:type="dxa" w:w="1728"/>
            <w:vAlign w:val="top"/>
          </w:tcPr>
          <w:p>
            <w:r>
              <w:rPr>
                <w:sz w:val="16"/>
              </w:rPr>
              <w:t>FY31 Q3</w:t>
            </w:r>
          </w:p>
        </w:tc>
      </w:tr>
      <w:tr>
        <w:tc>
          <w:tcPr>
            <w:tcW w:type="dxa" w:w="3456"/>
            <w:vAlign w:val="top"/>
          </w:tcPr>
          <w:p>
            <w:r>
              <w:rPr>
                <w:sz w:val="16"/>
              </w:rPr>
              <w:t>GreenLang BuildingOS</w:t>
            </w:r>
          </w:p>
        </w:tc>
        <w:tc>
          <w:tcPr>
            <w:tcW w:type="dxa" w:w="2592"/>
            <w:vAlign w:val="top"/>
          </w:tcPr>
          <w:p>
            <w:r>
              <w:rPr>
                <w:sz w:val="16"/>
              </w:rPr>
              <w:t>Operations Cloud</w:t>
            </w:r>
          </w:p>
        </w:tc>
        <w:tc>
          <w:tcPr>
            <w:tcW w:type="dxa" w:w="2160"/>
            <w:vAlign w:val="top"/>
          </w:tcPr>
          <w:p>
            <w:r>
              <w:rPr>
                <w:sz w:val="16"/>
              </w:rPr>
              <w:t>FY28 Q4</w:t>
            </w:r>
          </w:p>
        </w:tc>
        <w:tc>
          <w:tcPr>
            <w:tcW w:type="dxa" w:w="1728"/>
            <w:vAlign w:val="top"/>
          </w:tcPr>
          <w:p>
            <w:r>
              <w:rPr>
                <w:sz w:val="16"/>
              </w:rPr>
              <w:t>FY30 Q2</w:t>
            </w:r>
          </w:p>
        </w:tc>
        <w:tc>
          <w:tcPr>
            <w:tcW w:type="dxa" w:w="1728"/>
            <w:vAlign w:val="top"/>
          </w:tcPr>
          <w:p>
            <w:r>
              <w:rPr>
                <w:sz w:val="16"/>
              </w:rPr>
              <w:t>FY31 Q3</w:t>
            </w:r>
          </w:p>
        </w:tc>
      </w:tr>
    </w:tbl>
    <w:p>
      <w:pPr>
        <w:pStyle w:val="Heading3"/>
      </w:pPr>
      <w:r>
        <w:t>FY29 launch cohort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c>
          <w:tcPr>
            <w:tcW w:type="dxa" w:w="3456"/>
            <w:vAlign w:val="top"/>
            <w:shd w:fill="1F4E79"/>
          </w:tcPr>
          <w:p>
            <w:r>
              <w:rPr>
                <w:b/>
                <w:color w:val="FFFFFF"/>
                <w:sz w:val="16"/>
              </w:rPr>
              <w:t>Product</w:t>
            </w:r>
          </w:p>
        </w:tc>
        <w:tc>
          <w:tcPr>
            <w:tcW w:type="dxa" w:w="2592"/>
            <w:vAlign w:val="top"/>
            <w:shd w:fill="1F4E79"/>
          </w:tcPr>
          <w:p>
            <w:r>
              <w:rPr>
                <w:b/>
                <w:color w:val="FFFFFF"/>
                <w:sz w:val="16"/>
              </w:rPr>
              <w:t>Cloud</w:t>
            </w:r>
          </w:p>
        </w:tc>
        <w:tc>
          <w:tcPr>
            <w:tcW w:type="dxa" w:w="2160"/>
            <w:vAlign w:val="top"/>
            <w:shd w:fill="1F4E79"/>
          </w:tcPr>
          <w:p>
            <w:r>
              <w:rPr>
                <w:b/>
                <w:color w:val="FFFFFF"/>
                <w:sz w:val="16"/>
              </w:rPr>
              <w:t>v1.0 GA</w:t>
            </w:r>
          </w:p>
        </w:tc>
        <w:tc>
          <w:tcPr>
            <w:tcW w:type="dxa" w:w="1728"/>
            <w:vAlign w:val="top"/>
            <w:shd w:fill="1F4E79"/>
          </w:tcPr>
          <w:p>
            <w:r>
              <w:rPr>
                <w:b/>
                <w:color w:val="FFFFFF"/>
                <w:sz w:val="16"/>
              </w:rPr>
              <w:t>v2.0</w:t>
            </w:r>
          </w:p>
        </w:tc>
        <w:tc>
          <w:tcPr>
            <w:tcW w:type="dxa" w:w="1728"/>
            <w:vAlign w:val="top"/>
            <w:shd w:fill="1F4E79"/>
          </w:tcPr>
          <w:p>
            <w:r>
              <w:rPr>
                <w:b/>
                <w:color w:val="FFFFFF"/>
                <w:sz w:val="16"/>
              </w:rPr>
              <w:t>v3.0</w:t>
            </w:r>
          </w:p>
        </w:tc>
      </w:tr>
      <w:tr>
        <w:tc>
          <w:tcPr>
            <w:tcW w:type="dxa" w:w="3456"/>
            <w:vAlign w:val="top"/>
          </w:tcPr>
          <w:p>
            <w:r>
              <w:rPr>
                <w:sz w:val="16"/>
              </w:rPr>
              <w:t>GreenLang Proof Hub</w:t>
            </w:r>
          </w:p>
        </w:tc>
        <w:tc>
          <w:tcPr>
            <w:tcW w:type="dxa" w:w="2592"/>
            <w:vAlign w:val="top"/>
          </w:tcPr>
          <w:p>
            <w:r>
              <w:rPr>
                <w:sz w:val="16"/>
              </w:rPr>
              <w:t>Supply Chain Cloud</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w:t>
            </w:r>
          </w:p>
        </w:tc>
      </w:tr>
      <w:tr>
        <w:tc>
          <w:tcPr>
            <w:tcW w:type="dxa" w:w="3456"/>
            <w:vAlign w:val="top"/>
          </w:tcPr>
          <w:p>
            <w:r>
              <w:rPr>
                <w:sz w:val="16"/>
              </w:rPr>
              <w:t>GreenLang DataCenter CarbonOps</w:t>
            </w:r>
          </w:p>
        </w:tc>
        <w:tc>
          <w:tcPr>
            <w:tcW w:type="dxa" w:w="2592"/>
            <w:vAlign w:val="top"/>
          </w:tcPr>
          <w:p>
            <w:r>
              <w:rPr>
                <w:sz w:val="16"/>
              </w:rPr>
              <w:t>Operations Cloud</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w:t>
            </w:r>
          </w:p>
        </w:tc>
      </w:tr>
      <w:tr>
        <w:tc>
          <w:tcPr>
            <w:tcW w:type="dxa" w:w="3456"/>
            <w:vAlign w:val="top"/>
          </w:tcPr>
          <w:p>
            <w:r>
              <w:rPr>
                <w:sz w:val="16"/>
              </w:rPr>
              <w:t>GreenLang PowerOS</w:t>
            </w:r>
          </w:p>
        </w:tc>
        <w:tc>
          <w:tcPr>
            <w:tcW w:type="dxa" w:w="2592"/>
            <w:vAlign w:val="top"/>
          </w:tcPr>
          <w:p>
            <w:r>
              <w:rPr>
                <w:sz w:val="16"/>
              </w:rPr>
              <w:t>Operations Cloud</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w:t>
            </w:r>
          </w:p>
        </w:tc>
      </w:tr>
      <w:tr>
        <w:tc>
          <w:tcPr>
            <w:tcW w:type="dxa" w:w="3456"/>
            <w:vAlign w:val="top"/>
          </w:tcPr>
          <w:p>
            <w:r>
              <w:rPr>
                <w:sz w:val="16"/>
              </w:rPr>
              <w:t>GreenLang FleetOS</w:t>
            </w:r>
          </w:p>
        </w:tc>
        <w:tc>
          <w:tcPr>
            <w:tcW w:type="dxa" w:w="2592"/>
            <w:vAlign w:val="top"/>
          </w:tcPr>
          <w:p>
            <w:r>
              <w:rPr>
                <w:sz w:val="16"/>
              </w:rPr>
              <w:t>Mobility Cloud</w:t>
            </w:r>
          </w:p>
        </w:tc>
        <w:tc>
          <w:tcPr>
            <w:tcW w:type="dxa" w:w="2160"/>
            <w:vAlign w:val="top"/>
          </w:tcPr>
          <w:p>
            <w:r>
              <w:rPr>
                <w:sz w:val="16"/>
              </w:rPr>
              <w:t>FY29 Q4</w:t>
            </w:r>
          </w:p>
        </w:tc>
        <w:tc>
          <w:tcPr>
            <w:tcW w:type="dxa" w:w="1728"/>
            <w:vAlign w:val="top"/>
          </w:tcPr>
          <w:p>
            <w:r>
              <w:rPr>
                <w:sz w:val="16"/>
              </w:rPr>
              <w:t>FY31 Q2</w:t>
            </w:r>
          </w:p>
        </w:tc>
        <w:tc>
          <w:tcPr>
            <w:tcW w:type="dxa" w:w="1728"/>
            <w:vAlign w:val="top"/>
          </w:tcPr>
          <w:p>
            <w:r>
              <w:rPr>
                <w:sz w:val="16"/>
              </w:rPr>
              <w:t>-</w:t>
            </w:r>
          </w:p>
        </w:tc>
      </w:tr>
      <w:tr>
        <w:tc>
          <w:tcPr>
            <w:tcW w:type="dxa" w:w="3456"/>
            <w:vAlign w:val="top"/>
          </w:tcPr>
          <w:p>
            <w:r>
              <w:rPr>
                <w:sz w:val="16"/>
              </w:rPr>
              <w:t>GreenLang RiskOS</w:t>
            </w:r>
          </w:p>
        </w:tc>
        <w:tc>
          <w:tcPr>
            <w:tcW w:type="dxa" w:w="2592"/>
            <w:vAlign w:val="top"/>
          </w:tcPr>
          <w:p>
            <w:r>
              <w:rPr>
                <w:sz w:val="16"/>
              </w:rPr>
              <w:t>Risk &amp; Public Sector</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w:t>
            </w:r>
          </w:p>
        </w:tc>
      </w:tr>
      <w:tr>
        <w:tc>
          <w:tcPr>
            <w:tcW w:type="dxa" w:w="3456"/>
            <w:vAlign w:val="top"/>
          </w:tcPr>
          <w:p>
            <w:r>
              <w:rPr>
                <w:sz w:val="16"/>
              </w:rPr>
              <w:t>GreenLang FinanceOS</w:t>
            </w:r>
          </w:p>
        </w:tc>
        <w:tc>
          <w:tcPr>
            <w:tcW w:type="dxa" w:w="2592"/>
            <w:vAlign w:val="top"/>
          </w:tcPr>
          <w:p>
            <w:r>
              <w:rPr>
                <w:sz w:val="16"/>
              </w:rPr>
              <w:t>Finance &amp; Markets</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FY31 Q4</w:t>
            </w:r>
          </w:p>
        </w:tc>
      </w:tr>
      <w:tr>
        <w:tc>
          <w:tcPr>
            <w:tcW w:type="dxa" w:w="3456"/>
            <w:vAlign w:val="top"/>
          </w:tcPr>
          <w:p>
            <w:r>
              <w:rPr>
                <w:sz w:val="16"/>
              </w:rPr>
              <w:t>GreenLang MRV Studio</w:t>
            </w:r>
          </w:p>
        </w:tc>
        <w:tc>
          <w:tcPr>
            <w:tcW w:type="dxa" w:w="2592"/>
            <w:vAlign w:val="top"/>
          </w:tcPr>
          <w:p>
            <w:r>
              <w:rPr>
                <w:sz w:val="16"/>
              </w:rPr>
              <w:t>Finance &amp; Markets</w:t>
            </w:r>
          </w:p>
        </w:tc>
        <w:tc>
          <w:tcPr>
            <w:tcW w:type="dxa" w:w="2160"/>
            <w:vAlign w:val="top"/>
          </w:tcPr>
          <w:p>
            <w:r>
              <w:rPr>
                <w:sz w:val="16"/>
              </w:rPr>
              <w:t>FY29 Q4</w:t>
            </w:r>
          </w:p>
        </w:tc>
        <w:tc>
          <w:tcPr>
            <w:tcW w:type="dxa" w:w="1728"/>
            <w:vAlign w:val="top"/>
          </w:tcPr>
          <w:p>
            <w:r>
              <w:rPr>
                <w:sz w:val="16"/>
              </w:rPr>
              <w:t>FY30 Q4</w:t>
            </w:r>
          </w:p>
        </w:tc>
        <w:tc>
          <w:tcPr>
            <w:tcW w:type="dxa" w:w="1728"/>
            <w:vAlign w:val="top"/>
          </w:tcPr>
          <w:p>
            <w:r>
              <w:rPr>
                <w:sz w:val="16"/>
              </w:rPr>
              <w:t>-</w:t>
            </w:r>
          </w:p>
        </w:tc>
      </w:tr>
    </w:tbl>
    <w:p>
      <w:pPr>
        <w:pStyle w:val="Heading3"/>
      </w:pPr>
      <w:r>
        <w:t>FY30 launch cohort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c>
          <w:tcPr>
            <w:tcW w:type="dxa" w:w="3456"/>
            <w:vAlign w:val="top"/>
            <w:shd w:fill="1F4E79"/>
          </w:tcPr>
          <w:p>
            <w:r>
              <w:rPr>
                <w:b/>
                <w:color w:val="FFFFFF"/>
                <w:sz w:val="16"/>
              </w:rPr>
              <w:t>Product</w:t>
            </w:r>
          </w:p>
        </w:tc>
        <w:tc>
          <w:tcPr>
            <w:tcW w:type="dxa" w:w="2592"/>
            <w:vAlign w:val="top"/>
            <w:shd w:fill="1F4E79"/>
          </w:tcPr>
          <w:p>
            <w:r>
              <w:rPr>
                <w:b/>
                <w:color w:val="FFFFFF"/>
                <w:sz w:val="16"/>
              </w:rPr>
              <w:t>Cloud</w:t>
            </w:r>
          </w:p>
        </w:tc>
        <w:tc>
          <w:tcPr>
            <w:tcW w:type="dxa" w:w="2160"/>
            <w:vAlign w:val="top"/>
            <w:shd w:fill="1F4E79"/>
          </w:tcPr>
          <w:p>
            <w:r>
              <w:rPr>
                <w:b/>
                <w:color w:val="FFFFFF"/>
                <w:sz w:val="16"/>
              </w:rPr>
              <w:t>v1.0 GA</w:t>
            </w:r>
          </w:p>
        </w:tc>
        <w:tc>
          <w:tcPr>
            <w:tcW w:type="dxa" w:w="1728"/>
            <w:vAlign w:val="top"/>
            <w:shd w:fill="1F4E79"/>
          </w:tcPr>
          <w:p>
            <w:r>
              <w:rPr>
                <w:b/>
                <w:color w:val="FFFFFF"/>
                <w:sz w:val="16"/>
              </w:rPr>
              <w:t>v2.0</w:t>
            </w:r>
          </w:p>
        </w:tc>
        <w:tc>
          <w:tcPr>
            <w:tcW w:type="dxa" w:w="1728"/>
            <w:vAlign w:val="top"/>
            <w:shd w:fill="1F4E79"/>
          </w:tcPr>
          <w:p>
            <w:r>
              <w:rPr>
                <w:b/>
                <w:color w:val="FFFFFF"/>
                <w:sz w:val="16"/>
              </w:rPr>
              <w:t>v3.0</w:t>
            </w:r>
          </w:p>
        </w:tc>
      </w:tr>
      <w:tr>
        <w:tc>
          <w:tcPr>
            <w:tcW w:type="dxa" w:w="3456"/>
            <w:vAlign w:val="top"/>
          </w:tcPr>
          <w:p>
            <w:r>
              <w:rPr>
                <w:sz w:val="16"/>
              </w:rPr>
              <w:t>GreenLang FlexOS</w:t>
            </w:r>
          </w:p>
        </w:tc>
        <w:tc>
          <w:tcPr>
            <w:tcW w:type="dxa" w:w="2592"/>
            <w:vAlign w:val="top"/>
          </w:tcPr>
          <w:p>
            <w:r>
              <w:rPr>
                <w:sz w:val="16"/>
              </w:rPr>
              <w:t>Operations Cloud</w:t>
            </w:r>
          </w:p>
        </w:tc>
        <w:tc>
          <w:tcPr>
            <w:tcW w:type="dxa" w:w="2160"/>
            <w:vAlign w:val="top"/>
          </w:tcPr>
          <w:p>
            <w:r>
              <w:rPr>
                <w:sz w:val="16"/>
              </w:rPr>
              <w:t>FY30 Q4</w:t>
            </w:r>
          </w:p>
        </w:tc>
        <w:tc>
          <w:tcPr>
            <w:tcW w:type="dxa" w:w="1728"/>
            <w:vAlign w:val="top"/>
          </w:tcPr>
          <w:p>
            <w:r>
              <w:rPr>
                <w:sz w:val="16"/>
              </w:rPr>
              <w:t>FY31 Q4</w:t>
            </w:r>
          </w:p>
        </w:tc>
        <w:tc>
          <w:tcPr>
            <w:tcW w:type="dxa" w:w="1728"/>
            <w:vAlign w:val="top"/>
          </w:tcPr>
          <w:p>
            <w:r>
              <w:rPr>
                <w:sz w:val="16"/>
              </w:rPr>
              <w:t>-</w:t>
            </w:r>
          </w:p>
        </w:tc>
      </w:tr>
      <w:tr>
        <w:tc>
          <w:tcPr>
            <w:tcW w:type="dxa" w:w="3456"/>
            <w:vAlign w:val="top"/>
          </w:tcPr>
          <w:p>
            <w:r>
              <w:rPr>
                <w:sz w:val="16"/>
              </w:rPr>
              <w:t>GreenLang Microgrid Planner</w:t>
            </w:r>
          </w:p>
        </w:tc>
        <w:tc>
          <w:tcPr>
            <w:tcW w:type="dxa" w:w="2592"/>
            <w:vAlign w:val="top"/>
          </w:tcPr>
          <w:p>
            <w:r>
              <w:rPr>
                <w:sz w:val="16"/>
              </w:rPr>
              <w:t>Operations Cloud</w:t>
            </w:r>
          </w:p>
        </w:tc>
        <w:tc>
          <w:tcPr>
            <w:tcW w:type="dxa" w:w="2160"/>
            <w:vAlign w:val="top"/>
          </w:tcPr>
          <w:p>
            <w:r>
              <w:rPr>
                <w:sz w:val="16"/>
              </w:rPr>
              <w:t>FY30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Freight Carbon API</w:t>
            </w:r>
          </w:p>
        </w:tc>
        <w:tc>
          <w:tcPr>
            <w:tcW w:type="dxa" w:w="2592"/>
            <w:vAlign w:val="top"/>
          </w:tcPr>
          <w:p>
            <w:r>
              <w:rPr>
                <w:sz w:val="16"/>
              </w:rPr>
              <w:t>Mobility Cloud</w:t>
            </w:r>
          </w:p>
        </w:tc>
        <w:tc>
          <w:tcPr>
            <w:tcW w:type="dxa" w:w="2160"/>
            <w:vAlign w:val="top"/>
          </w:tcPr>
          <w:p>
            <w:r>
              <w:rPr>
                <w:sz w:val="16"/>
              </w:rPr>
              <w:t>FY30 Q4</w:t>
            </w:r>
          </w:p>
        </w:tc>
        <w:tc>
          <w:tcPr>
            <w:tcW w:type="dxa" w:w="1728"/>
            <w:vAlign w:val="top"/>
          </w:tcPr>
          <w:p>
            <w:r>
              <w:rPr>
                <w:sz w:val="16"/>
              </w:rPr>
              <w:t>FY31 Q4</w:t>
            </w:r>
          </w:p>
        </w:tc>
        <w:tc>
          <w:tcPr>
            <w:tcW w:type="dxa" w:w="1728"/>
            <w:vAlign w:val="top"/>
          </w:tcPr>
          <w:p>
            <w:r>
              <w:rPr>
                <w:sz w:val="16"/>
              </w:rPr>
              <w:t>-</w:t>
            </w:r>
          </w:p>
        </w:tc>
      </w:tr>
      <w:tr>
        <w:tc>
          <w:tcPr>
            <w:tcW w:type="dxa" w:w="3456"/>
            <w:vAlign w:val="top"/>
          </w:tcPr>
          <w:p>
            <w:r>
              <w:rPr>
                <w:sz w:val="16"/>
              </w:rPr>
              <w:t>GreenLang AgriLandOS</w:t>
            </w:r>
          </w:p>
        </w:tc>
        <w:tc>
          <w:tcPr>
            <w:tcW w:type="dxa" w:w="2592"/>
            <w:vAlign w:val="top"/>
          </w:tcPr>
          <w:p>
            <w:r>
              <w:rPr>
                <w:sz w:val="16"/>
              </w:rPr>
              <w:t>Land / Water / Nature</w:t>
            </w:r>
          </w:p>
        </w:tc>
        <w:tc>
          <w:tcPr>
            <w:tcW w:type="dxa" w:w="2160"/>
            <w:vAlign w:val="top"/>
          </w:tcPr>
          <w:p>
            <w:r>
              <w:rPr>
                <w:sz w:val="16"/>
              </w:rPr>
              <w:t>FY30 Q4</w:t>
            </w:r>
          </w:p>
        </w:tc>
        <w:tc>
          <w:tcPr>
            <w:tcW w:type="dxa" w:w="1728"/>
            <w:vAlign w:val="top"/>
          </w:tcPr>
          <w:p>
            <w:r>
              <w:rPr>
                <w:sz w:val="16"/>
              </w:rPr>
              <w:t>FY31 Q4</w:t>
            </w:r>
          </w:p>
        </w:tc>
        <w:tc>
          <w:tcPr>
            <w:tcW w:type="dxa" w:w="1728"/>
            <w:vAlign w:val="top"/>
          </w:tcPr>
          <w:p>
            <w:r>
              <w:rPr>
                <w:sz w:val="16"/>
              </w:rPr>
              <w:t>-</w:t>
            </w:r>
          </w:p>
        </w:tc>
      </w:tr>
      <w:tr>
        <w:tc>
          <w:tcPr>
            <w:tcW w:type="dxa" w:w="3456"/>
            <w:vAlign w:val="top"/>
          </w:tcPr>
          <w:p>
            <w:r>
              <w:rPr>
                <w:sz w:val="16"/>
              </w:rPr>
              <w:t>GreenLang WaterOS</w:t>
            </w:r>
          </w:p>
        </w:tc>
        <w:tc>
          <w:tcPr>
            <w:tcW w:type="dxa" w:w="2592"/>
            <w:vAlign w:val="top"/>
          </w:tcPr>
          <w:p>
            <w:r>
              <w:rPr>
                <w:sz w:val="16"/>
              </w:rPr>
              <w:t>Land / Water / Nature</w:t>
            </w:r>
          </w:p>
        </w:tc>
        <w:tc>
          <w:tcPr>
            <w:tcW w:type="dxa" w:w="2160"/>
            <w:vAlign w:val="top"/>
          </w:tcPr>
          <w:p>
            <w:r>
              <w:rPr>
                <w:sz w:val="16"/>
              </w:rPr>
              <w:t>FY30 Q4</w:t>
            </w:r>
          </w:p>
        </w:tc>
        <w:tc>
          <w:tcPr>
            <w:tcW w:type="dxa" w:w="1728"/>
            <w:vAlign w:val="top"/>
          </w:tcPr>
          <w:p>
            <w:r>
              <w:rPr>
                <w:sz w:val="16"/>
              </w:rPr>
              <w:t>FY31 Q4</w:t>
            </w:r>
          </w:p>
        </w:tc>
        <w:tc>
          <w:tcPr>
            <w:tcW w:type="dxa" w:w="1728"/>
            <w:vAlign w:val="top"/>
          </w:tcPr>
          <w:p>
            <w:r>
              <w:rPr>
                <w:sz w:val="16"/>
              </w:rPr>
              <w:t>-</w:t>
            </w:r>
          </w:p>
        </w:tc>
      </w:tr>
      <w:tr>
        <w:tc>
          <w:tcPr>
            <w:tcW w:type="dxa" w:w="3456"/>
            <w:vAlign w:val="top"/>
          </w:tcPr>
          <w:p>
            <w:r>
              <w:rPr>
                <w:sz w:val="16"/>
              </w:rPr>
              <w:t>GreenLang Methane &amp; Nitrogen Monitor</w:t>
            </w:r>
          </w:p>
        </w:tc>
        <w:tc>
          <w:tcPr>
            <w:tcW w:type="dxa" w:w="2592"/>
            <w:vAlign w:val="top"/>
          </w:tcPr>
          <w:p>
            <w:r>
              <w:rPr>
                <w:sz w:val="16"/>
              </w:rPr>
              <w:t>Land / Water / Nature</w:t>
            </w:r>
          </w:p>
        </w:tc>
        <w:tc>
          <w:tcPr>
            <w:tcW w:type="dxa" w:w="2160"/>
            <w:vAlign w:val="top"/>
          </w:tcPr>
          <w:p>
            <w:r>
              <w:rPr>
                <w:sz w:val="16"/>
              </w:rPr>
              <w:t>FY30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Adaptation Planner</w:t>
            </w:r>
          </w:p>
        </w:tc>
        <w:tc>
          <w:tcPr>
            <w:tcW w:type="dxa" w:w="2592"/>
            <w:vAlign w:val="top"/>
          </w:tcPr>
          <w:p>
            <w:r>
              <w:rPr>
                <w:sz w:val="16"/>
              </w:rPr>
              <w:t>Risk &amp; Public Sector</w:t>
            </w:r>
          </w:p>
        </w:tc>
        <w:tc>
          <w:tcPr>
            <w:tcW w:type="dxa" w:w="2160"/>
            <w:vAlign w:val="top"/>
          </w:tcPr>
          <w:p>
            <w:r>
              <w:rPr>
                <w:sz w:val="16"/>
              </w:rPr>
              <w:t>FY30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Transition Finance Studio</w:t>
            </w:r>
          </w:p>
        </w:tc>
        <w:tc>
          <w:tcPr>
            <w:tcW w:type="dxa" w:w="2592"/>
            <w:vAlign w:val="top"/>
          </w:tcPr>
          <w:p>
            <w:r>
              <w:rPr>
                <w:sz w:val="16"/>
              </w:rPr>
              <w:t>Finance &amp; Markets</w:t>
            </w:r>
          </w:p>
        </w:tc>
        <w:tc>
          <w:tcPr>
            <w:tcW w:type="dxa" w:w="2160"/>
            <w:vAlign w:val="top"/>
          </w:tcPr>
          <w:p>
            <w:r>
              <w:rPr>
                <w:sz w:val="16"/>
              </w:rPr>
              <w:t>FY30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Carbon Markets Hub</w:t>
            </w:r>
          </w:p>
        </w:tc>
        <w:tc>
          <w:tcPr>
            <w:tcW w:type="dxa" w:w="2592"/>
            <w:vAlign w:val="top"/>
          </w:tcPr>
          <w:p>
            <w:r>
              <w:rPr>
                <w:sz w:val="16"/>
              </w:rPr>
              <w:t>Finance &amp; Markets</w:t>
            </w:r>
          </w:p>
        </w:tc>
        <w:tc>
          <w:tcPr>
            <w:tcW w:type="dxa" w:w="2160"/>
            <w:vAlign w:val="top"/>
          </w:tcPr>
          <w:p>
            <w:r>
              <w:rPr>
                <w:sz w:val="16"/>
              </w:rPr>
              <w:t>FY30 Q4</w:t>
            </w:r>
          </w:p>
        </w:tc>
        <w:tc>
          <w:tcPr>
            <w:tcW w:type="dxa" w:w="1728"/>
            <w:vAlign w:val="top"/>
          </w:tcPr>
          <w:p>
            <w:r>
              <w:rPr>
                <w:sz w:val="16"/>
              </w:rPr>
              <w:t>-</w:t>
            </w:r>
          </w:p>
        </w:tc>
        <w:tc>
          <w:tcPr>
            <w:tcW w:type="dxa" w:w="1728"/>
            <w:vAlign w:val="top"/>
          </w:tcPr>
          <w:p>
            <w:r>
              <w:rPr>
                <w:sz w:val="16"/>
              </w:rPr>
              <w:t>-</w:t>
            </w:r>
          </w:p>
        </w:tc>
      </w:tr>
    </w:tbl>
    <w:p>
      <w:pPr>
        <w:pStyle w:val="Heading3"/>
      </w:pPr>
      <w:r>
        <w:t>FY31 launch cohort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c>
          <w:tcPr>
            <w:tcW w:type="dxa" w:w="3456"/>
            <w:vAlign w:val="top"/>
            <w:shd w:fill="1F4E79"/>
          </w:tcPr>
          <w:p>
            <w:r>
              <w:rPr>
                <w:b/>
                <w:color w:val="FFFFFF"/>
                <w:sz w:val="16"/>
              </w:rPr>
              <w:t>Product</w:t>
            </w:r>
          </w:p>
        </w:tc>
        <w:tc>
          <w:tcPr>
            <w:tcW w:type="dxa" w:w="2592"/>
            <w:vAlign w:val="top"/>
            <w:shd w:fill="1F4E79"/>
          </w:tcPr>
          <w:p>
            <w:r>
              <w:rPr>
                <w:b/>
                <w:color w:val="FFFFFF"/>
                <w:sz w:val="16"/>
              </w:rPr>
              <w:t>Cloud</w:t>
            </w:r>
          </w:p>
        </w:tc>
        <w:tc>
          <w:tcPr>
            <w:tcW w:type="dxa" w:w="2160"/>
            <w:vAlign w:val="top"/>
            <w:shd w:fill="1F4E79"/>
          </w:tcPr>
          <w:p>
            <w:r>
              <w:rPr>
                <w:b/>
                <w:color w:val="FFFFFF"/>
                <w:sz w:val="16"/>
              </w:rPr>
              <w:t>v1.0 GA</w:t>
            </w:r>
          </w:p>
        </w:tc>
        <w:tc>
          <w:tcPr>
            <w:tcW w:type="dxa" w:w="1728"/>
            <w:vAlign w:val="top"/>
            <w:shd w:fill="1F4E79"/>
          </w:tcPr>
          <w:p>
            <w:r>
              <w:rPr>
                <w:b/>
                <w:color w:val="FFFFFF"/>
                <w:sz w:val="16"/>
              </w:rPr>
              <w:t>v2.0</w:t>
            </w:r>
          </w:p>
        </w:tc>
        <w:tc>
          <w:tcPr>
            <w:tcW w:type="dxa" w:w="1728"/>
            <w:vAlign w:val="top"/>
            <w:shd w:fill="1F4E79"/>
          </w:tcPr>
          <w:p>
            <w:r>
              <w:rPr>
                <w:b/>
                <w:color w:val="FFFFFF"/>
                <w:sz w:val="16"/>
              </w:rPr>
              <w:t>v3.0</w:t>
            </w:r>
          </w:p>
        </w:tc>
      </w:tr>
      <w:tr>
        <w:tc>
          <w:tcPr>
            <w:tcW w:type="dxa" w:w="3456"/>
            <w:vAlign w:val="top"/>
          </w:tcPr>
          <w:p>
            <w:r>
              <w:rPr>
                <w:sz w:val="16"/>
              </w:rPr>
              <w:t>GreenLang Nature/TNFD Hub</w:t>
            </w:r>
          </w:p>
        </w:tc>
        <w:tc>
          <w:tcPr>
            <w:tcW w:type="dxa" w:w="2592"/>
            <w:vAlign w:val="top"/>
          </w:tcPr>
          <w:p>
            <w:r>
              <w:rPr>
                <w:sz w:val="16"/>
              </w:rPr>
              <w:t>Land / Water / Nature</w:t>
            </w:r>
          </w:p>
        </w:tc>
        <w:tc>
          <w:tcPr>
            <w:tcW w:type="dxa" w:w="2160"/>
            <w:vAlign w:val="top"/>
          </w:tcPr>
          <w:p>
            <w:r>
              <w:rPr>
                <w:sz w:val="16"/>
              </w:rPr>
              <w:t>FY31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CityOS</w:t>
            </w:r>
          </w:p>
        </w:tc>
        <w:tc>
          <w:tcPr>
            <w:tcW w:type="dxa" w:w="2592"/>
            <w:vAlign w:val="top"/>
          </w:tcPr>
          <w:p>
            <w:r>
              <w:rPr>
                <w:sz w:val="16"/>
              </w:rPr>
              <w:t>Risk &amp; Public Sector</w:t>
            </w:r>
          </w:p>
        </w:tc>
        <w:tc>
          <w:tcPr>
            <w:tcW w:type="dxa" w:w="2160"/>
            <w:vAlign w:val="top"/>
          </w:tcPr>
          <w:p>
            <w:r>
              <w:rPr>
                <w:sz w:val="16"/>
              </w:rPr>
              <w:t>FY31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CDR Portfolio Manager</w:t>
            </w:r>
          </w:p>
        </w:tc>
        <w:tc>
          <w:tcPr>
            <w:tcW w:type="dxa" w:w="2592"/>
            <w:vAlign w:val="top"/>
          </w:tcPr>
          <w:p>
            <w:r>
              <w:rPr>
                <w:sz w:val="16"/>
              </w:rPr>
              <w:t>Finance &amp; Markets</w:t>
            </w:r>
          </w:p>
        </w:tc>
        <w:tc>
          <w:tcPr>
            <w:tcW w:type="dxa" w:w="2160"/>
            <w:vAlign w:val="top"/>
          </w:tcPr>
          <w:p>
            <w:r>
              <w:rPr>
                <w:sz w:val="16"/>
              </w:rPr>
              <w:t>FY31 Q4</w:t>
            </w:r>
          </w:p>
        </w:tc>
        <w:tc>
          <w:tcPr>
            <w:tcW w:type="dxa" w:w="1728"/>
            <w:vAlign w:val="top"/>
          </w:tcPr>
          <w:p>
            <w:r>
              <w:rPr>
                <w:sz w:val="16"/>
              </w:rPr>
              <w:t>-</w:t>
            </w:r>
          </w:p>
        </w:tc>
        <w:tc>
          <w:tcPr>
            <w:tcW w:type="dxa" w:w="1728"/>
            <w:vAlign w:val="top"/>
          </w:tcPr>
          <w:p>
            <w:r>
              <w:rPr>
                <w:sz w:val="16"/>
              </w:rPr>
              <w:t>-</w:t>
            </w:r>
          </w:p>
        </w:tc>
      </w:tr>
      <w:tr>
        <w:tc>
          <w:tcPr>
            <w:tcW w:type="dxa" w:w="3456"/>
            <w:vAlign w:val="top"/>
          </w:tcPr>
          <w:p>
            <w:r>
              <w:rPr>
                <w:sz w:val="16"/>
              </w:rPr>
              <w:t>GreenLang Circularity Hub</w:t>
            </w:r>
          </w:p>
        </w:tc>
        <w:tc>
          <w:tcPr>
            <w:tcW w:type="dxa" w:w="2592"/>
            <w:vAlign w:val="top"/>
          </w:tcPr>
          <w:p>
            <w:r>
              <w:rPr>
                <w:sz w:val="16"/>
              </w:rPr>
              <w:t>Circularity</w:t>
            </w:r>
          </w:p>
        </w:tc>
        <w:tc>
          <w:tcPr>
            <w:tcW w:type="dxa" w:w="2160"/>
            <w:vAlign w:val="top"/>
          </w:tcPr>
          <w:p>
            <w:r>
              <w:rPr>
                <w:sz w:val="16"/>
              </w:rPr>
              <w:t>FY31 Q4</w:t>
            </w:r>
          </w:p>
        </w:tc>
        <w:tc>
          <w:tcPr>
            <w:tcW w:type="dxa" w:w="1728"/>
            <w:vAlign w:val="top"/>
          </w:tcPr>
          <w:p>
            <w:r>
              <w:rPr>
                <w:sz w:val="16"/>
              </w:rPr>
              <w:t>-</w:t>
            </w:r>
          </w:p>
        </w:tc>
        <w:tc>
          <w:tcPr>
            <w:tcW w:type="dxa" w:w="1728"/>
            <w:vAlign w:val="top"/>
          </w:tcPr>
          <w:p>
            <w:r>
              <w:rPr>
                <w:sz w:val="16"/>
              </w:rPr>
              <w:t>-</w:t>
            </w:r>
          </w:p>
        </w:tc>
      </w:tr>
    </w:tbl>
    <w:p>
      <w:pPr>
        <w:pStyle w:val="Heading3"/>
      </w:pPr>
      <w:r>
        <w:t>Dependency rules</w:t>
      </w:r>
    </w:p>
    <w:p>
      <w:pPr>
        <w:spacing w:after="80"/>
      </w:pPr>
      <w:r>
        <w:t>Core Platform: Proceed immediately. Build this as shared infrastructure, not customer-specific services. Every sector cloud must use these shared objects and APIs; no product may fork the factor, entity, evidence, policy, or ledger model.</w:t>
      </w:r>
    </w:p>
    <w:p>
      <w:pPr>
        <w:spacing w:after="80"/>
      </w:pPr>
      <w:r>
        <w:t>Compliance Cloud: Proceed as the first commercial wedge. Keep the initial surface narrow, revenue-backed, and assurance-ready. Use Comply, CBAM, and Scope Engine to prove the data model, paid demand, and customer onboarding path.</w:t>
      </w:r>
    </w:p>
    <w:p>
      <w:pPr>
        <w:spacing w:after="80"/>
      </w:pPr>
      <w:r>
        <w:t>Supply Chain Cloud: Proceed after the compliance wedge creates supplier and product-data demand. Treat supplier, product carbon, DPP, and proof workflows as one compound loop, not separate business lines.</w:t>
      </w:r>
    </w:p>
    <w:p>
      <w:pPr>
        <w:spacing w:after="80"/>
      </w:pPr>
      <w:r>
        <w:t>Operations Cloud: Proceed only where operational data is available and the customer can quantify savings. These products must create CFO-grade ROI; delay any module that behaves like bespoke consulting rather than repeatable software.</w:t>
      </w:r>
    </w:p>
    <w:p>
      <w:pPr>
        <w:spacing w:after="80"/>
      </w:pPr>
      <w:r>
        <w:t>Mobility Cloud: Proceed through data-rich shippers, forwarders, and fleets. Do not become generic fleet or TMS software; win on verified emissions, transition planning, and embedded logistics-carbon APIs.</w:t>
      </w:r>
    </w:p>
    <w:p>
      <w:pPr>
        <w:spacing w:after="80"/>
      </w:pPr>
      <w:r>
        <w:t>Land/Water/Nature: Incubate with anchor customers or consortiums, then productize. These domains have high mission value but high data and methodology risk; release decision-support first and verified claims only after evidence and methodology review.</w:t>
      </w:r>
    </w:p>
    <w:p>
      <w:pPr>
        <w:spacing w:after="80"/>
      </w:pPr>
      <w:r>
        <w:t>Risk &amp; Public Sector: Proceed after the Entity Graph and asset/site data are mature. Keep early risk outputs explainable and scenario-based. Public-sector products should require paid pilots or funded deployments, not free civic demos.</w:t>
      </w:r>
    </w:p>
    <w:p>
      <w:pPr>
        <w:spacing w:after="80"/>
      </w:pPr>
      <w:r>
        <w:t>Finance &amp; Markets: Proceed after the trust substrate is credible. Keep analytics separate from regulated financial advice, require legal review for transaction/take-rate flows, and sequence MRV before marketplaces or CDR portfolios.</w:t>
      </w:r>
    </w:p>
    <w:p>
      <w:pPr>
        <w:spacing w:after="80"/>
      </w:pPr>
      <w:r>
        <w:t>Circularity: Launch late and tie tightly to DPP, PCF, SupplierOS, and evidence data. Treat circularity as a product-lifecycle extension, not a new disconnected category.</w:t>
      </w:r>
    </w:p>
    <w:p>
      <w:r>
        <w:br w:type="page"/>
      </w:r>
    </w:p>
    <w:p>
      <w:pPr>
        <w:pStyle w:val="Heading1"/>
      </w:pPr>
      <w:r>
        <w:t>Part 4 - Detailed Final Product Definitions</w:t>
      </w:r>
    </w:p>
    <w:p>
      <w:pPr>
        <w:spacing w:after="80"/>
      </w:pPr>
      <w:r>
        <w:t>Each product below is defined as a GreenLang module with a shared data/ledger/policy/evidence substrate. The detailed version roadmap uses product-specific release scopes and gates. v0.3 private alpha and v0.8 release candidate are mandatory internal gates between the listed external milestones even where the product table shows v0.1/v0.5/v0.9/v1.0 only.</w:t>
      </w:r>
    </w:p>
    <w:p>
      <w:pPr>
        <w:pStyle w:val="Heading3"/>
      </w:pPr>
      <w:r>
        <w:t>Version taxonomy applied to every product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152"/>
            <w:vAlign w:val="top"/>
            <w:shd w:fill="1F4E79"/>
          </w:tcPr>
          <w:p>
            <w:r>
              <w:rPr>
                <w:b/>
                <w:color w:val="FFFFFF"/>
                <w:sz w:val="16"/>
              </w:rPr>
              <w:t>Version</w:t>
            </w:r>
          </w:p>
        </w:tc>
        <w:tc>
          <w:tcPr>
            <w:tcW w:type="dxa" w:w="2592"/>
            <w:vAlign w:val="top"/>
            <w:shd w:fill="1F4E79"/>
          </w:tcPr>
          <w:p>
            <w:r>
              <w:rPr>
                <w:b/>
                <w:color w:val="FFFFFF"/>
                <w:sz w:val="16"/>
              </w:rPr>
              <w:t>Meaning</w:t>
            </w:r>
          </w:p>
        </w:tc>
        <w:tc>
          <w:tcPr>
            <w:tcW w:type="dxa" w:w="7920"/>
            <w:vAlign w:val="top"/>
            <w:shd w:fill="1F4E79"/>
          </w:tcPr>
          <w:p>
            <w:r>
              <w:rPr>
                <w:b/>
                <w:color w:val="FFFFFF"/>
                <w:sz w:val="16"/>
              </w:rPr>
              <w:t>CTO gate</w:t>
            </w:r>
          </w:p>
        </w:tc>
      </w:tr>
      <w:tr>
        <w:tc>
          <w:tcPr>
            <w:tcW w:type="dxa" w:w="1152"/>
            <w:vAlign w:val="top"/>
          </w:tcPr>
          <w:p>
            <w:r>
              <w:rPr>
                <w:sz w:val="16"/>
              </w:rPr>
              <w:t>v0.1</w:t>
            </w:r>
          </w:p>
        </w:tc>
        <w:tc>
          <w:tcPr>
            <w:tcW w:type="dxa" w:w="2592"/>
            <w:vAlign w:val="top"/>
          </w:tcPr>
          <w:p>
            <w:r>
              <w:rPr>
                <w:sz w:val="16"/>
              </w:rPr>
              <w:t>Definition/spec or private alpha skeleton</w:t>
            </w:r>
          </w:p>
        </w:tc>
        <w:tc>
          <w:tcPr>
            <w:tcW w:type="dxa" w:w="7920"/>
            <w:vAlign w:val="top"/>
          </w:tcPr>
          <w:p>
            <w:r>
              <w:rPr>
                <w:sz w:val="16"/>
              </w:rPr>
              <w:t>Problem scope, canonical objects, methodology assumptions, dependencies, API/UI wireframes, and risk register defined.</w:t>
            </w:r>
          </w:p>
        </w:tc>
      </w:tr>
      <w:tr>
        <w:tc>
          <w:tcPr>
            <w:tcW w:type="dxa" w:w="1152"/>
            <w:vAlign w:val="top"/>
          </w:tcPr>
          <w:p>
            <w:r>
              <w:rPr>
                <w:sz w:val="16"/>
              </w:rPr>
              <w:t>v0.3</w:t>
            </w:r>
          </w:p>
        </w:tc>
        <w:tc>
          <w:tcPr>
            <w:tcW w:type="dxa" w:w="2592"/>
            <w:vAlign w:val="top"/>
          </w:tcPr>
          <w:p>
            <w:r>
              <w:rPr>
                <w:sz w:val="16"/>
              </w:rPr>
              <w:t>Private alpha</w:t>
            </w:r>
          </w:p>
        </w:tc>
        <w:tc>
          <w:tcPr>
            <w:tcW w:type="dxa" w:w="7920"/>
            <w:vAlign w:val="top"/>
          </w:tcPr>
          <w:p>
            <w:r>
              <w:rPr>
                <w:sz w:val="16"/>
              </w:rPr>
              <w:t>Internal users plus 1-2 design partners; core ingestion/workflow functional; manual ops allowed.</w:t>
            </w:r>
          </w:p>
        </w:tc>
      </w:tr>
      <w:tr>
        <w:tc>
          <w:tcPr>
            <w:tcW w:type="dxa" w:w="1152"/>
            <w:vAlign w:val="top"/>
          </w:tcPr>
          <w:p>
            <w:r>
              <w:rPr>
                <w:sz w:val="16"/>
              </w:rPr>
              <w:t>v0.5</w:t>
            </w:r>
          </w:p>
        </w:tc>
        <w:tc>
          <w:tcPr>
            <w:tcW w:type="dxa" w:w="2592"/>
            <w:vAlign w:val="top"/>
          </w:tcPr>
          <w:p>
            <w:r>
              <w:rPr>
                <w:sz w:val="16"/>
              </w:rPr>
              <w:t>Design-partner beta</w:t>
            </w:r>
          </w:p>
        </w:tc>
        <w:tc>
          <w:tcPr>
            <w:tcW w:type="dxa" w:w="7920"/>
            <w:vAlign w:val="top"/>
          </w:tcPr>
          <w:p>
            <w:r>
              <w:rPr>
                <w:sz w:val="16"/>
              </w:rPr>
              <w:t>First usable end-to-end workflow with real data, evidence linkage, admin controls, and exportable outputs.</w:t>
            </w:r>
          </w:p>
        </w:tc>
      </w:tr>
      <w:tr>
        <w:tc>
          <w:tcPr>
            <w:tcW w:type="dxa" w:w="1152"/>
            <w:vAlign w:val="top"/>
          </w:tcPr>
          <w:p>
            <w:r>
              <w:rPr>
                <w:sz w:val="16"/>
              </w:rPr>
              <w:t>v0.8</w:t>
            </w:r>
          </w:p>
        </w:tc>
        <w:tc>
          <w:tcPr>
            <w:tcW w:type="dxa" w:w="2592"/>
            <w:vAlign w:val="top"/>
          </w:tcPr>
          <w:p>
            <w:r>
              <w:rPr>
                <w:sz w:val="16"/>
              </w:rPr>
              <w:t>Release candidate</w:t>
            </w:r>
          </w:p>
        </w:tc>
        <w:tc>
          <w:tcPr>
            <w:tcW w:type="dxa" w:w="7920"/>
            <w:vAlign w:val="top"/>
          </w:tcPr>
          <w:p>
            <w:r>
              <w:rPr>
                <w:sz w:val="16"/>
              </w:rPr>
              <w:t>Security, docs, onboarding, pricing, performance, support, and customer-success playbooks ready.</w:t>
            </w:r>
          </w:p>
        </w:tc>
      </w:tr>
      <w:tr>
        <w:tc>
          <w:tcPr>
            <w:tcW w:type="dxa" w:w="1152"/>
            <w:vAlign w:val="top"/>
          </w:tcPr>
          <w:p>
            <w:r>
              <w:rPr>
                <w:sz w:val="16"/>
              </w:rPr>
              <w:t>v0.9</w:t>
            </w:r>
          </w:p>
        </w:tc>
        <w:tc>
          <w:tcPr>
            <w:tcW w:type="dxa" w:w="2592"/>
            <w:vAlign w:val="top"/>
          </w:tcPr>
          <w:p>
            <w:r>
              <w:rPr>
                <w:sz w:val="16"/>
              </w:rPr>
              <w:t>Public beta</w:t>
            </w:r>
          </w:p>
        </w:tc>
        <w:tc>
          <w:tcPr>
            <w:tcW w:type="dxa" w:w="7920"/>
            <w:vAlign w:val="top"/>
          </w:tcPr>
          <w:p>
            <w:r>
              <w:rPr>
                <w:sz w:val="16"/>
              </w:rPr>
              <w:t>Open waitlist or broader beta; self-serve or repeatable onboarding; SLA drafted but not contractually enforced.</w:t>
            </w:r>
          </w:p>
        </w:tc>
      </w:tr>
      <w:tr>
        <w:tc>
          <w:tcPr>
            <w:tcW w:type="dxa" w:w="1152"/>
            <w:vAlign w:val="top"/>
          </w:tcPr>
          <w:p>
            <w:r>
              <w:rPr>
                <w:sz w:val="16"/>
              </w:rPr>
              <w:t>v1.0</w:t>
            </w:r>
          </w:p>
        </w:tc>
        <w:tc>
          <w:tcPr>
            <w:tcW w:type="dxa" w:w="2592"/>
            <w:vAlign w:val="top"/>
          </w:tcPr>
          <w:p>
            <w:r>
              <w:rPr>
                <w:sz w:val="16"/>
              </w:rPr>
              <w:t>General availability</w:t>
            </w:r>
          </w:p>
        </w:tc>
        <w:tc>
          <w:tcPr>
            <w:tcW w:type="dxa" w:w="7920"/>
            <w:vAlign w:val="top"/>
          </w:tcPr>
          <w:p>
            <w:r>
              <w:rPr>
                <w:sz w:val="16"/>
              </w:rPr>
              <w:t>Stable paid product with support, packaging, evidence trail, docs, and external/customer validation.</w:t>
            </w:r>
          </w:p>
        </w:tc>
      </w:tr>
      <w:tr>
        <w:tc>
          <w:tcPr>
            <w:tcW w:type="dxa" w:w="1152"/>
            <w:vAlign w:val="top"/>
          </w:tcPr>
          <w:p>
            <w:r>
              <w:rPr>
                <w:sz w:val="16"/>
              </w:rPr>
              <w:t>v1.5</w:t>
            </w:r>
          </w:p>
        </w:tc>
        <w:tc>
          <w:tcPr>
            <w:tcW w:type="dxa" w:w="2592"/>
            <w:vAlign w:val="top"/>
          </w:tcPr>
          <w:p>
            <w:r>
              <w:rPr>
                <w:sz w:val="16"/>
              </w:rPr>
              <w:t>Enterprise expansion</w:t>
            </w:r>
          </w:p>
        </w:tc>
        <w:tc>
          <w:tcPr>
            <w:tcW w:type="dxa" w:w="7920"/>
            <w:vAlign w:val="top"/>
          </w:tcPr>
          <w:p>
            <w:r>
              <w:rPr>
                <w:sz w:val="16"/>
              </w:rPr>
              <w:t>Broader integrations, permissions, role/approval workflows, regional templates, and partner enablement.</w:t>
            </w:r>
          </w:p>
        </w:tc>
      </w:tr>
      <w:tr>
        <w:tc>
          <w:tcPr>
            <w:tcW w:type="dxa" w:w="1152"/>
            <w:vAlign w:val="top"/>
          </w:tcPr>
          <w:p>
            <w:r>
              <w:rPr>
                <w:sz w:val="16"/>
              </w:rPr>
              <w:t>v2.0</w:t>
            </w:r>
          </w:p>
        </w:tc>
        <w:tc>
          <w:tcPr>
            <w:tcW w:type="dxa" w:w="2592"/>
            <w:vAlign w:val="top"/>
          </w:tcPr>
          <w:p>
            <w:r>
              <w:rPr>
                <w:sz w:val="16"/>
              </w:rPr>
              <w:t>Intelligence/scale</w:t>
            </w:r>
          </w:p>
        </w:tc>
        <w:tc>
          <w:tcPr>
            <w:tcW w:type="dxa" w:w="7920"/>
            <w:vAlign w:val="top"/>
          </w:tcPr>
          <w:p>
            <w:r>
              <w:rPr>
                <w:sz w:val="16"/>
              </w:rPr>
              <w:t>AI recommendations, benchmarks, scenarios, anomaly detection, cross-product reuse, and scale automation.</w:t>
            </w:r>
          </w:p>
        </w:tc>
      </w:tr>
      <w:tr>
        <w:tc>
          <w:tcPr>
            <w:tcW w:type="dxa" w:w="1152"/>
            <w:vAlign w:val="top"/>
          </w:tcPr>
          <w:p>
            <w:r>
              <w:rPr>
                <w:sz w:val="16"/>
              </w:rPr>
              <w:t>v3.0</w:t>
            </w:r>
          </w:p>
        </w:tc>
        <w:tc>
          <w:tcPr>
            <w:tcW w:type="dxa" w:w="2592"/>
            <w:vAlign w:val="top"/>
          </w:tcPr>
          <w:p>
            <w:r>
              <w:rPr>
                <w:sz w:val="16"/>
              </w:rPr>
              <w:t>Ecosystem/network</w:t>
            </w:r>
          </w:p>
        </w:tc>
        <w:tc>
          <w:tcPr>
            <w:tcW w:type="dxa" w:w="7920"/>
            <w:vAlign w:val="top"/>
          </w:tcPr>
          <w:p>
            <w:r>
              <w:rPr>
                <w:sz w:val="16"/>
              </w:rPr>
              <w:t>Partner APIs, marketplace/transaction flows, certification, foundation/community hooks, and network effects.</w:t>
            </w:r>
          </w:p>
        </w:tc>
      </w:tr>
    </w:tbl>
    <w:p>
      <w:r>
        <w:br w:type="page"/>
      </w:r>
    </w:p>
    <w:p>
      <w:pPr>
        <w:pStyle w:val="Heading1"/>
      </w:pPr>
      <w:r>
        <w:t>Core Platform</w:t>
      </w:r>
    </w:p>
    <w:p>
      <w:pPr>
        <w:spacing w:after="80"/>
      </w:pPr>
      <w:r>
        <w:t>Proceed immediately. Build this as shared infrastructure, not customer-specific services. Every sector cloud must use these shared objects and APIs; no product may fork the factor, entity, evidence, policy, or ledger model.</w:t>
      </w:r>
    </w:p>
    <w:p>
      <w:r>
        <w:br w:type="page"/>
      </w:r>
    </w:p>
    <w:p>
      <w:pPr>
        <w:pStyle w:val="Heading2"/>
      </w:pPr>
      <w:r>
        <w:t>1. GreenLang Factors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 (Jan-Mar 2027)</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Developers, consultants, platforms, internal GreenLang product teams</w:t>
            </w:r>
          </w:p>
        </w:tc>
      </w:tr>
      <w:tr>
        <w:tc>
          <w:tcPr>
            <w:tcW w:type="dxa" w:w="2448"/>
            <w:vAlign w:val="top"/>
            <w:shd w:fill="EAF2F8"/>
          </w:tcPr>
          <w:p>
            <w:r>
              <w:rPr>
                <w:b/>
                <w:color w:val="1F4E79"/>
                <w:sz w:val="16"/>
              </w:rPr>
              <w:t>Revenue model</w:t>
            </w:r>
          </w:p>
        </w:tc>
        <w:tc>
          <w:tcPr>
            <w:tcW w:type="dxa" w:w="8352"/>
            <w:vAlign w:val="top"/>
          </w:tcPr>
          <w:p>
            <w:r>
              <w:rPr>
                <w:sz w:val="16"/>
              </w:rPr>
              <w:t>API + enterprise support</w:t>
            </w:r>
          </w:p>
        </w:tc>
      </w:tr>
      <w:tr>
        <w:tc>
          <w:tcPr>
            <w:tcW w:type="dxa" w:w="2448"/>
            <w:vAlign w:val="top"/>
            <w:shd w:fill="EAF2F8"/>
          </w:tcPr>
          <w:p>
            <w:r>
              <w:rPr>
                <w:b/>
                <w:color w:val="1F4E79"/>
                <w:sz w:val="16"/>
              </w:rPr>
              <w:t>Definition</w:t>
            </w:r>
          </w:p>
        </w:tc>
        <w:tc>
          <w:tcPr>
            <w:tcW w:type="dxa" w:w="8352"/>
            <w:vAlign w:val="top"/>
          </w:tcPr>
          <w:p>
            <w:r>
              <w:rPr>
                <w:sz w:val="16"/>
              </w:rPr>
              <w:t>The canonical emissions-factor, conversion-factor, grid-factor, fuel-factor, material-factor, and methodology library for the GreenLang ecosystem. It is the reusable calculation backbone for every emissions, product-footprint, facility-optimization, risk, finance, and MRV workflow.</w:t>
            </w:r>
          </w:p>
        </w:tc>
      </w:tr>
      <w:tr>
        <w:tc>
          <w:tcPr>
            <w:tcW w:type="dxa" w:w="2448"/>
            <w:vAlign w:val="top"/>
            <w:shd w:fill="EAF2F8"/>
          </w:tcPr>
          <w:p>
            <w:r>
              <w:rPr>
                <w:b/>
                <w:color w:val="1F4E79"/>
                <w:sz w:val="16"/>
              </w:rPr>
              <w:t>Strategic role</w:t>
            </w:r>
          </w:p>
        </w:tc>
        <w:tc>
          <w:tcPr>
            <w:tcW w:type="dxa" w:w="8352"/>
            <w:vAlign w:val="top"/>
          </w:tcPr>
          <w:p>
            <w:r>
              <w:rPr>
                <w:sz w:val="16"/>
              </w:rPr>
              <w:t>Establishes GreenLang as a trusted calculation substrate and open-core developer wedge. It reduces duplicated factor mapping across all sector clouds and creates early developer adoption before heavy enterprise sales cycles mature.</w:t>
            </w:r>
          </w:p>
        </w:tc>
      </w:tr>
      <w:tr>
        <w:tc>
          <w:tcPr>
            <w:tcW w:type="dxa" w:w="2448"/>
            <w:vAlign w:val="top"/>
            <w:shd w:fill="EAF2F8"/>
          </w:tcPr>
          <w:p>
            <w:r>
              <w:rPr>
                <w:b/>
                <w:color w:val="1F4E79"/>
                <w:sz w:val="16"/>
              </w:rPr>
              <w:t>Pricing / packaging logic</w:t>
            </w:r>
          </w:p>
        </w:tc>
        <w:tc>
          <w:tcPr>
            <w:tcW w:type="dxa" w:w="8352"/>
            <w:vAlign w:val="top"/>
          </w:tcPr>
          <w:p>
            <w:r>
              <w:rPr>
                <w:sz w:val="16"/>
              </w:rPr>
              <w:t>Free/open developer tier for limited factors and examples; paid API usage tiers; enterprise support, private factors, governance workflows, and SLA-priced platform add-on.</w:t>
            </w:r>
          </w:p>
        </w:tc>
      </w:tr>
    </w:tbl>
    <w:p>
      <w:pPr>
        <w:pStyle w:val="Heading3"/>
      </w:pPr>
      <w:r>
        <w:t>CTO final pathway</w:t>
      </w:r>
    </w:p>
    <w:p>
      <w:pPr>
        <w:spacing w:after="80"/>
      </w:pPr>
      <w:r>
        <w:t>Build GreenLang Factors as a modular product on the shared substrate. The release target is FY27; GA is gated for FY27 Q4 (Jan-Mar 2027). Initial library covers priority India/EU exporter use cases before broader global coverage Every paid factor source has licensing clearance</w:t>
      </w:r>
    </w:p>
    <w:p>
      <w:pPr>
        <w:pStyle w:val="Heading3"/>
      </w:pPr>
      <w:r>
        <w:t>Why it exists</w:t>
      </w:r>
    </w:p>
    <w:p>
      <w:pPr>
        <w:spacing w:after="80"/>
      </w:pPr>
      <w:r>
        <w:t>Emission factor data is fragmented across IPCC, DEFRA, EPA, IEA, BEIS, India CEA, EDGAR, EXIOBASE, ecoinvent, and hundreds of national inventories. Every climate team rebuilds the same factor-selection logic, with no provenance, version pinning, or methodology transparency. Regulators (CBAM, CSRD, SB 253) are now demanding citable, dated, and methodology-tagged factors.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Climate software developers</w:t>
              <w:br/>
              <w:t>LCA consultants</w:t>
              <w:br/>
              <w:t>enterprise sustainability analysts</w:t>
              <w:br/>
              <w:t>GreenLang product teams</w:t>
              <w:br/>
              <w:t>auditors reviewing factor provenance</w:t>
            </w:r>
          </w:p>
        </w:tc>
      </w:tr>
      <w:tr>
        <w:tc>
          <w:tcPr>
            <w:tcW w:type="dxa" w:w="3024"/>
            <w:vAlign w:val="top"/>
          </w:tcPr>
          <w:p>
            <w:r>
              <w:rPr>
                <w:sz w:val="16"/>
              </w:rPr>
              <w:t>Jobs to be done</w:t>
            </w:r>
          </w:p>
        </w:tc>
        <w:tc>
          <w:tcPr>
            <w:tcW w:type="dxa" w:w="8640"/>
            <w:vAlign w:val="top"/>
          </w:tcPr>
          <w:p>
            <w:r>
              <w:rPr>
                <w:sz w:val="16"/>
              </w:rPr>
              <w:t>Find the right factor for a geography, year, sector, fuel, material, or activity</w:t>
              <w:br/>
              <w:t>Compare alternative factors and understand methodology differences</w:t>
              <w:br/>
              <w:t>Attach factor provenance to every calculation</w:t>
              <w:br/>
              <w:t>Version factors and preserve historical calculations</w:t>
              <w:br/>
              <w:t>Expose calculation primitives through API, SDK, CLI, and notebooks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Unified factor schema spanning Scope 1/2/3, product LCA, grid intensity, fuel, refrigerant, land-use, and freight.</w:t>
              <w:br/>
              <w:t>Versioned and dated factor records with explicit methodology, boundary, and uncertainty metadata.</w:t>
              <w:br/>
              <w:t>Geography- and vintage-aware lookup (e.g., India grid by state/year; EU grid by bidding zone/year).</w:t>
              <w:br/>
              <w:t>Factor diff and changelog API for regulatory auditability.</w:t>
              <w:br/>
              <w:t>Pluggable sources: public (IPCC, IEA, DEFRA) and curated (ecoinvent, EXIOBASE mirrors where licensed).</w:t>
              <w:br/>
              <w:t>Natural-language factor search with LLM-assisted mapping for messy activity descriptions.</w:t>
              <w:br/>
              <w:t>Confidence scoring and alternative-factor suggestion.</w:t>
              <w:br/>
              <w:t>SDK bindings for Python, TypeScript, SQL, and a REST/GraphQL API.</w:t>
              <w:br/>
              <w:t>Partner contribution channel with review workflow for community factors.</w:t>
            </w:r>
          </w:p>
        </w:tc>
      </w:tr>
      <w:tr>
        <w:tc>
          <w:tcPr>
            <w:tcW w:type="dxa" w:w="3456"/>
            <w:vAlign w:val="top"/>
          </w:tcPr>
          <w:p>
            <w:r>
              <w:rPr>
                <w:sz w:val="16"/>
              </w:rPr>
              <w:t>In-scope product modules</w:t>
            </w:r>
          </w:p>
        </w:tc>
        <w:tc>
          <w:tcPr>
            <w:tcW w:type="dxa" w:w="8352"/>
            <w:vAlign w:val="top"/>
          </w:tcPr>
          <w:p>
            <w:r>
              <w:rPr>
                <w:sz w:val="16"/>
              </w:rPr>
              <w:t>factor search and registry</w:t>
              <w:br/>
              <w:t>factor provenance and licensing metadata</w:t>
              <w:br/>
              <w:t>unit conversion and dimensional checks</w:t>
              <w:br/>
              <w:t>factor versioning and deprecation workflow</w:t>
              <w:br/>
              <w:t>calculation examples and recipe library</w:t>
              <w:br/>
              <w:t>API/SDK/CLI access</w:t>
              <w:br/>
              <w:t>enterprise override and custom-factor governance</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factor_id, source, geography, year, unit, activity category, gas coverage, GWP basis, uncertainty, source URL, license, validity window</w:t>
              <w:br/>
              <w:t>customer-specific factor overrides</w:t>
              <w:br/>
              <w:t>mapping from procurement/ERP items to factor candidates</w:t>
            </w:r>
          </w:p>
        </w:tc>
      </w:tr>
      <w:tr>
        <w:tc>
          <w:tcPr>
            <w:tcW w:type="dxa" w:w="3384"/>
            <w:vAlign w:val="top"/>
          </w:tcPr>
          <w:p>
            <w:r>
              <w:rPr>
                <w:sz w:val="16"/>
              </w:rPr>
              <w:t>External/product integrations</w:t>
            </w:r>
          </w:p>
        </w:tc>
        <w:tc>
          <w:tcPr>
            <w:tcW w:type="dxa" w:w="8496"/>
            <w:vAlign w:val="top"/>
          </w:tcPr>
          <w:p>
            <w:r>
              <w:rPr>
                <w:sz w:val="16"/>
              </w:rPr>
              <w:t>GreenLang SDK/API/CLI; Scope Engine; PCF Studio; PlantOS; BuildingOS; FinanceOS; external factor datasets where licensed</w:t>
            </w:r>
          </w:p>
        </w:tc>
      </w:tr>
      <w:tr>
        <w:tc>
          <w:tcPr>
            <w:tcW w:type="dxa" w:w="3384"/>
            <w:vAlign w:val="top"/>
          </w:tcPr>
          <w:p>
            <w:r>
              <w:rPr>
                <w:sz w:val="16"/>
              </w:rPr>
              <w:t>GreenLang dependencies</w:t>
            </w:r>
          </w:p>
        </w:tc>
        <w:tc>
          <w:tcPr>
            <w:tcW w:type="dxa" w:w="8496"/>
            <w:vAlign w:val="top"/>
          </w:tcPr>
          <w:p>
            <w:r>
              <w:rPr>
                <w:sz w:val="16"/>
              </w:rPr>
              <w:t>Entity Graph; Climate Ledger; Evidence Vault; Policy Graph for regulatory mappings; SDK/API/CLI</w:t>
            </w:r>
          </w:p>
        </w:tc>
      </w:tr>
      <w:tr>
        <w:tc>
          <w:tcPr>
            <w:tcW w:type="dxa" w:w="3384"/>
            <w:vAlign w:val="top"/>
          </w:tcPr>
          <w:p>
            <w:r>
              <w:rPr>
                <w:sz w:val="16"/>
              </w:rPr>
              <w:t>Customer outputs and deliverables</w:t>
            </w:r>
          </w:p>
        </w:tc>
        <w:tc>
          <w:tcPr>
            <w:tcW w:type="dxa" w:w="8496"/>
            <w:vAlign w:val="top"/>
          </w:tcPr>
          <w:p>
            <w:r>
              <w:rPr>
                <w:sz w:val="16"/>
              </w:rPr>
              <w:t>factor citation packet</w:t>
              <w:br/>
              <w:t>calculation-ready JSON</w:t>
              <w:br/>
              <w:t>audit trail for factor selection</w:t>
              <w:br/>
              <w:t>deprecation notices</w:t>
              <w:br/>
              <w:t>methodology comparison report</w:t>
            </w:r>
          </w:p>
        </w:tc>
      </w:tr>
    </w:tbl>
    <w:p>
      <w:pPr>
        <w:pStyle w:val="Heading3"/>
      </w:pPr>
      <w:r>
        <w:t>AI and automation behavior</w:t>
      </w:r>
    </w:p>
    <w:p>
      <w:pPr>
        <w:pStyle w:val="ListBullet"/>
        <w:spacing w:after="20"/>
      </w:pPr>
      <w:r>
        <w:t>factor-matching assistant with confidence scores</w:t>
      </w:r>
    </w:p>
    <w:p>
      <w:pPr>
        <w:pStyle w:val="ListBullet"/>
        <w:spacing w:after="20"/>
      </w:pPr>
      <w:r>
        <w:t>semantic search over factor sources</w:t>
      </w:r>
    </w:p>
    <w:p>
      <w:pPr>
        <w:pStyle w:val="ListBullet"/>
        <w:spacing w:after="20"/>
      </w:pPr>
      <w:r>
        <w:t>anomaly detection for wrong-unit or wrong-region factor use</w:t>
      </w:r>
    </w:p>
    <w:p>
      <w:pPr>
        <w:pStyle w:val="ListBullet"/>
        <w:spacing w:after="20"/>
      </w:pPr>
      <w:r>
        <w:t>explanation generator for auditor-facing notes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 (Apr-Jun 2026)</w:t>
            </w:r>
          </w:p>
        </w:tc>
        <w:tc>
          <w:tcPr>
            <w:tcW w:type="dxa" w:w="7776"/>
            <w:vAlign w:val="top"/>
          </w:tcPr>
          <w:p>
            <w:r>
              <w:rPr>
                <w:sz w:val="16"/>
              </w:rPr>
              <w:t>Internal + 2 design partners. Scope 1/2 factors for India, EU, US. Python SDK only. Read-only.</w:t>
            </w:r>
          </w:p>
        </w:tc>
      </w:tr>
      <w:tr>
        <w:tc>
          <w:tcPr>
            <w:tcW w:type="dxa" w:w="1872"/>
            <w:vAlign w:val="top"/>
          </w:tcPr>
          <w:p>
            <w:r>
              <w:rPr>
                <w:sz w:val="16"/>
              </w:rPr>
              <w:t>v0.5 Closed Beta</w:t>
            </w:r>
          </w:p>
        </w:tc>
        <w:tc>
          <w:tcPr>
            <w:tcW w:type="dxa" w:w="2304"/>
            <w:vAlign w:val="top"/>
          </w:tcPr>
          <w:p>
            <w:r>
              <w:rPr>
                <w:sz w:val="16"/>
              </w:rPr>
              <w:t>FY27 Q2 (Jul-Sep 2026)</w:t>
            </w:r>
          </w:p>
        </w:tc>
        <w:tc>
          <w:tcPr>
            <w:tcW w:type="dxa" w:w="7776"/>
            <w:vAlign w:val="top"/>
          </w:tcPr>
          <w:p>
            <w:r>
              <w:rPr>
                <w:sz w:val="16"/>
              </w:rPr>
              <w:t>Design-partner cohort. Scope 3 Category 1 (purchased goods) + freight factors. TS SDK. Basic versioning/changelog.</w:t>
            </w:r>
          </w:p>
        </w:tc>
      </w:tr>
      <w:tr>
        <w:tc>
          <w:tcPr>
            <w:tcW w:type="dxa" w:w="1872"/>
            <w:vAlign w:val="top"/>
          </w:tcPr>
          <w:p>
            <w:r>
              <w:rPr>
                <w:sz w:val="16"/>
              </w:rPr>
              <w:t>v0.9 Public Beta</w:t>
            </w:r>
          </w:p>
        </w:tc>
        <w:tc>
          <w:tcPr>
            <w:tcW w:type="dxa" w:w="2304"/>
            <w:vAlign w:val="top"/>
          </w:tcPr>
          <w:p>
            <w:r>
              <w:rPr>
                <w:sz w:val="16"/>
              </w:rPr>
              <w:t>FY27 Q3 (Oct-Dec 2026)</w:t>
            </w:r>
          </w:p>
        </w:tc>
        <w:tc>
          <w:tcPr>
            <w:tcW w:type="dxa" w:w="7776"/>
            <w:vAlign w:val="top"/>
          </w:tcPr>
          <w:p>
            <w:r>
              <w:rPr>
                <w:sz w:val="16"/>
              </w:rPr>
              <w:t>Open waitlist. Full geography coverage. Confidence scoring. Factor diff API.</w:t>
            </w:r>
          </w:p>
        </w:tc>
      </w:tr>
      <w:tr>
        <w:tc>
          <w:tcPr>
            <w:tcW w:type="dxa" w:w="1872"/>
            <w:vAlign w:val="top"/>
          </w:tcPr>
          <w:p>
            <w:r>
              <w:rPr>
                <w:sz w:val="16"/>
              </w:rPr>
              <w:t>v1.0 GA</w:t>
            </w:r>
          </w:p>
        </w:tc>
        <w:tc>
          <w:tcPr>
            <w:tcW w:type="dxa" w:w="2304"/>
            <w:vAlign w:val="top"/>
          </w:tcPr>
          <w:p>
            <w:r>
              <w:rPr>
                <w:sz w:val="16"/>
              </w:rPr>
              <w:t>FY27 Q4 (Jan-Mar 2027)</w:t>
            </w:r>
          </w:p>
        </w:tc>
        <w:tc>
          <w:tcPr>
            <w:tcW w:type="dxa" w:w="7776"/>
            <w:vAlign w:val="top"/>
          </w:tcPr>
          <w:p>
            <w:r>
              <w:rPr>
                <w:sz w:val="16"/>
              </w:rPr>
              <w:t>Production SLA. Commercial pricing live. Auditor sign-off on methodology transparency.</w:t>
            </w:r>
          </w:p>
        </w:tc>
      </w:tr>
      <w:tr>
        <w:tc>
          <w:tcPr>
            <w:tcW w:type="dxa" w:w="1872"/>
            <w:vAlign w:val="top"/>
          </w:tcPr>
          <w:p>
            <w:r>
              <w:rPr>
                <w:sz w:val="16"/>
              </w:rPr>
              <w:t>v1.5</w:t>
            </w:r>
          </w:p>
        </w:tc>
        <w:tc>
          <w:tcPr>
            <w:tcW w:type="dxa" w:w="2304"/>
            <w:vAlign w:val="top"/>
          </w:tcPr>
          <w:p>
            <w:r>
              <w:rPr>
                <w:sz w:val="16"/>
              </w:rPr>
              <w:t>FY28 Q3</w:t>
            </w:r>
          </w:p>
        </w:tc>
        <w:tc>
          <w:tcPr>
            <w:tcW w:type="dxa" w:w="7776"/>
            <w:vAlign w:val="top"/>
          </w:tcPr>
          <w:p>
            <w:r>
              <w:rPr>
                <w:sz w:val="16"/>
              </w:rPr>
              <w:t>LLM-assisted factor mapping; partner-contribution channel; CBAM-certified factor pack.</w:t>
            </w:r>
          </w:p>
        </w:tc>
      </w:tr>
      <w:tr>
        <w:tc>
          <w:tcPr>
            <w:tcW w:type="dxa" w:w="1872"/>
            <w:vAlign w:val="top"/>
          </w:tcPr>
          <w:p>
            <w:r>
              <w:rPr>
                <w:sz w:val="16"/>
              </w:rPr>
              <w:t>v2.0</w:t>
            </w:r>
          </w:p>
        </w:tc>
        <w:tc>
          <w:tcPr>
            <w:tcW w:type="dxa" w:w="2304"/>
            <w:vAlign w:val="top"/>
          </w:tcPr>
          <w:p>
            <w:r>
              <w:rPr>
                <w:sz w:val="16"/>
              </w:rPr>
              <w:t>FY29 Q2</w:t>
            </w:r>
          </w:p>
        </w:tc>
        <w:tc>
          <w:tcPr>
            <w:tcW w:type="dxa" w:w="7776"/>
            <w:vAlign w:val="top"/>
          </w:tcPr>
          <w:p>
            <w:r>
              <w:rPr>
                <w:sz w:val="16"/>
              </w:rPr>
              <w:t>Multi-tenant private factor packs; uncertainty-propagation API; ecoinvent/EXIOBASE commercial integrations.</w:t>
            </w:r>
          </w:p>
        </w:tc>
      </w:tr>
      <w:tr>
        <w:tc>
          <w:tcPr>
            <w:tcW w:type="dxa" w:w="1872"/>
            <w:vAlign w:val="top"/>
          </w:tcPr>
          <w:p>
            <w:r>
              <w:rPr>
                <w:sz w:val="16"/>
              </w:rPr>
              <w:t>v2.5</w:t>
            </w:r>
          </w:p>
        </w:tc>
        <w:tc>
          <w:tcPr>
            <w:tcW w:type="dxa" w:w="2304"/>
            <w:vAlign w:val="top"/>
          </w:tcPr>
          <w:p>
            <w:r>
              <w:rPr>
                <w:sz w:val="16"/>
              </w:rPr>
              <w:t>FY30 Q2</w:t>
            </w:r>
          </w:p>
        </w:tc>
        <w:tc>
          <w:tcPr>
            <w:tcW w:type="dxa" w:w="7776"/>
            <w:vAlign w:val="top"/>
          </w:tcPr>
          <w:p>
            <w:r>
              <w:rPr>
                <w:sz w:val="16"/>
              </w:rPr>
              <w:t>Real-time grid intensity (hourly) for key markets; factor provenance graph.</w:t>
            </w:r>
          </w:p>
        </w:tc>
      </w:tr>
      <w:tr>
        <w:tc>
          <w:tcPr>
            <w:tcW w:type="dxa" w:w="1872"/>
            <w:vAlign w:val="top"/>
          </w:tcPr>
          <w:p>
            <w:r>
              <w:rPr>
                <w:sz w:val="16"/>
              </w:rPr>
              <w:t>v3.0</w:t>
            </w:r>
          </w:p>
        </w:tc>
        <w:tc>
          <w:tcPr>
            <w:tcW w:type="dxa" w:w="2304"/>
            <w:vAlign w:val="top"/>
          </w:tcPr>
          <w:p>
            <w:r>
              <w:rPr>
                <w:sz w:val="16"/>
              </w:rPr>
              <w:t>FY31 Q1</w:t>
            </w:r>
          </w:p>
        </w:tc>
        <w:tc>
          <w:tcPr>
            <w:tcW w:type="dxa" w:w="7776"/>
            <w:vAlign w:val="top"/>
          </w:tcPr>
          <w:p>
            <w:r>
              <w:rPr>
                <w:sz w:val="16"/>
              </w:rPr>
              <w:t>AI-native factor engine - LLM agents auto-map activity → factor with evidence, reviewed via Agent Runtime + Eval; factor-market take-rate for premium curated packs.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Initial library covers priority India/EU exporter use cases before broader global coverage</w:t>
      </w:r>
    </w:p>
    <w:p>
      <w:pPr>
        <w:pStyle w:val="ListBullet"/>
        <w:spacing w:after="20"/>
      </w:pPr>
      <w:r>
        <w:t>Every paid factor source has licensing clearance</w:t>
      </w:r>
    </w:p>
    <w:p>
      <w:pPr>
        <w:pStyle w:val="ListBullet"/>
        <w:spacing w:after="20"/>
      </w:pPr>
      <w:r>
        <w:t>No factor can be used in customer claims without source, version, and methodology metadata</w:t>
      </w:r>
    </w:p>
    <w:p>
      <w:pPr>
        <w:pStyle w:val="ListBullet"/>
        <w:spacing w:after="20"/>
      </w:pPr>
      <w:r>
        <w:t>GA requires automated unit tests for core conversions and regression tests for historical calculations</w:t>
      </w:r>
    </w:p>
    <w:p>
      <w:pPr>
        <w:pStyle w:val="Heading3"/>
      </w:pPr>
      <w:r>
        <w:t>Key risks to actively manage</w:t>
      </w:r>
    </w:p>
    <w:p>
      <w:pPr>
        <w:pStyle w:val="ListBullet"/>
        <w:spacing w:after="20"/>
      </w:pPr>
      <w:r>
        <w:t>data-source licensing ambiguity</w:t>
      </w:r>
    </w:p>
    <w:p>
      <w:pPr>
        <w:pStyle w:val="ListBullet"/>
        <w:spacing w:after="20"/>
      </w:pPr>
      <w:r>
        <w:t>methodology disputes between standards</w:t>
      </w:r>
    </w:p>
    <w:p>
      <w:pPr>
        <w:pStyle w:val="ListBullet"/>
        <w:spacing w:after="20"/>
      </w:pPr>
      <w:r>
        <w:t>factor staleness</w:t>
      </w:r>
    </w:p>
    <w:p>
      <w:pPr>
        <w:pStyle w:val="ListBullet"/>
        <w:spacing w:after="20"/>
      </w:pPr>
      <w:r>
        <w:t>overpromising precision where uncertainty is high</w:t>
      </w:r>
    </w:p>
    <w:p>
      <w:pPr>
        <w:pStyle w:val="Heading3"/>
      </w:pPr>
      <w:r>
        <w:t>Success metrics</w:t>
      </w:r>
    </w:p>
    <w:p>
      <w:pPr>
        <w:pStyle w:val="ListBullet"/>
        <w:spacing w:after="20"/>
      </w:pPr>
      <w:r>
        <w:t>API calls/month</w:t>
      </w:r>
    </w:p>
    <w:p>
      <w:pPr>
        <w:pStyle w:val="ListBullet"/>
        <w:spacing w:after="20"/>
      </w:pPr>
      <w:r>
        <w:t>active developers</w:t>
      </w:r>
    </w:p>
    <w:p>
      <w:pPr>
        <w:pStyle w:val="ListBullet"/>
        <w:spacing w:after="20"/>
      </w:pPr>
      <w:r>
        <w:t>factor match accuracy</w:t>
      </w:r>
    </w:p>
    <w:p>
      <w:pPr>
        <w:pStyle w:val="ListBullet"/>
        <w:spacing w:after="20"/>
      </w:pPr>
      <w:r>
        <w:t>percentage of calculations with complete provenance</w:t>
      </w:r>
    </w:p>
    <w:p>
      <w:pPr>
        <w:pStyle w:val="ListBullet"/>
        <w:spacing w:after="20"/>
      </w:pPr>
      <w:r>
        <w:t>enterprise factor override review time</w:t>
      </w:r>
    </w:p>
    <w:p>
      <w:pPr>
        <w:pStyle w:val="Heading3"/>
      </w:pPr>
      <w:r>
        <w:t>Dependency notes</w:t>
      </w:r>
    </w:p>
    <w:p>
      <w:pPr>
        <w:pStyle w:val="ListBullet"/>
        <w:spacing w:after="20"/>
      </w:pPr>
      <w:r>
        <w:t>Upstream: none - this is the root data product.</w:t>
      </w:r>
    </w:p>
    <w:p>
      <w:pPr>
        <w:pStyle w:val="ListBullet"/>
        <w:spacing w:after="20"/>
      </w:pPr>
      <w:r>
        <w:t>Downstream: Scope Engine, Comply, CBAM, PCF Studio, PlantOS, BuildingOS, FleetOS, FinanceOS, MRV Studio, and every sector cloud.</w:t>
      </w:r>
    </w:p>
    <w:p>
      <w:r>
        <w:br w:type="page"/>
      </w:r>
    </w:p>
    <w:p>
      <w:pPr>
        <w:pStyle w:val="Heading2"/>
      </w:pPr>
      <w:r>
        <w:t>2. GreenLang Connect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ERP, procurement, utility, IoT, BMS, fleet, and data-integration owners</w:t>
            </w:r>
          </w:p>
        </w:tc>
      </w:tr>
      <w:tr>
        <w:tc>
          <w:tcPr>
            <w:tcW w:type="dxa" w:w="2448"/>
            <w:vAlign w:val="top"/>
            <w:shd w:fill="EAF2F8"/>
          </w:tcPr>
          <w:p>
            <w:r>
              <w:rPr>
                <w:b/>
                <w:color w:val="1F4E79"/>
                <w:sz w:val="16"/>
              </w:rPr>
              <w:t>Revenue model</w:t>
            </w:r>
          </w:p>
        </w:tc>
        <w:tc>
          <w:tcPr>
            <w:tcW w:type="dxa" w:w="8352"/>
            <w:vAlign w:val="top"/>
          </w:tcPr>
          <w:p>
            <w:r>
              <w:rPr>
                <w:sz w:val="16"/>
              </w:rPr>
              <w:t>Subscription + implementation</w:t>
            </w:r>
          </w:p>
        </w:tc>
      </w:tr>
      <w:tr>
        <w:tc>
          <w:tcPr>
            <w:tcW w:type="dxa" w:w="2448"/>
            <w:vAlign w:val="top"/>
            <w:shd w:fill="EAF2F8"/>
          </w:tcPr>
          <w:p>
            <w:r>
              <w:rPr>
                <w:b/>
                <w:color w:val="1F4E79"/>
                <w:sz w:val="16"/>
              </w:rPr>
              <w:t>Definition</w:t>
            </w:r>
          </w:p>
        </w:tc>
        <w:tc>
          <w:tcPr>
            <w:tcW w:type="dxa" w:w="8352"/>
            <w:vAlign w:val="top"/>
          </w:tcPr>
          <w:p>
            <w:r>
              <w:rPr>
                <w:sz w:val="16"/>
              </w:rPr>
              <w:t>The managed connector and data-ingestion layer that moves activity data from enterprise systems into the GreenLang Climate Ledger. It standardizes extraction, transformation, mapping, validation, lineage, and sync monitoring across ERP, procurement, utility, IoT, fleet, and external datasets.</w:t>
            </w:r>
          </w:p>
        </w:tc>
      </w:tr>
      <w:tr>
        <w:tc>
          <w:tcPr>
            <w:tcW w:type="dxa" w:w="2448"/>
            <w:vAlign w:val="top"/>
            <w:shd w:fill="EAF2F8"/>
          </w:tcPr>
          <w:p>
            <w:r>
              <w:rPr>
                <w:b/>
                <w:color w:val="1F4E79"/>
                <w:sz w:val="16"/>
              </w:rPr>
              <w:t>Strategic role</w:t>
            </w:r>
          </w:p>
        </w:tc>
        <w:tc>
          <w:tcPr>
            <w:tcW w:type="dxa" w:w="8352"/>
            <w:vAlign w:val="top"/>
          </w:tcPr>
          <w:p>
            <w:r>
              <w:rPr>
                <w:sz w:val="16"/>
              </w:rPr>
              <w:t>Transforms GreenLang from a reporting UI into a system connected to operational reality. Connect is the implementation accelerator that makes every downstream product cheaper and faster to deploy.</w:t>
            </w:r>
          </w:p>
        </w:tc>
      </w:tr>
      <w:tr>
        <w:tc>
          <w:tcPr>
            <w:tcW w:type="dxa" w:w="2448"/>
            <w:vAlign w:val="top"/>
            <w:shd w:fill="EAF2F8"/>
          </w:tcPr>
          <w:p>
            <w:r>
              <w:rPr>
                <w:b/>
                <w:color w:val="1F4E79"/>
                <w:sz w:val="16"/>
              </w:rPr>
              <w:t>Pricing / packaging logic</w:t>
            </w:r>
          </w:p>
        </w:tc>
        <w:tc>
          <w:tcPr>
            <w:tcW w:type="dxa" w:w="8352"/>
            <w:vAlign w:val="top"/>
          </w:tcPr>
          <w:p>
            <w:r>
              <w:rPr>
                <w:sz w:val="16"/>
              </w:rPr>
              <w:t>Platform connector pack, premium connector modules, implementation fees, and partner certification fees. Critical connectors become included in enterprise platform tiers once repeatable.</w:t>
            </w:r>
          </w:p>
        </w:tc>
      </w:tr>
    </w:tbl>
    <w:p>
      <w:pPr>
        <w:pStyle w:val="Heading3"/>
      </w:pPr>
      <w:r>
        <w:t>CTO final pathway</w:t>
      </w:r>
    </w:p>
    <w:p>
      <w:pPr>
        <w:spacing w:after="80"/>
      </w:pPr>
      <w:r>
        <w:t>Build GreenLang Connect as a modular product on the shared substrate. The release target is FY27; GA is gated for FY27 Q4. Connector only promoted to GA after 3 repeatable implementations All transformations must be reversible and traceable</w:t>
      </w:r>
    </w:p>
    <w:p>
      <w:pPr>
        <w:pStyle w:val="Heading3"/>
      </w:pPr>
      <w:r>
        <w:t>Why it exists</w:t>
      </w:r>
    </w:p>
    <w:p>
      <w:pPr>
        <w:spacing w:after="80"/>
      </w:pPr>
      <w:r>
        <w:t>The bottleneck in climate software isn't calculation - it's data ingestion. Energy bills, ERP invoices, fuel cards, BMS/SCADA telemetry, logistics shipments, and supplier CSVs all live in different systems with different schemas, refresh cadences, and access controls. Most vendors hand-build one-off integrations per customer and charge heavily for them.</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IT integration leads</w:t>
              <w:br/>
              <w:t>enterprise data teams</w:t>
              <w:br/>
              <w:t>implementation partners</w:t>
              <w:br/>
              <w:t>sustainability operations teams</w:t>
              <w:br/>
              <w:t>plant and facility operations users</w:t>
            </w:r>
          </w:p>
        </w:tc>
      </w:tr>
      <w:tr>
        <w:tc>
          <w:tcPr>
            <w:tcW w:type="dxa" w:w="3024"/>
            <w:vAlign w:val="top"/>
          </w:tcPr>
          <w:p>
            <w:r>
              <w:rPr>
                <w:sz w:val="16"/>
              </w:rPr>
              <w:t>Jobs to be done</w:t>
            </w:r>
          </w:p>
        </w:tc>
        <w:tc>
          <w:tcPr>
            <w:tcW w:type="dxa" w:w="8640"/>
            <w:vAlign w:val="top"/>
          </w:tcPr>
          <w:p>
            <w:r>
              <w:rPr>
                <w:sz w:val="16"/>
              </w:rPr>
              <w:t>Ingest invoices, purchase orders, meter data, bills, production data, shipment data, and asset metadata</w:t>
              <w:br/>
              <w:t>Map customer systems into GreenLang canonical objects</w:t>
              <w:br/>
              <w:t>Monitor data completeness and freshness</w:t>
              <w:br/>
              <w:t>Provide secure customer-controlled credentials and data residency configuration</w:t>
              <w:br/>
              <w:t>Support implementation partners with repeatable connector templates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Pre-built connectors for SAP (S/4HANA, ECC), Oracle ERP, NetSuite, Dynamics, Workday, Coupa, Ariba.</w:t>
              <w:br/>
              <w:t>Utility-bill connectors for India DISCOMs, EU utilities, US IOUs with parsing of CSV/PDF/portal formats.</w:t>
              <w:br/>
              <w:t>BMS/SCADA/IoT adapters: BACnet, Modbus, OPC-UA, Niagara, LoRaWAN, MQTT.</w:t>
              <w:br/>
              <w:t>Logistics/TMS: Project44, FourKites, Flexport, MercuryGate, manual shipment CSVs.</w:t>
              <w:br/>
              <w:t>Procurement/PCF: supplier spreadsheet intake with auto-schema-detection.</w:t>
              <w:br/>
              <w:t>CDC (change data capture) with idempotent writes into Climate Ledger.</w:t>
              <w:br/>
              <w:t>Data quality checks: nulls, unit conversion errors, time-zone drift, duplicate invoices.</w:t>
              <w:br/>
              <w:t>Observability: connector health dashboard, SLA per source, backfill controls.</w:t>
              <w:br/>
              <w:t>Low-code connector SDK for partners to ship their own.</w:t>
            </w:r>
          </w:p>
        </w:tc>
      </w:tr>
      <w:tr>
        <w:tc>
          <w:tcPr>
            <w:tcW w:type="dxa" w:w="3456"/>
            <w:vAlign w:val="top"/>
          </w:tcPr>
          <w:p>
            <w:r>
              <w:rPr>
                <w:sz w:val="16"/>
              </w:rPr>
              <w:t>In-scope product modules</w:t>
            </w:r>
          </w:p>
        </w:tc>
        <w:tc>
          <w:tcPr>
            <w:tcW w:type="dxa" w:w="8352"/>
            <w:vAlign w:val="top"/>
          </w:tcPr>
          <w:p>
            <w:r>
              <w:rPr>
                <w:sz w:val="16"/>
              </w:rPr>
              <w:t>connector catalog</w:t>
              <w:br/>
              <w:t>mapping studio</w:t>
              <w:br/>
              <w:t>data-quality rules</w:t>
              <w:br/>
              <w:t>sync scheduler and failure alerts</w:t>
              <w:br/>
              <w:t>credential vault and permissioning</w:t>
              <w:br/>
              <w:t>lineage and transformation logs</w:t>
              <w:br/>
              <w:t>implementation templates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ERP transactions</w:t>
              <w:br/>
              <w:t>procurement line items</w:t>
              <w:br/>
              <w:t>utility bills</w:t>
              <w:br/>
              <w:t>meter readings</w:t>
              <w:br/>
              <w:t>IoT telemetry</w:t>
              <w:br/>
              <w:t>BMS points</w:t>
              <w:br/>
              <w:t>supplier files</w:t>
              <w:br/>
              <w:t>logistics data</w:t>
              <w:br/>
              <w:t>asset registry records</w:t>
            </w:r>
          </w:p>
        </w:tc>
      </w:tr>
      <w:tr>
        <w:tc>
          <w:tcPr>
            <w:tcW w:type="dxa" w:w="3384"/>
            <w:vAlign w:val="top"/>
          </w:tcPr>
          <w:p>
            <w:r>
              <w:rPr>
                <w:sz w:val="16"/>
              </w:rPr>
              <w:t>External/product integrations</w:t>
            </w:r>
          </w:p>
        </w:tc>
        <w:tc>
          <w:tcPr>
            <w:tcW w:type="dxa" w:w="8496"/>
            <w:vAlign w:val="top"/>
          </w:tcPr>
          <w:p>
            <w:r>
              <w:rPr>
                <w:sz w:val="16"/>
              </w:rPr>
              <w:t>SAP, Oracle, Microsoft Dynamics, NetSuite where commercially prioritized; Excel/CSV/SFTP ingestion; utility billing portals; IoT gateways; BMS platforms; fleet systems; data warehouses</w:t>
            </w:r>
          </w:p>
        </w:tc>
      </w:tr>
      <w:tr>
        <w:tc>
          <w:tcPr>
            <w:tcW w:type="dxa" w:w="3384"/>
            <w:vAlign w:val="top"/>
          </w:tcPr>
          <w:p>
            <w:r>
              <w:rPr>
                <w:sz w:val="16"/>
              </w:rPr>
              <w:t>GreenLang dependencies</w:t>
            </w:r>
          </w:p>
        </w:tc>
        <w:tc>
          <w:tcPr>
            <w:tcW w:type="dxa" w:w="8496"/>
            <w:vAlign w:val="top"/>
          </w:tcPr>
          <w:p>
            <w:r>
              <w:rPr>
                <w:sz w:val="16"/>
              </w:rPr>
              <w:t>Entity Graph; Climate Ledger; Evidence Vault; SDK/API/CLI; Agent Runtime for mapping automation</w:t>
            </w:r>
          </w:p>
        </w:tc>
      </w:tr>
      <w:tr>
        <w:tc>
          <w:tcPr>
            <w:tcW w:type="dxa" w:w="3384"/>
            <w:vAlign w:val="top"/>
          </w:tcPr>
          <w:p>
            <w:r>
              <w:rPr>
                <w:sz w:val="16"/>
              </w:rPr>
              <w:t>Customer outputs and deliverables</w:t>
            </w:r>
          </w:p>
        </w:tc>
        <w:tc>
          <w:tcPr>
            <w:tcW w:type="dxa" w:w="8496"/>
            <w:vAlign w:val="top"/>
          </w:tcPr>
          <w:p>
            <w:r>
              <w:rPr>
                <w:sz w:val="16"/>
              </w:rPr>
              <w:t>validated activity-data records</w:t>
              <w:br/>
              <w:t>mapping confidence reports</w:t>
              <w:br/>
              <w:t>data-completeness dashboard</w:t>
              <w:br/>
              <w:t>connector health dashboard</w:t>
              <w:br/>
              <w:t>implementation audit pack</w:t>
            </w:r>
          </w:p>
        </w:tc>
      </w:tr>
    </w:tbl>
    <w:p>
      <w:pPr>
        <w:pStyle w:val="Heading3"/>
      </w:pPr>
      <w:r>
        <w:t>AI and automation behavior</w:t>
      </w:r>
    </w:p>
    <w:p>
      <w:pPr>
        <w:pStyle w:val="ListBullet"/>
        <w:spacing w:after="20"/>
      </w:pPr>
      <w:r>
        <w:t>schema-mapping copilot</w:t>
      </w:r>
    </w:p>
    <w:p>
      <w:pPr>
        <w:pStyle w:val="ListBullet"/>
        <w:spacing w:after="20"/>
      </w:pPr>
      <w:r>
        <w:t>missing-data imputation recommendation with human review</w:t>
      </w:r>
    </w:p>
    <w:p>
      <w:pPr>
        <w:pStyle w:val="ListBullet"/>
        <w:spacing w:after="20"/>
      </w:pPr>
      <w:r>
        <w:t>outlier detection</w:t>
      </w:r>
    </w:p>
    <w:p>
      <w:pPr>
        <w:pStyle w:val="ListBullet"/>
        <w:spacing w:after="20"/>
      </w:pPr>
      <w:r>
        <w:t>field-level lineage explanations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5 connectors: SAP ECC, utility CSV, BMS (BACnet), manual spreadsheet, SFTP drop.</w:t>
            </w:r>
          </w:p>
        </w:tc>
      </w:tr>
      <w:tr>
        <w:tc>
          <w:tcPr>
            <w:tcW w:type="dxa" w:w="1872"/>
            <w:vAlign w:val="top"/>
          </w:tcPr>
          <w:p>
            <w:r>
              <w:rPr>
                <w:sz w:val="16"/>
              </w:rPr>
              <w:t>v0.5 Closed Beta</w:t>
            </w:r>
          </w:p>
        </w:tc>
        <w:tc>
          <w:tcPr>
            <w:tcW w:type="dxa" w:w="2304"/>
            <w:vAlign w:val="top"/>
          </w:tcPr>
          <w:p>
            <w:r>
              <w:rPr>
                <w:sz w:val="16"/>
              </w:rPr>
              <w:t>FY27 Q2</w:t>
            </w:r>
          </w:p>
        </w:tc>
        <w:tc>
          <w:tcPr>
            <w:tcW w:type="dxa" w:w="7776"/>
            <w:vAlign w:val="top"/>
          </w:tcPr>
          <w:p>
            <w:r>
              <w:rPr>
                <w:sz w:val="16"/>
              </w:rPr>
              <w:t>15 connectors, basic DQ checks, UI for mapping.</w:t>
            </w:r>
          </w:p>
        </w:tc>
      </w:tr>
      <w:tr>
        <w:tc>
          <w:tcPr>
            <w:tcW w:type="dxa" w:w="1872"/>
            <w:vAlign w:val="top"/>
          </w:tcPr>
          <w:p>
            <w:r>
              <w:rPr>
                <w:sz w:val="16"/>
              </w:rPr>
              <w:t>v0.9 Public Beta</w:t>
            </w:r>
          </w:p>
        </w:tc>
        <w:tc>
          <w:tcPr>
            <w:tcW w:type="dxa" w:w="2304"/>
            <w:vAlign w:val="top"/>
          </w:tcPr>
          <w:p>
            <w:r>
              <w:rPr>
                <w:sz w:val="16"/>
              </w:rPr>
              <w:t>FY27 Q3</w:t>
            </w:r>
          </w:p>
        </w:tc>
        <w:tc>
          <w:tcPr>
            <w:tcW w:type="dxa" w:w="7776"/>
            <w:vAlign w:val="top"/>
          </w:tcPr>
          <w:p>
            <w:r>
              <w:rPr>
                <w:sz w:val="16"/>
              </w:rPr>
              <w:t>30 connectors, observability dashboard, incremental CDC.</w:t>
            </w:r>
          </w:p>
        </w:tc>
      </w:tr>
      <w:tr>
        <w:tc>
          <w:tcPr>
            <w:tcW w:type="dxa" w:w="1872"/>
            <w:vAlign w:val="top"/>
          </w:tcPr>
          <w:p>
            <w:r>
              <w:rPr>
                <w:sz w:val="16"/>
              </w:rPr>
              <w:t>v1.0 GA</w:t>
            </w:r>
          </w:p>
        </w:tc>
        <w:tc>
          <w:tcPr>
            <w:tcW w:type="dxa" w:w="2304"/>
            <w:vAlign w:val="top"/>
          </w:tcPr>
          <w:p>
            <w:r>
              <w:rPr>
                <w:sz w:val="16"/>
              </w:rPr>
              <w:t>FY27 Q4</w:t>
            </w:r>
          </w:p>
        </w:tc>
        <w:tc>
          <w:tcPr>
            <w:tcW w:type="dxa" w:w="7776"/>
            <w:vAlign w:val="top"/>
          </w:tcPr>
          <w:p>
            <w:r>
              <w:rPr>
                <w:sz w:val="16"/>
              </w:rPr>
              <w:t>60 connectors, SLA, on-prem appliance option.</w:t>
            </w:r>
          </w:p>
        </w:tc>
      </w:tr>
      <w:tr>
        <w:tc>
          <w:tcPr>
            <w:tcW w:type="dxa" w:w="1872"/>
            <w:vAlign w:val="top"/>
          </w:tcPr>
          <w:p>
            <w:r>
              <w:rPr>
                <w:sz w:val="16"/>
              </w:rPr>
              <w:t>v1.5</w:t>
            </w:r>
          </w:p>
        </w:tc>
        <w:tc>
          <w:tcPr>
            <w:tcW w:type="dxa" w:w="2304"/>
            <w:vAlign w:val="top"/>
          </w:tcPr>
          <w:p>
            <w:r>
              <w:rPr>
                <w:sz w:val="16"/>
              </w:rPr>
              <w:t>FY28 Q3</w:t>
            </w:r>
          </w:p>
        </w:tc>
        <w:tc>
          <w:tcPr>
            <w:tcW w:type="dxa" w:w="7776"/>
            <w:vAlign w:val="top"/>
          </w:tcPr>
          <w:p>
            <w:r>
              <w:rPr>
                <w:sz w:val="16"/>
              </w:rPr>
              <w:t>Partner connector SDK; first 10 partner-built connectors.</w:t>
            </w:r>
          </w:p>
        </w:tc>
      </w:tr>
      <w:tr>
        <w:tc>
          <w:tcPr>
            <w:tcW w:type="dxa" w:w="1872"/>
            <w:vAlign w:val="top"/>
          </w:tcPr>
          <w:p>
            <w:r>
              <w:rPr>
                <w:sz w:val="16"/>
              </w:rPr>
              <w:t>v2.0</w:t>
            </w:r>
          </w:p>
        </w:tc>
        <w:tc>
          <w:tcPr>
            <w:tcW w:type="dxa" w:w="2304"/>
            <w:vAlign w:val="top"/>
          </w:tcPr>
          <w:p>
            <w:r>
              <w:rPr>
                <w:sz w:val="16"/>
              </w:rPr>
              <w:t>FY29 Q2</w:t>
            </w:r>
          </w:p>
        </w:tc>
        <w:tc>
          <w:tcPr>
            <w:tcW w:type="dxa" w:w="7776"/>
            <w:vAlign w:val="top"/>
          </w:tcPr>
          <w:p>
            <w:r>
              <w:rPr>
                <w:sz w:val="16"/>
              </w:rPr>
              <w:t>100+ connectors; real-time streaming ingestion for BMS/SCADA; India DISCOM coverage.</w:t>
            </w:r>
          </w:p>
        </w:tc>
      </w:tr>
      <w:tr>
        <w:tc>
          <w:tcPr>
            <w:tcW w:type="dxa" w:w="1872"/>
            <w:vAlign w:val="top"/>
          </w:tcPr>
          <w:p>
            <w:r>
              <w:rPr>
                <w:sz w:val="16"/>
              </w:rPr>
              <w:t>v2.5</w:t>
            </w:r>
          </w:p>
        </w:tc>
        <w:tc>
          <w:tcPr>
            <w:tcW w:type="dxa" w:w="2304"/>
            <w:vAlign w:val="top"/>
          </w:tcPr>
          <w:p>
            <w:r>
              <w:rPr>
                <w:sz w:val="16"/>
              </w:rPr>
              <w:t>FY30 Q2</w:t>
            </w:r>
          </w:p>
        </w:tc>
        <w:tc>
          <w:tcPr>
            <w:tcW w:type="dxa" w:w="7776"/>
            <w:vAlign w:val="top"/>
          </w:tcPr>
          <w:p>
            <w:r>
              <w:rPr>
                <w:sz w:val="16"/>
              </w:rPr>
              <w:t>Auto-discovery and auto-mapping of novel ERPs via LLM; connector marketplace.</w:t>
            </w:r>
          </w:p>
        </w:tc>
      </w:tr>
      <w:tr>
        <w:tc>
          <w:tcPr>
            <w:tcW w:type="dxa" w:w="1872"/>
            <w:vAlign w:val="top"/>
          </w:tcPr>
          <w:p>
            <w:r>
              <w:rPr>
                <w:sz w:val="16"/>
              </w:rPr>
              <w:t>v3.0</w:t>
            </w:r>
          </w:p>
        </w:tc>
        <w:tc>
          <w:tcPr>
            <w:tcW w:type="dxa" w:w="2304"/>
            <w:vAlign w:val="top"/>
          </w:tcPr>
          <w:p>
            <w:r>
              <w:rPr>
                <w:sz w:val="16"/>
              </w:rPr>
              <w:t>FY31 Q1</w:t>
            </w:r>
          </w:p>
        </w:tc>
        <w:tc>
          <w:tcPr>
            <w:tcW w:type="dxa" w:w="7776"/>
            <w:vAlign w:val="top"/>
          </w:tcPr>
          <w:p>
            <w:r>
              <w:rPr>
                <w:sz w:val="16"/>
              </w:rPr>
              <w:t>200+ connectors; federated ingestion via agent mesh; supplier-self-serve onboarding at scale.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Connector only promoted to GA after 3 repeatable implementations</w:t>
      </w:r>
    </w:p>
    <w:p>
      <w:pPr>
        <w:pStyle w:val="ListBullet"/>
        <w:spacing w:after="20"/>
      </w:pPr>
      <w:r>
        <w:t>All transformations must be reversible and traceable</w:t>
      </w:r>
    </w:p>
    <w:p>
      <w:pPr>
        <w:pStyle w:val="ListBullet"/>
        <w:spacing w:after="20"/>
      </w:pPr>
      <w:r>
        <w:t>No silent imputation for regulated reports</w:t>
      </w:r>
    </w:p>
    <w:p>
      <w:pPr>
        <w:pStyle w:val="ListBullet"/>
        <w:spacing w:after="20"/>
      </w:pPr>
      <w:r>
        <w:t>Credential and privacy review required before enterprise availability</w:t>
      </w:r>
    </w:p>
    <w:p>
      <w:pPr>
        <w:pStyle w:val="Heading3"/>
      </w:pPr>
      <w:r>
        <w:t>Key risks to actively manage</w:t>
      </w:r>
    </w:p>
    <w:p>
      <w:pPr>
        <w:pStyle w:val="ListBullet"/>
        <w:spacing w:after="20"/>
      </w:pPr>
      <w:r>
        <w:t>fragile third-party APIs</w:t>
      </w:r>
    </w:p>
    <w:p>
      <w:pPr>
        <w:pStyle w:val="ListBullet"/>
        <w:spacing w:after="20"/>
      </w:pPr>
      <w:r>
        <w:t>high implementation services burden</w:t>
      </w:r>
    </w:p>
    <w:p>
      <w:pPr>
        <w:pStyle w:val="ListBullet"/>
        <w:spacing w:after="20"/>
      </w:pPr>
      <w:r>
        <w:t>data security concerns</w:t>
      </w:r>
    </w:p>
    <w:p>
      <w:pPr>
        <w:pStyle w:val="ListBullet"/>
        <w:spacing w:after="20"/>
      </w:pPr>
      <w:r>
        <w:t>customer master-data inconsistency</w:t>
      </w:r>
    </w:p>
    <w:p>
      <w:pPr>
        <w:pStyle w:val="Heading3"/>
      </w:pPr>
      <w:r>
        <w:t>Success metrics</w:t>
      </w:r>
    </w:p>
    <w:p>
      <w:pPr>
        <w:pStyle w:val="ListBullet"/>
        <w:spacing w:after="20"/>
      </w:pPr>
      <w:r>
        <w:t>time-to-first-data</w:t>
      </w:r>
    </w:p>
    <w:p>
      <w:pPr>
        <w:pStyle w:val="ListBullet"/>
        <w:spacing w:after="20"/>
      </w:pPr>
      <w:r>
        <w:t>connector uptime</w:t>
      </w:r>
    </w:p>
    <w:p>
      <w:pPr>
        <w:pStyle w:val="ListBullet"/>
        <w:spacing w:after="20"/>
      </w:pPr>
      <w:r>
        <w:t>sync failure rate</w:t>
      </w:r>
    </w:p>
    <w:p>
      <w:pPr>
        <w:pStyle w:val="ListBullet"/>
        <w:spacing w:after="20"/>
      </w:pPr>
      <w:r>
        <w:t>mapped-record accuracy</w:t>
      </w:r>
    </w:p>
    <w:p>
      <w:pPr>
        <w:pStyle w:val="ListBullet"/>
        <w:spacing w:after="20"/>
      </w:pPr>
      <w:r>
        <w:t>implementation hours per customer</w:t>
      </w:r>
    </w:p>
    <w:p>
      <w:pPr>
        <w:pStyle w:val="Heading3"/>
      </w:pPr>
      <w:r>
        <w:t>Dependency notes</w:t>
      </w:r>
    </w:p>
    <w:p>
      <w:pPr>
        <w:pStyle w:val="ListBullet"/>
        <w:spacing w:after="20"/>
      </w:pPr>
      <w:r>
        <w:t>Upstream: Climate Ledger (writes here), Evidence Vault (stores raw).</w:t>
      </w:r>
    </w:p>
    <w:p>
      <w:pPr>
        <w:pStyle w:val="ListBullet"/>
        <w:spacing w:after="20"/>
      </w:pPr>
      <w:r>
        <w:t>Downstream: every sector cloud depends on Connect for activity data.</w:t>
      </w:r>
    </w:p>
    <w:p>
      <w:r>
        <w:br w:type="page"/>
      </w:r>
    </w:p>
    <w:p>
      <w:pPr>
        <w:pStyle w:val="Heading2"/>
      </w:pPr>
      <w:r>
        <w:t>3. GreenLang Entity Graph</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FY28 Q2</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Multi-entity enterprises, groups, suppliers, assets, financiers, public-sector entities</w:t>
            </w:r>
          </w:p>
        </w:tc>
      </w:tr>
      <w:tr>
        <w:tc>
          <w:tcPr>
            <w:tcW w:type="dxa" w:w="2448"/>
            <w:vAlign w:val="top"/>
            <w:shd w:fill="EAF2F8"/>
          </w:tcPr>
          <w:p>
            <w:r>
              <w:rPr>
                <w:b/>
                <w:color w:val="1F4E79"/>
                <w:sz w:val="16"/>
              </w:rPr>
              <w:t>Revenue model</w:t>
            </w:r>
          </w:p>
        </w:tc>
        <w:tc>
          <w:tcPr>
            <w:tcW w:type="dxa" w:w="8352"/>
            <w:vAlign w:val="top"/>
          </w:tcPr>
          <w:p>
            <w:r>
              <w:rPr>
                <w:sz w:val="16"/>
              </w:rPr>
              <w:t>Included in platform</w:t>
            </w:r>
          </w:p>
        </w:tc>
      </w:tr>
      <w:tr>
        <w:tc>
          <w:tcPr>
            <w:tcW w:type="dxa" w:w="2448"/>
            <w:vAlign w:val="top"/>
            <w:shd w:fill="EAF2F8"/>
          </w:tcPr>
          <w:p>
            <w:r>
              <w:rPr>
                <w:b/>
                <w:color w:val="1F4E79"/>
                <w:sz w:val="16"/>
              </w:rPr>
              <w:t>Definition</w:t>
            </w:r>
          </w:p>
        </w:tc>
        <w:tc>
          <w:tcPr>
            <w:tcW w:type="dxa" w:w="8352"/>
            <w:vAlign w:val="top"/>
          </w:tcPr>
          <w:p>
            <w:r>
              <w:rPr>
                <w:sz w:val="16"/>
              </w:rPr>
              <w:t>The canonical graph of organizations, facilities, assets, products, suppliers, customers, ownership stakes, contracts, projects, geographies, and reporting boundaries. It gives every GreenLang workflow a consistent answer to "who owns what, who supplies whom, and what reporting boundary applies?"</w:t>
            </w:r>
          </w:p>
        </w:tc>
      </w:tr>
      <w:tr>
        <w:tc>
          <w:tcPr>
            <w:tcW w:type="dxa" w:w="2448"/>
            <w:vAlign w:val="top"/>
            <w:shd w:fill="EAF2F8"/>
          </w:tcPr>
          <w:p>
            <w:r>
              <w:rPr>
                <w:b/>
                <w:color w:val="1F4E79"/>
                <w:sz w:val="16"/>
              </w:rPr>
              <w:t>Strategic role</w:t>
            </w:r>
          </w:p>
        </w:tc>
        <w:tc>
          <w:tcPr>
            <w:tcW w:type="dxa" w:w="8352"/>
            <w:vAlign w:val="top"/>
          </w:tcPr>
          <w:p>
            <w:r>
              <w:rPr>
                <w:sz w:val="16"/>
              </w:rPr>
              <w:t>Prevents every product from inventing its own hierarchy and boundary logic. It is essential for enterprise reporting, supplier networks, portfolio finance, city assets, and carbon-market project ownership.</w:t>
            </w:r>
          </w:p>
        </w:tc>
      </w:tr>
      <w:tr>
        <w:tc>
          <w:tcPr>
            <w:tcW w:type="dxa" w:w="2448"/>
            <w:vAlign w:val="top"/>
            <w:shd w:fill="EAF2F8"/>
          </w:tcPr>
          <w:p>
            <w:r>
              <w:rPr>
                <w:b/>
                <w:color w:val="1F4E79"/>
                <w:sz w:val="16"/>
              </w:rPr>
              <w:t>Pricing / packaging logic</w:t>
            </w:r>
          </w:p>
        </w:tc>
        <w:tc>
          <w:tcPr>
            <w:tcW w:type="dxa" w:w="8352"/>
            <w:vAlign w:val="top"/>
          </w:tcPr>
          <w:p>
            <w:r>
              <w:rPr>
                <w:sz w:val="16"/>
              </w:rPr>
              <w:t>Bundled with platform subscription; advanced graph analytics and network analytics become premium enterprise features.</w:t>
            </w:r>
          </w:p>
        </w:tc>
      </w:tr>
    </w:tbl>
    <w:p>
      <w:pPr>
        <w:pStyle w:val="Heading3"/>
      </w:pPr>
      <w:r>
        <w:t>CTO final pathway</w:t>
      </w:r>
    </w:p>
    <w:p>
      <w:pPr>
        <w:spacing w:after="80"/>
      </w:pPr>
      <w:r>
        <w:t>Build GreenLang Entity Graph as a modular product on the shared substrate. The release target is FY27; GA is gated for FY28 Q2. Entity model must support the first compliance and supplier use cases before expanding into city/finance complexity Graph changes must be auditable</w:t>
      </w:r>
    </w:p>
    <w:p>
      <w:pPr>
        <w:pStyle w:val="Heading3"/>
      </w:pPr>
      <w:r>
        <w:t>Why it exists</w:t>
      </w:r>
    </w:p>
    <w:p>
      <w:pPr>
        <w:spacing w:after="80"/>
      </w:pPr>
      <w:r>
        <w:t>Climate questions are fundamentally graph questions: Which subsidiaries ship Scope 3? Which supplier produces the aluminium in this SKU? Which building serves this DC? Which vehicle leases roll up to which BU? Without a shared entity graph, every product rebuilds its own org/facility/supplier model, and data doesn't roll up consistently.</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enterprise admins</w:t>
              <w:br/>
              <w:t>sustainability controllers</w:t>
              <w:br/>
              <w:t>procurement managers</w:t>
              <w:br/>
              <w:t>finance/portfolio analysts</w:t>
              <w:br/>
              <w:t>implementation partners</w:t>
              <w:br/>
              <w:t>auditors</w:t>
            </w:r>
          </w:p>
        </w:tc>
      </w:tr>
      <w:tr>
        <w:tc>
          <w:tcPr>
            <w:tcW w:type="dxa" w:w="3024"/>
            <w:vAlign w:val="top"/>
          </w:tcPr>
          <w:p>
            <w:r>
              <w:rPr>
                <w:sz w:val="16"/>
              </w:rPr>
              <w:t>Jobs to be done</w:t>
            </w:r>
          </w:p>
        </w:tc>
        <w:tc>
          <w:tcPr>
            <w:tcW w:type="dxa" w:w="8640"/>
            <w:vAlign w:val="top"/>
          </w:tcPr>
          <w:p>
            <w:r>
              <w:rPr>
                <w:sz w:val="16"/>
              </w:rPr>
              <w:t>Model corporate structures and reporting boundaries</w:t>
              <w:br/>
              <w:t>Represent suppliers, sites, products, assets, and ownership stakes</w:t>
              <w:br/>
              <w:t>Resolve duplicates and entity identity conflicts</w:t>
              <w:br/>
              <w:t>Propagate permissions across hierarchies</w:t>
              <w:br/>
              <w:t>Support cross-product queries across companies, products, assets, and projects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Canonical entity types: legal entity, operating entity, facility, asset, supplier, product, SKU, fleet vehicle, contract, PPA.</w:t>
              <w:br/>
              <w:t>Typed relationships: ownership %, control (GHGP financial/operational), supplies, consumes, produces, leases, serves.</w:t>
              <w:br/>
              <w:t>Versioned/time-aware graph (handles M&amp;A, divestitures, leases expiring).</w:t>
              <w:br/>
              <w:t>GraphQL query interface + cypher-like DSL.</w:t>
              <w:br/>
              <w:t>Consolidation engine producing GHGP and ISSB-aligned boundaries.</w:t>
              <w:br/>
              <w:t>Supplier-tier traversal (Tier 1 → Tier N) with confidence metadata.</w:t>
              <w:br/>
              <w:t>Identity resolution: LEI, GLN, DUNS, CIN, custom IDs.</w:t>
              <w:br/>
              <w:t>Visual graph explorer and diff viewer for boundary changes.</w:t>
            </w:r>
          </w:p>
        </w:tc>
      </w:tr>
      <w:tr>
        <w:tc>
          <w:tcPr>
            <w:tcW w:type="dxa" w:w="3456"/>
            <w:vAlign w:val="top"/>
          </w:tcPr>
          <w:p>
            <w:r>
              <w:rPr>
                <w:sz w:val="16"/>
              </w:rPr>
              <w:t>In-scope product modules</w:t>
            </w:r>
          </w:p>
        </w:tc>
        <w:tc>
          <w:tcPr>
            <w:tcW w:type="dxa" w:w="8352"/>
            <w:vAlign w:val="top"/>
          </w:tcPr>
          <w:p>
            <w:r>
              <w:rPr>
                <w:sz w:val="16"/>
              </w:rPr>
              <w:t>entity registry</w:t>
              <w:br/>
              <w:t>facility and asset hierarchy</w:t>
              <w:br/>
              <w:t>supplier/customer relationships</w:t>
              <w:br/>
              <w:t>ownership and boundary model</w:t>
              <w:br/>
              <w:t>duplicate resolution</w:t>
              <w:br/>
              <w:t>permission inheritance</w:t>
              <w:br/>
              <w:t>graph query API</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legal entity identifiers</w:t>
              <w:br/>
              <w:t>facility IDs</w:t>
              <w:br/>
              <w:t>addresses and geocodes</w:t>
              <w:br/>
              <w:t>supplier IDs</w:t>
              <w:br/>
              <w:t>product IDs</w:t>
              <w:br/>
              <w:t>asset IDs</w:t>
              <w:br/>
              <w:t>ownership percentages</w:t>
              <w:br/>
              <w:t>contracts</w:t>
              <w:br/>
              <w:t>reporting-boundary metadata</w:t>
            </w:r>
          </w:p>
        </w:tc>
      </w:tr>
      <w:tr>
        <w:tc>
          <w:tcPr>
            <w:tcW w:type="dxa" w:w="3384"/>
            <w:vAlign w:val="top"/>
          </w:tcPr>
          <w:p>
            <w:r>
              <w:rPr>
                <w:sz w:val="16"/>
              </w:rPr>
              <w:t>External/product integrations</w:t>
            </w:r>
          </w:p>
        </w:tc>
        <w:tc>
          <w:tcPr>
            <w:tcW w:type="dxa" w:w="8496"/>
            <w:vAlign w:val="top"/>
          </w:tcPr>
          <w:p>
            <w:r>
              <w:rPr>
                <w:sz w:val="16"/>
              </w:rPr>
              <w:t>Connect; Climate Ledger; SupplierOS; FinanceOS; RiskOS; CityOS; CRM/ERP master data; company registry datasets where available</w:t>
            </w:r>
          </w:p>
        </w:tc>
      </w:tr>
      <w:tr>
        <w:tc>
          <w:tcPr>
            <w:tcW w:type="dxa" w:w="3384"/>
            <w:vAlign w:val="top"/>
          </w:tcPr>
          <w:p>
            <w:r>
              <w:rPr>
                <w:sz w:val="16"/>
              </w:rPr>
              <w:t>GreenLang dependencies</w:t>
            </w:r>
          </w:p>
        </w:tc>
        <w:tc>
          <w:tcPr>
            <w:tcW w:type="dxa" w:w="8496"/>
            <w:vAlign w:val="top"/>
          </w:tcPr>
          <w:p>
            <w:r>
              <w:rPr>
                <w:sz w:val="16"/>
              </w:rPr>
              <w:t>GreenLang Connect; Climate Ledger; Evidence Vault</w:t>
            </w:r>
          </w:p>
        </w:tc>
      </w:tr>
      <w:tr>
        <w:tc>
          <w:tcPr>
            <w:tcW w:type="dxa" w:w="3384"/>
            <w:vAlign w:val="top"/>
          </w:tcPr>
          <w:p>
            <w:r>
              <w:rPr>
                <w:sz w:val="16"/>
              </w:rPr>
              <w:t>Customer outputs and deliverables</w:t>
            </w:r>
          </w:p>
        </w:tc>
        <w:tc>
          <w:tcPr>
            <w:tcW w:type="dxa" w:w="8496"/>
            <w:vAlign w:val="top"/>
          </w:tcPr>
          <w:p>
            <w:r>
              <w:rPr>
                <w:sz w:val="16"/>
              </w:rPr>
              <w:t>entity map</w:t>
              <w:br/>
              <w:t>boundary report</w:t>
              <w:br/>
              <w:t>supplier network view</w:t>
              <w:br/>
              <w:t>asset portfolio view</w:t>
              <w:br/>
              <w:t>permissions matrix</w:t>
              <w:br/>
              <w:t>graph API responses</w:t>
            </w:r>
          </w:p>
        </w:tc>
      </w:tr>
    </w:tbl>
    <w:p>
      <w:pPr>
        <w:pStyle w:val="Heading3"/>
      </w:pPr>
      <w:r>
        <w:t>AI and automation behavior</w:t>
      </w:r>
    </w:p>
    <w:p>
      <w:pPr>
        <w:pStyle w:val="ListBullet"/>
        <w:spacing w:after="20"/>
      </w:pPr>
      <w:r>
        <w:t>entity-resolution assistant</w:t>
      </w:r>
    </w:p>
    <w:p>
      <w:pPr>
        <w:pStyle w:val="ListBullet"/>
        <w:spacing w:after="20"/>
      </w:pPr>
      <w:r>
        <w:t>duplicate detection</w:t>
      </w:r>
    </w:p>
    <w:p>
      <w:pPr>
        <w:pStyle w:val="ListBullet"/>
        <w:spacing w:after="20"/>
      </w:pPr>
      <w:r>
        <w:t>graph anomaly detection</w:t>
      </w:r>
    </w:p>
    <w:p>
      <w:pPr>
        <w:pStyle w:val="ListBullet"/>
        <w:spacing w:after="20"/>
      </w:pPr>
      <w:r>
        <w:t>natural-language graph query interface</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Q2</w:t>
            </w:r>
          </w:p>
        </w:tc>
        <w:tc>
          <w:tcPr>
            <w:tcW w:type="dxa" w:w="7776"/>
            <w:vAlign w:val="top"/>
          </w:tcPr>
          <w:p>
            <w:r>
              <w:rPr>
                <w:sz w:val="16"/>
              </w:rPr>
              <w:t>Core entity types (legal, facility, supplier); hand-curated.</w:t>
            </w:r>
          </w:p>
        </w:tc>
      </w:tr>
      <w:tr>
        <w:tc>
          <w:tcPr>
            <w:tcW w:type="dxa" w:w="1872"/>
            <w:vAlign w:val="top"/>
          </w:tcPr>
          <w:p>
            <w:r>
              <w:rPr>
                <w:sz w:val="16"/>
              </w:rPr>
              <w:t>v0.5 Closed Beta</w:t>
            </w:r>
          </w:p>
        </w:tc>
        <w:tc>
          <w:tcPr>
            <w:tcW w:type="dxa" w:w="2304"/>
            <w:vAlign w:val="top"/>
          </w:tcPr>
          <w:p>
            <w:r>
              <w:rPr>
                <w:sz w:val="16"/>
              </w:rPr>
              <w:t>FY27 Q3</w:t>
            </w:r>
          </w:p>
        </w:tc>
        <w:tc>
          <w:tcPr>
            <w:tcW w:type="dxa" w:w="7776"/>
            <w:vAlign w:val="top"/>
          </w:tcPr>
          <w:p>
            <w:r>
              <w:rPr>
                <w:sz w:val="16"/>
              </w:rPr>
              <w:t>Product and SKU entities; basic ownership edges; versioned.</w:t>
            </w:r>
          </w:p>
        </w:tc>
      </w:tr>
      <w:tr>
        <w:tc>
          <w:tcPr>
            <w:tcW w:type="dxa" w:w="1872"/>
            <w:vAlign w:val="top"/>
          </w:tcPr>
          <w:p>
            <w:r>
              <w:rPr>
                <w:sz w:val="16"/>
              </w:rPr>
              <w:t>v0.9 Public Beta</w:t>
            </w:r>
          </w:p>
        </w:tc>
        <w:tc>
          <w:tcPr>
            <w:tcW w:type="dxa" w:w="2304"/>
            <w:vAlign w:val="top"/>
          </w:tcPr>
          <w:p>
            <w:r>
              <w:rPr>
                <w:sz w:val="16"/>
              </w:rPr>
              <w:t>FY27 Q4</w:t>
            </w:r>
          </w:p>
        </w:tc>
        <w:tc>
          <w:tcPr>
            <w:tcW w:type="dxa" w:w="7776"/>
            <w:vAlign w:val="top"/>
          </w:tcPr>
          <w:p>
            <w:r>
              <w:rPr>
                <w:sz w:val="16"/>
              </w:rPr>
              <w:t>Consolidation engine; visual explorer.</w:t>
            </w:r>
          </w:p>
        </w:tc>
      </w:tr>
      <w:tr>
        <w:tc>
          <w:tcPr>
            <w:tcW w:type="dxa" w:w="1872"/>
            <w:vAlign w:val="top"/>
          </w:tcPr>
          <w:p>
            <w:r>
              <w:rPr>
                <w:sz w:val="16"/>
              </w:rPr>
              <w:t>v1.0 GA</w:t>
            </w:r>
          </w:p>
        </w:tc>
        <w:tc>
          <w:tcPr>
            <w:tcW w:type="dxa" w:w="2304"/>
            <w:vAlign w:val="top"/>
          </w:tcPr>
          <w:p>
            <w:r>
              <w:rPr>
                <w:sz w:val="16"/>
              </w:rPr>
              <w:t>FY28 Q2</w:t>
            </w:r>
          </w:p>
        </w:tc>
        <w:tc>
          <w:tcPr>
            <w:tcW w:type="dxa" w:w="7776"/>
            <w:vAlign w:val="top"/>
          </w:tcPr>
          <w:p>
            <w:r>
              <w:rPr>
                <w:sz w:val="16"/>
              </w:rPr>
              <w:t>GHGP/ISSB boundary consolidation certified; LEI/DUNS resolution.</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Supplier-tier traversal with confidence scoring; ties into SupplierOS.</w:t>
            </w:r>
          </w:p>
        </w:tc>
      </w:tr>
      <w:tr>
        <w:tc>
          <w:tcPr>
            <w:tcW w:type="dxa" w:w="1872"/>
            <w:vAlign w:val="top"/>
          </w:tcPr>
          <w:p>
            <w:r>
              <w:rPr>
                <w:sz w:val="16"/>
              </w:rPr>
              <w:t>v2.0</w:t>
            </w:r>
          </w:p>
        </w:tc>
        <w:tc>
          <w:tcPr>
            <w:tcW w:type="dxa" w:w="2304"/>
            <w:vAlign w:val="top"/>
          </w:tcPr>
          <w:p>
            <w:r>
              <w:rPr>
                <w:sz w:val="16"/>
              </w:rPr>
              <w:t>FY29 Q4</w:t>
            </w:r>
          </w:p>
        </w:tc>
        <w:tc>
          <w:tcPr>
            <w:tcW w:type="dxa" w:w="7776"/>
            <w:vAlign w:val="top"/>
          </w:tcPr>
          <w:p>
            <w:r>
              <w:rPr>
                <w:sz w:val="16"/>
              </w:rPr>
              <w:t>Time-travel queries across M&amp;A events; financed-emissions boundary for FinanceOS.</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Nature/TNFD location layer - links assets to biomes, water basins, biodiversity zones.</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Federated entity graph - customers can share and join graphs across supply partners with privacy controls (differential join).</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Entity model must support the first compliance and supplier use cases before expanding into city/finance complexity</w:t>
      </w:r>
    </w:p>
    <w:p>
      <w:pPr>
        <w:pStyle w:val="ListBullet"/>
        <w:spacing w:after="20"/>
      </w:pPr>
      <w:r>
        <w:t>Graph changes must be auditable</w:t>
      </w:r>
    </w:p>
    <w:p>
      <w:pPr>
        <w:pStyle w:val="ListBullet"/>
        <w:spacing w:after="20"/>
      </w:pPr>
      <w:r>
        <w:t>Permission inheritance must pass security review</w:t>
      </w:r>
    </w:p>
    <w:p>
      <w:pPr>
        <w:pStyle w:val="ListBullet"/>
        <w:spacing w:after="20"/>
      </w:pPr>
      <w:r>
        <w:t>GA requires migration tooling for customer master data</w:t>
      </w:r>
    </w:p>
    <w:p>
      <w:pPr>
        <w:pStyle w:val="Heading3"/>
      </w:pPr>
      <w:r>
        <w:t>Key risks to actively manage</w:t>
      </w:r>
    </w:p>
    <w:p>
      <w:pPr>
        <w:pStyle w:val="ListBullet"/>
        <w:spacing w:after="20"/>
      </w:pPr>
      <w:r>
        <w:t>overcomplicated ontology too early</w:t>
      </w:r>
    </w:p>
    <w:p>
      <w:pPr>
        <w:pStyle w:val="ListBullet"/>
        <w:spacing w:after="20"/>
      </w:pPr>
      <w:r>
        <w:t>duplicate entity ambiguity</w:t>
      </w:r>
    </w:p>
    <w:p>
      <w:pPr>
        <w:pStyle w:val="ListBullet"/>
        <w:spacing w:after="20"/>
      </w:pPr>
      <w:r>
        <w:t>sensitive supplier-network data</w:t>
      </w:r>
    </w:p>
    <w:p>
      <w:pPr>
        <w:pStyle w:val="ListBullet"/>
        <w:spacing w:after="20"/>
      </w:pPr>
      <w:r>
        <w:t>permission leakage</w:t>
      </w:r>
    </w:p>
    <w:p>
      <w:pPr>
        <w:pStyle w:val="Heading3"/>
      </w:pPr>
      <w:r>
        <w:t>Success metrics</w:t>
      </w:r>
    </w:p>
    <w:p>
      <w:pPr>
        <w:pStyle w:val="ListBullet"/>
        <w:spacing w:after="20"/>
      </w:pPr>
      <w:r>
        <w:t>percentage of records linked to canonical entities</w:t>
      </w:r>
    </w:p>
    <w:p>
      <w:pPr>
        <w:pStyle w:val="ListBullet"/>
        <w:spacing w:after="20"/>
      </w:pPr>
      <w:r>
        <w:t>duplicate-resolution precision</w:t>
      </w:r>
    </w:p>
    <w:p>
      <w:pPr>
        <w:pStyle w:val="ListBullet"/>
        <w:spacing w:after="20"/>
      </w:pPr>
      <w:r>
        <w:t>average time to model customer hierarchy</w:t>
      </w:r>
    </w:p>
    <w:p>
      <w:pPr>
        <w:pStyle w:val="ListBullet"/>
        <w:spacing w:after="20"/>
      </w:pPr>
      <w:r>
        <w:t>graph query latency</w:t>
      </w:r>
    </w:p>
    <w:p>
      <w:pPr>
        <w:pStyle w:val="Heading3"/>
      </w:pPr>
      <w:r>
        <w:t>Dependency notes</w:t>
      </w:r>
    </w:p>
    <w:p>
      <w:pPr>
        <w:pStyle w:val="ListBullet"/>
        <w:spacing w:after="20"/>
      </w:pPr>
      <w:r>
        <w:t>Upstream: Connect (identity data), Climate Ledger (writes tagged by entity).</w:t>
      </w:r>
    </w:p>
    <w:p>
      <w:pPr>
        <w:pStyle w:val="ListBullet"/>
        <w:spacing w:after="20"/>
      </w:pPr>
      <w:r>
        <w:t>Downstream: Comply, SupplierOS, Scope Engine, FinanceOS, RiskOS - all consolidation and roll-up depends on this.</w:t>
      </w:r>
    </w:p>
    <w:p>
      <w:r>
        <w:br w:type="page"/>
      </w:r>
    </w:p>
    <w:p>
      <w:pPr>
        <w:pStyle w:val="Heading2"/>
      </w:pPr>
      <w:r>
        <w:t>4. GreenLang Climate Ledger</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Enterprises, auditors, verifiers, finance teams, regulators where appropriate</w:t>
            </w:r>
          </w:p>
        </w:tc>
      </w:tr>
      <w:tr>
        <w:tc>
          <w:tcPr>
            <w:tcW w:type="dxa" w:w="2448"/>
            <w:vAlign w:val="top"/>
            <w:shd w:fill="EAF2F8"/>
          </w:tcPr>
          <w:p>
            <w:r>
              <w:rPr>
                <w:b/>
                <w:color w:val="1F4E79"/>
                <w:sz w:val="16"/>
              </w:rPr>
              <w:t>Revenue model</w:t>
            </w:r>
          </w:p>
        </w:tc>
        <w:tc>
          <w:tcPr>
            <w:tcW w:type="dxa" w:w="8352"/>
            <w:vAlign w:val="top"/>
          </w:tcPr>
          <w:p>
            <w:r>
              <w:rPr>
                <w:sz w:val="16"/>
              </w:rPr>
              <w:t>Platform subscription</w:t>
            </w:r>
          </w:p>
        </w:tc>
      </w:tr>
      <w:tr>
        <w:tc>
          <w:tcPr>
            <w:tcW w:type="dxa" w:w="2448"/>
            <w:vAlign w:val="top"/>
            <w:shd w:fill="EAF2F8"/>
          </w:tcPr>
          <w:p>
            <w:r>
              <w:rPr>
                <w:b/>
                <w:color w:val="1F4E79"/>
                <w:sz w:val="16"/>
              </w:rPr>
              <w:t>Definition</w:t>
            </w:r>
          </w:p>
        </w:tc>
        <w:tc>
          <w:tcPr>
            <w:tcW w:type="dxa" w:w="8352"/>
            <w:vAlign w:val="top"/>
          </w:tcPr>
          <w:p>
            <w:r>
              <w:rPr>
                <w:sz w:val="16"/>
              </w:rPr>
              <w:t>The auditable system of record for climate activity data, emissions calculations, product footprints, energy actions, evidence, assumptions, approvals, and claim history. It records not only the result but also the method, provenance, reviewer, version, and evidence behind every climate claim.</w:t>
            </w:r>
          </w:p>
        </w:tc>
      </w:tr>
      <w:tr>
        <w:tc>
          <w:tcPr>
            <w:tcW w:type="dxa" w:w="2448"/>
            <w:vAlign w:val="top"/>
            <w:shd w:fill="EAF2F8"/>
          </w:tcPr>
          <w:p>
            <w:r>
              <w:rPr>
                <w:b/>
                <w:color w:val="1F4E79"/>
                <w:sz w:val="16"/>
              </w:rPr>
              <w:t>Strategic role</w:t>
            </w:r>
          </w:p>
        </w:tc>
        <w:tc>
          <w:tcPr>
            <w:tcW w:type="dxa" w:w="8352"/>
            <w:vAlign w:val="top"/>
          </w:tcPr>
          <w:p>
            <w:r>
              <w:rPr>
                <w:sz w:val="16"/>
              </w:rPr>
              <w:t>This is the trust layer of the Climate OS. Without the ledger, GreenLang risks becoming another dashboard; with it, every workflow can become verifiable, reportable, financeable, and reusable.</w:t>
            </w:r>
          </w:p>
        </w:tc>
      </w:tr>
      <w:tr>
        <w:tc>
          <w:tcPr>
            <w:tcW w:type="dxa" w:w="2448"/>
            <w:vAlign w:val="top"/>
            <w:shd w:fill="EAF2F8"/>
          </w:tcPr>
          <w:p>
            <w:r>
              <w:rPr>
                <w:b/>
                <w:color w:val="1F4E79"/>
                <w:sz w:val="16"/>
              </w:rPr>
              <w:t>Pricing / packaging logic</w:t>
            </w:r>
          </w:p>
        </w:tc>
        <w:tc>
          <w:tcPr>
            <w:tcW w:type="dxa" w:w="8352"/>
            <w:vAlign w:val="top"/>
          </w:tcPr>
          <w:p>
            <w:r>
              <w:rPr>
                <w:sz w:val="16"/>
              </w:rPr>
              <w:t>Included as paid platform foundation; storage, high-volume ledger events, and audit/assurance exports priced by tier.</w:t>
            </w:r>
          </w:p>
        </w:tc>
      </w:tr>
    </w:tbl>
    <w:p>
      <w:pPr>
        <w:pStyle w:val="Heading3"/>
      </w:pPr>
      <w:r>
        <w:t>CTO final pathway</w:t>
      </w:r>
    </w:p>
    <w:p>
      <w:pPr>
        <w:spacing w:after="80"/>
      </w:pPr>
      <w:r>
        <w:t>Build GreenLang Climate Ledger as a modular product on the shared substrate. The release target is FY27; GA is gated for FY27 Q4. Ledger events must be append-only or controlled-versioned Every claim links to evidence and factor/methodology metadata</w:t>
      </w:r>
    </w:p>
    <w:p>
      <w:pPr>
        <w:pStyle w:val="Heading3"/>
      </w:pPr>
      <w:r>
        <w:t>Why it exists</w:t>
      </w:r>
    </w:p>
    <w:p>
      <w:pPr>
        <w:spacing w:after="80"/>
      </w:pPr>
      <w:r>
        <w:t>Sustainability reports get restated, revised, and sometimes fabricated. Auditors need to trace every number back to source data, method, and calculation vintage. Today this happens in Excel with hand-built change logs. CSRD-grade and CBAM-grade assurance will not accept this.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sustainability controllers</w:t>
              <w:br/>
              <w:t>finance controllers</w:t>
              <w:br/>
              <w:t>auditors</w:t>
              <w:br/>
              <w:t>verifiers</w:t>
              <w:br/>
              <w:t>plant and facility managers</w:t>
              <w:br/>
              <w:t>legal/compliance teams</w:t>
            </w:r>
          </w:p>
        </w:tc>
      </w:tr>
      <w:tr>
        <w:tc>
          <w:tcPr>
            <w:tcW w:type="dxa" w:w="3024"/>
            <w:vAlign w:val="top"/>
          </w:tcPr>
          <w:p>
            <w:r>
              <w:rPr>
                <w:sz w:val="16"/>
              </w:rPr>
              <w:t>Jobs to be done</w:t>
            </w:r>
          </w:p>
        </w:tc>
        <w:tc>
          <w:tcPr>
            <w:tcW w:type="dxa" w:w="8640"/>
            <w:vAlign w:val="top"/>
          </w:tcPr>
          <w:p>
            <w:r>
              <w:rPr>
                <w:sz w:val="16"/>
              </w:rPr>
              <w:t>Record activity data and calculated outputs</w:t>
              <w:br/>
              <w:t>Preserve methodology versions and factor versions</w:t>
              <w:br/>
              <w:t>Track approvals, overrides, and restatements</w:t>
              <w:br/>
              <w:t>Support audit sampling and evidence linkage</w:t>
              <w:br/>
              <w:t>Provide immutable-enough records without unnecessary blockchain theater</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Append-only, cryptographically hashed records for activity data, emissions, product footprints, and claims.</w:t>
              <w:br/>
              <w:t>Restatement workflow: supersede, don't overwrite; preserves a full audit trail.</w:t>
              <w:br/>
              <w:t>Calculation lineage: every emission number links to source data, factor version, methodology, and boundary.</w:t>
              <w:br/>
              <w:t>Controls framework aligned to GHGP, ISSB, ISAE 3410/3000.</w:t>
              <w:br/>
              <w:t>Segregation of duties and approval chains.</w:t>
              <w:br/>
              <w:t>Granular RBAC tied to Entity Graph.</w:t>
              <w:br/>
              <w:t>Query engine (SQL-over-HTTP) for internal reporting.</w:t>
              <w:br/>
              <w:t>Optional: anchoring of daily Merkle roots on a public blockchain for extra tamper-evidence (premium tier).</w:t>
            </w:r>
          </w:p>
        </w:tc>
      </w:tr>
      <w:tr>
        <w:tc>
          <w:tcPr>
            <w:tcW w:type="dxa" w:w="3456"/>
            <w:vAlign w:val="top"/>
          </w:tcPr>
          <w:p>
            <w:r>
              <w:rPr>
                <w:sz w:val="16"/>
              </w:rPr>
              <w:t>In-scope product modules</w:t>
            </w:r>
          </w:p>
        </w:tc>
        <w:tc>
          <w:tcPr>
            <w:tcW w:type="dxa" w:w="8352"/>
            <w:vAlign w:val="top"/>
          </w:tcPr>
          <w:p>
            <w:r>
              <w:rPr>
                <w:sz w:val="16"/>
              </w:rPr>
              <w:t>ledger events</w:t>
              <w:br/>
              <w:t>calculation records</w:t>
              <w:br/>
              <w:t>approval workflow</w:t>
              <w:br/>
              <w:t>restatement workflow</w:t>
              <w:br/>
              <w:t>change history</w:t>
              <w:br/>
              <w:t>exportable audit pack</w:t>
              <w:br/>
              <w:t>ledger API</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activity records</w:t>
              <w:br/>
              <w:t>calculation results</w:t>
              <w:br/>
              <w:t>factor references</w:t>
              <w:br/>
              <w:t>evidence references</w:t>
              <w:br/>
              <w:t>user approvals</w:t>
              <w:br/>
              <w:t>policy references</w:t>
              <w:br/>
              <w:t>methodology versions</w:t>
              <w:br/>
              <w:t>timestamps</w:t>
              <w:br/>
              <w:t>entity and boundary links</w:t>
            </w:r>
          </w:p>
        </w:tc>
      </w:tr>
      <w:tr>
        <w:tc>
          <w:tcPr>
            <w:tcW w:type="dxa" w:w="3384"/>
            <w:vAlign w:val="top"/>
          </w:tcPr>
          <w:p>
            <w:r>
              <w:rPr>
                <w:sz w:val="16"/>
              </w:rPr>
              <w:t>External/product integrations</w:t>
            </w:r>
          </w:p>
        </w:tc>
        <w:tc>
          <w:tcPr>
            <w:tcW w:type="dxa" w:w="8496"/>
            <w:vAlign w:val="top"/>
          </w:tcPr>
          <w:p>
            <w:r>
              <w:rPr>
                <w:sz w:val="16"/>
              </w:rPr>
              <w:t>Factors; Connect; Evidence Vault; Comply; Scope Engine; PCF Studio; MRV Studio; FinanceOS</w:t>
            </w:r>
          </w:p>
        </w:tc>
      </w:tr>
      <w:tr>
        <w:tc>
          <w:tcPr>
            <w:tcW w:type="dxa" w:w="3384"/>
            <w:vAlign w:val="top"/>
          </w:tcPr>
          <w:p>
            <w:r>
              <w:rPr>
                <w:sz w:val="16"/>
              </w:rPr>
              <w:t>GreenLang dependencies</w:t>
            </w:r>
          </w:p>
        </w:tc>
        <w:tc>
          <w:tcPr>
            <w:tcW w:type="dxa" w:w="8496"/>
            <w:vAlign w:val="top"/>
          </w:tcPr>
          <w:p>
            <w:r>
              <w:rPr>
                <w:sz w:val="16"/>
              </w:rPr>
              <w:t>Entity Graph; Evidence Vault; Factors; SDK/API/CLI</w:t>
            </w:r>
          </w:p>
        </w:tc>
      </w:tr>
      <w:tr>
        <w:tc>
          <w:tcPr>
            <w:tcW w:type="dxa" w:w="3384"/>
            <w:vAlign w:val="top"/>
          </w:tcPr>
          <w:p>
            <w:r>
              <w:rPr>
                <w:sz w:val="16"/>
              </w:rPr>
              <w:t>Customer outputs and deliverables</w:t>
            </w:r>
          </w:p>
        </w:tc>
        <w:tc>
          <w:tcPr>
            <w:tcW w:type="dxa" w:w="8496"/>
            <w:vAlign w:val="top"/>
          </w:tcPr>
          <w:p>
            <w:r>
              <w:rPr>
                <w:sz w:val="16"/>
              </w:rPr>
              <w:t>ledger entries</w:t>
              <w:br/>
              <w:t>audit trail</w:t>
              <w:br/>
              <w:t>restatement report</w:t>
              <w:br/>
              <w:t>calculation evidence pack</w:t>
              <w:br/>
              <w:t>API export</w:t>
              <w:br/>
              <w:t>assurance-ready sampling file</w:t>
            </w:r>
          </w:p>
        </w:tc>
      </w:tr>
    </w:tbl>
    <w:p>
      <w:pPr>
        <w:pStyle w:val="Heading3"/>
      </w:pPr>
      <w:r>
        <w:t>AI and automation behavior</w:t>
      </w:r>
    </w:p>
    <w:p>
      <w:pPr>
        <w:pStyle w:val="ListBullet"/>
        <w:spacing w:after="20"/>
      </w:pPr>
      <w:r>
        <w:t>ledger anomaly detection</w:t>
      </w:r>
    </w:p>
    <w:p>
      <w:pPr>
        <w:pStyle w:val="ListBullet"/>
        <w:spacing w:after="20"/>
      </w:pPr>
      <w:r>
        <w:t>restatement impact assistant</w:t>
      </w:r>
    </w:p>
    <w:p>
      <w:pPr>
        <w:pStyle w:val="ListBullet"/>
        <w:spacing w:after="20"/>
      </w:pPr>
      <w:r>
        <w:t>audit-sampling recommendation</w:t>
      </w:r>
    </w:p>
    <w:p>
      <w:pPr>
        <w:pStyle w:val="ListBullet"/>
        <w:spacing w:after="20"/>
      </w:pPr>
      <w:r>
        <w:t>calculation explanation copilot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Append-only store, basic lineage, single-region.</w:t>
            </w:r>
          </w:p>
        </w:tc>
      </w:tr>
      <w:tr>
        <w:tc>
          <w:tcPr>
            <w:tcW w:type="dxa" w:w="1872"/>
            <w:vAlign w:val="top"/>
          </w:tcPr>
          <w:p>
            <w:r>
              <w:rPr>
                <w:sz w:val="16"/>
              </w:rPr>
              <w:t>v0.5 Closed Beta</w:t>
            </w:r>
          </w:p>
        </w:tc>
        <w:tc>
          <w:tcPr>
            <w:tcW w:type="dxa" w:w="2304"/>
            <w:vAlign w:val="top"/>
          </w:tcPr>
          <w:p>
            <w:r>
              <w:rPr>
                <w:sz w:val="16"/>
              </w:rPr>
              <w:t>FY27 Q2</w:t>
            </w:r>
          </w:p>
        </w:tc>
        <w:tc>
          <w:tcPr>
            <w:tcW w:type="dxa" w:w="7776"/>
            <w:vAlign w:val="top"/>
          </w:tcPr>
          <w:p>
            <w:r>
              <w:rPr>
                <w:sz w:val="16"/>
              </w:rPr>
              <w:t>Restatement workflow, approval chains.</w:t>
            </w:r>
          </w:p>
        </w:tc>
      </w:tr>
      <w:tr>
        <w:tc>
          <w:tcPr>
            <w:tcW w:type="dxa" w:w="1872"/>
            <w:vAlign w:val="top"/>
          </w:tcPr>
          <w:p>
            <w:r>
              <w:rPr>
                <w:sz w:val="16"/>
              </w:rPr>
              <w:t>v0.9 Public Beta</w:t>
            </w:r>
          </w:p>
        </w:tc>
        <w:tc>
          <w:tcPr>
            <w:tcW w:type="dxa" w:w="2304"/>
            <w:vAlign w:val="top"/>
          </w:tcPr>
          <w:p>
            <w:r>
              <w:rPr>
                <w:sz w:val="16"/>
              </w:rPr>
              <w:t>FY27 Q3</w:t>
            </w:r>
          </w:p>
        </w:tc>
        <w:tc>
          <w:tcPr>
            <w:tcW w:type="dxa" w:w="7776"/>
            <w:vAlign w:val="top"/>
          </w:tcPr>
          <w:p>
            <w:r>
              <w:rPr>
                <w:sz w:val="16"/>
              </w:rPr>
              <w:t>ISAE 3410 control mappings; auditor read-only access.</w:t>
            </w:r>
          </w:p>
        </w:tc>
      </w:tr>
      <w:tr>
        <w:tc>
          <w:tcPr>
            <w:tcW w:type="dxa" w:w="1872"/>
            <w:vAlign w:val="top"/>
          </w:tcPr>
          <w:p>
            <w:r>
              <w:rPr>
                <w:sz w:val="16"/>
              </w:rPr>
              <w:t>v1.0 GA</w:t>
            </w:r>
          </w:p>
        </w:tc>
        <w:tc>
          <w:tcPr>
            <w:tcW w:type="dxa" w:w="2304"/>
            <w:vAlign w:val="top"/>
          </w:tcPr>
          <w:p>
            <w:r>
              <w:rPr>
                <w:sz w:val="16"/>
              </w:rPr>
              <w:t>FY27 Q4</w:t>
            </w:r>
          </w:p>
        </w:tc>
        <w:tc>
          <w:tcPr>
            <w:tcW w:type="dxa" w:w="7776"/>
            <w:vAlign w:val="top"/>
          </w:tcPr>
          <w:p>
            <w:r>
              <w:rPr>
                <w:sz w:val="16"/>
              </w:rPr>
              <w:t>SOC 2 Type I; GHGP/ISSB alignment; customer data-residency in IN/EU/US.</w:t>
            </w:r>
          </w:p>
        </w:tc>
      </w:tr>
      <w:tr>
        <w:tc>
          <w:tcPr>
            <w:tcW w:type="dxa" w:w="1872"/>
            <w:vAlign w:val="top"/>
          </w:tcPr>
          <w:p>
            <w:r>
              <w:rPr>
                <w:sz w:val="16"/>
              </w:rPr>
              <w:t>v1.5</w:t>
            </w:r>
          </w:p>
        </w:tc>
        <w:tc>
          <w:tcPr>
            <w:tcW w:type="dxa" w:w="2304"/>
            <w:vAlign w:val="top"/>
          </w:tcPr>
          <w:p>
            <w:r>
              <w:rPr>
                <w:sz w:val="16"/>
              </w:rPr>
              <w:t>FY28 Q3</w:t>
            </w:r>
          </w:p>
        </w:tc>
        <w:tc>
          <w:tcPr>
            <w:tcW w:type="dxa" w:w="7776"/>
            <w:vAlign w:val="top"/>
          </w:tcPr>
          <w:p>
            <w:r>
              <w:rPr>
                <w:sz w:val="16"/>
              </w:rPr>
              <w:t>SOC 2 Type II; public Merkle anchoring optional; CBAM-audit-ready exports.</w:t>
            </w:r>
          </w:p>
        </w:tc>
      </w:tr>
      <w:tr>
        <w:tc>
          <w:tcPr>
            <w:tcW w:type="dxa" w:w="1872"/>
            <w:vAlign w:val="top"/>
          </w:tcPr>
          <w:p>
            <w:r>
              <w:rPr>
                <w:sz w:val="16"/>
              </w:rPr>
              <w:t>v2.0</w:t>
            </w:r>
          </w:p>
        </w:tc>
        <w:tc>
          <w:tcPr>
            <w:tcW w:type="dxa" w:w="2304"/>
            <w:vAlign w:val="top"/>
          </w:tcPr>
          <w:p>
            <w:r>
              <w:rPr>
                <w:sz w:val="16"/>
              </w:rPr>
              <w:t>FY29 Q3</w:t>
            </w:r>
          </w:p>
        </w:tc>
        <w:tc>
          <w:tcPr>
            <w:tcW w:type="dxa" w:w="7776"/>
            <w:vAlign w:val="top"/>
          </w:tcPr>
          <w:p>
            <w:r>
              <w:rPr>
                <w:sz w:val="16"/>
              </w:rPr>
              <w:t>Multi-region replication with immutability guarantees; regulator direct-read API.</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Financed-emissions subledger; PCAF-aligned controls.</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Cross-organization ledger joins (supplier attestations landing straight into the enterprise ledger with cryptographic provenance).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Ledger events must be append-only or controlled-versioned</w:t>
      </w:r>
    </w:p>
    <w:p>
      <w:pPr>
        <w:pStyle w:val="ListBullet"/>
        <w:spacing w:after="20"/>
      </w:pPr>
      <w:r>
        <w:t>Every claim links to evidence and factor/methodology metadata</w:t>
      </w:r>
    </w:p>
    <w:p>
      <w:pPr>
        <w:pStyle w:val="ListBullet"/>
        <w:spacing w:after="20"/>
      </w:pPr>
      <w:r>
        <w:t>GA requires disaster recovery, role-based controls, and audit export</w:t>
      </w:r>
    </w:p>
    <w:p>
      <w:pPr>
        <w:pStyle w:val="ListBullet"/>
        <w:spacing w:after="20"/>
      </w:pPr>
      <w:r>
        <w:t>No GA if evidence linkage is incomplete</w:t>
      </w:r>
    </w:p>
    <w:p>
      <w:pPr>
        <w:pStyle w:val="Heading3"/>
      </w:pPr>
      <w:r>
        <w:t>Key risks to actively manage</w:t>
      </w:r>
    </w:p>
    <w:p>
      <w:pPr>
        <w:pStyle w:val="ListBullet"/>
        <w:spacing w:after="20"/>
      </w:pPr>
      <w:r>
        <w:t>customers expecting legal immutability beyond product scope</w:t>
      </w:r>
    </w:p>
    <w:p>
      <w:pPr>
        <w:pStyle w:val="ListBullet"/>
        <w:spacing w:after="20"/>
      </w:pPr>
      <w:r>
        <w:t>privacy/data-retention conflicts</w:t>
      </w:r>
    </w:p>
    <w:p>
      <w:pPr>
        <w:pStyle w:val="ListBullet"/>
        <w:spacing w:after="20"/>
      </w:pPr>
      <w:r>
        <w:t>incorrect restatement handling</w:t>
      </w:r>
    </w:p>
    <w:p>
      <w:pPr>
        <w:pStyle w:val="ListBullet"/>
        <w:spacing w:after="20"/>
      </w:pPr>
      <w:r>
        <w:t>performance at high event volume</w:t>
      </w:r>
    </w:p>
    <w:p>
      <w:pPr>
        <w:pStyle w:val="Heading3"/>
      </w:pPr>
      <w:r>
        <w:t>Success metrics</w:t>
      </w:r>
    </w:p>
    <w:p>
      <w:pPr>
        <w:pStyle w:val="ListBullet"/>
        <w:spacing w:after="20"/>
      </w:pPr>
      <w:r>
        <w:t>percentage of claims with complete ledger lineage</w:t>
      </w:r>
    </w:p>
    <w:p>
      <w:pPr>
        <w:pStyle w:val="ListBullet"/>
        <w:spacing w:after="20"/>
      </w:pPr>
      <w:r>
        <w:t>audit-export time</w:t>
      </w:r>
    </w:p>
    <w:p>
      <w:pPr>
        <w:pStyle w:val="ListBullet"/>
        <w:spacing w:after="20"/>
      </w:pPr>
      <w:r>
        <w:t>ledger write/read latency</w:t>
      </w:r>
    </w:p>
    <w:p>
      <w:pPr>
        <w:pStyle w:val="ListBullet"/>
        <w:spacing w:after="20"/>
      </w:pPr>
      <w:r>
        <w:t>restatement cycle time</w:t>
      </w:r>
    </w:p>
    <w:p>
      <w:pPr>
        <w:pStyle w:val="ListBullet"/>
        <w:spacing w:after="20"/>
      </w:pPr>
      <w:r>
        <w:t>evidence-link completeness</w:t>
      </w:r>
    </w:p>
    <w:p>
      <w:pPr>
        <w:pStyle w:val="Heading3"/>
      </w:pPr>
      <w:r>
        <w:t>Dependency notes</w:t>
      </w:r>
    </w:p>
    <w:p>
      <w:pPr>
        <w:pStyle w:val="ListBullet"/>
        <w:spacing w:after="20"/>
      </w:pPr>
      <w:r>
        <w:t>Upstream: Factors (for factor versions), Entity Graph (for boundary), Connect (for activity data).</w:t>
      </w:r>
    </w:p>
    <w:p>
      <w:pPr>
        <w:pStyle w:val="ListBullet"/>
        <w:spacing w:after="20"/>
      </w:pPr>
      <w:r>
        <w:t>Downstream: everything - this is the system of record.</w:t>
      </w:r>
    </w:p>
    <w:p>
      <w:r>
        <w:br w:type="page"/>
      </w:r>
    </w:p>
    <w:p>
      <w:pPr>
        <w:pStyle w:val="Heading2"/>
      </w:pPr>
      <w:r>
        <w:t>5. GreenLang Evidence Vault</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FY28 Q2</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Enterprises, verifiers, auditors, procurement teams, project developers</w:t>
            </w:r>
          </w:p>
        </w:tc>
      </w:tr>
      <w:tr>
        <w:tc>
          <w:tcPr>
            <w:tcW w:type="dxa" w:w="2448"/>
            <w:vAlign w:val="top"/>
            <w:shd w:fill="EAF2F8"/>
          </w:tcPr>
          <w:p>
            <w:r>
              <w:rPr>
                <w:b/>
                <w:color w:val="1F4E79"/>
                <w:sz w:val="16"/>
              </w:rPr>
              <w:t>Revenue model</w:t>
            </w:r>
          </w:p>
        </w:tc>
        <w:tc>
          <w:tcPr>
            <w:tcW w:type="dxa" w:w="8352"/>
            <w:vAlign w:val="top"/>
          </w:tcPr>
          <w:p>
            <w:r>
              <w:rPr>
                <w:sz w:val="16"/>
              </w:rPr>
              <w:t>Platform subscription</w:t>
            </w:r>
          </w:p>
        </w:tc>
      </w:tr>
      <w:tr>
        <w:tc>
          <w:tcPr>
            <w:tcW w:type="dxa" w:w="2448"/>
            <w:vAlign w:val="top"/>
            <w:shd w:fill="EAF2F8"/>
          </w:tcPr>
          <w:p>
            <w:r>
              <w:rPr>
                <w:b/>
                <w:color w:val="1F4E79"/>
                <w:sz w:val="16"/>
              </w:rPr>
              <w:t>Definition</w:t>
            </w:r>
          </w:p>
        </w:tc>
        <w:tc>
          <w:tcPr>
            <w:tcW w:type="dxa" w:w="8352"/>
            <w:vAlign w:val="top"/>
          </w:tcPr>
          <w:p>
            <w:r>
              <w:rPr>
                <w:sz w:val="16"/>
              </w:rPr>
              <w:t>A secure repository and metadata system for invoices, bills, meter records, certificates, supplier attestations, facility documents, project documents, photos, geospatial proof, contracts, and verifier notes. It links evidence to ledger events, products, assets, projects, and policies.</w:t>
            </w:r>
          </w:p>
        </w:tc>
      </w:tr>
      <w:tr>
        <w:tc>
          <w:tcPr>
            <w:tcW w:type="dxa" w:w="2448"/>
            <w:vAlign w:val="top"/>
            <w:shd w:fill="EAF2F8"/>
          </w:tcPr>
          <w:p>
            <w:r>
              <w:rPr>
                <w:b/>
                <w:color w:val="1F4E79"/>
                <w:sz w:val="16"/>
              </w:rPr>
              <w:t>Strategic role</w:t>
            </w:r>
          </w:p>
        </w:tc>
        <w:tc>
          <w:tcPr>
            <w:tcW w:type="dxa" w:w="8352"/>
            <w:vAlign w:val="top"/>
          </w:tcPr>
          <w:p>
            <w:r>
              <w:rPr>
                <w:sz w:val="16"/>
              </w:rPr>
              <w:t>Evidence Vault makes GreenLang claims defendable. It enables audit readiness, supplier proof collection, MRV workflows, finance diligence, and public-sector transparency without scattering documents across email and spreadsheets.</w:t>
            </w:r>
          </w:p>
        </w:tc>
      </w:tr>
      <w:tr>
        <w:tc>
          <w:tcPr>
            <w:tcW w:type="dxa" w:w="2448"/>
            <w:vAlign w:val="top"/>
            <w:shd w:fill="EAF2F8"/>
          </w:tcPr>
          <w:p>
            <w:r>
              <w:rPr>
                <w:b/>
                <w:color w:val="1F4E79"/>
                <w:sz w:val="16"/>
              </w:rPr>
              <w:t>Pricing / packaging logic</w:t>
            </w:r>
          </w:p>
        </w:tc>
        <w:tc>
          <w:tcPr>
            <w:tcW w:type="dxa" w:w="8352"/>
            <w:vAlign w:val="top"/>
          </w:tcPr>
          <w:p>
            <w:r>
              <w:rPr>
                <w:sz w:val="16"/>
              </w:rPr>
              <w:t>Bundled storage quota in platform; paid storage tiers, secure data rooms, verifier collaboration seats, and high-volume evidence workflows.</w:t>
            </w:r>
          </w:p>
        </w:tc>
      </w:tr>
    </w:tbl>
    <w:p>
      <w:pPr>
        <w:pStyle w:val="Heading3"/>
      </w:pPr>
      <w:r>
        <w:t>CTO final pathway</w:t>
      </w:r>
    </w:p>
    <w:p>
      <w:pPr>
        <w:spacing w:after="80"/>
      </w:pPr>
      <w:r>
        <w:t>Build GreenLang Evidence Vault as a modular product on the shared substrate. The release target is FY27; GA is gated for FY28 Q2. Security and access controls pass enterprise review Evidence metadata is linked to ledger records from day one</w:t>
      </w:r>
    </w:p>
    <w:p>
      <w:pPr>
        <w:pStyle w:val="Heading3"/>
      </w:pPr>
      <w:r>
        <w:t>Why it exists</w:t>
      </w:r>
    </w:p>
    <w:p>
      <w:pPr>
        <w:spacing w:after="80"/>
      </w:pPr>
      <w:r>
        <w:t>Assurance is only as strong as the evidence behind it. CBAM, CSRD, SEC Climate, and SB 253 all require source documents on demand. Today this evidence is in email inboxes, SharePoint, Google Drive, or nowhere. Auditors waste weeks hunting for PDFs.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sustainability teams</w:t>
              <w:br/>
              <w:t>procurement teams</w:t>
              <w:br/>
              <w:t>auditors</w:t>
              <w:br/>
              <w:t>verifiers</w:t>
              <w:br/>
              <w:t>project developers</w:t>
              <w:br/>
              <w:t>facility teams</w:t>
              <w:br/>
              <w:t>finance diligence teams</w:t>
            </w:r>
          </w:p>
        </w:tc>
      </w:tr>
      <w:tr>
        <w:tc>
          <w:tcPr>
            <w:tcW w:type="dxa" w:w="3024"/>
            <w:vAlign w:val="top"/>
          </w:tcPr>
          <w:p>
            <w:r>
              <w:rPr>
                <w:sz w:val="16"/>
              </w:rPr>
              <w:t>Jobs to be done</w:t>
            </w:r>
          </w:p>
        </w:tc>
        <w:tc>
          <w:tcPr>
            <w:tcW w:type="dxa" w:w="8640"/>
            <w:vAlign w:val="top"/>
          </w:tcPr>
          <w:p>
            <w:r>
              <w:rPr>
                <w:sz w:val="16"/>
              </w:rPr>
              <w:t>Collect and store claim evidence</w:t>
              <w:br/>
              <w:t>Classify evidence by type and relevance</w:t>
              <w:br/>
              <w:t>Link evidence to specific calculations and policies</w:t>
              <w:br/>
              <w:t>Manage expiry dates and renewal tasks</w:t>
              <w:br/>
              <w:t>Provide reviewer notes and evidence sufficiency scoring</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Encrypted object storage with WORM (write-once-read-many) optional retention.</w:t>
              <w:br/>
              <w:t>Document AI: auto-classify utility bills, fuel cards, invoices, shipping docs; extract key fields.</w:t>
              <w:br/>
              <w:t>Link-to-Ledger: every claim in Climate Ledger references one or more evidence objects.</w:t>
              <w:br/>
              <w:t>Evidence request workflow: sustainability team pings plants/suppliers, tracks completion.</w:t>
              <w:br/>
              <w:t>Supplier portal for third-party evidence submission.</w:t>
              <w:br/>
              <w:t>Chain-of-custody log for every access.</w:t>
              <w:br/>
              <w:t>Redaction and access controls for commercially sensitive documents.</w:t>
              <w:br/>
              <w:t>Export packs for auditors (zip with manifest, hash, and lineage).</w:t>
            </w:r>
          </w:p>
        </w:tc>
      </w:tr>
      <w:tr>
        <w:tc>
          <w:tcPr>
            <w:tcW w:type="dxa" w:w="3456"/>
            <w:vAlign w:val="top"/>
          </w:tcPr>
          <w:p>
            <w:r>
              <w:rPr>
                <w:sz w:val="16"/>
              </w:rPr>
              <w:t>In-scope product modules</w:t>
            </w:r>
          </w:p>
        </w:tc>
        <w:tc>
          <w:tcPr>
            <w:tcW w:type="dxa" w:w="8352"/>
            <w:vAlign w:val="top"/>
          </w:tcPr>
          <w:p>
            <w:r>
              <w:rPr>
                <w:sz w:val="16"/>
              </w:rPr>
              <w:t>document vault</w:t>
              <w:br/>
              <w:t>evidence metadata schema</w:t>
              <w:br/>
              <w:t>claim-to-evidence linking</w:t>
              <w:br/>
              <w:t>expiry and renewal tracking</w:t>
              <w:br/>
              <w:t>review workflow</w:t>
              <w:br/>
              <w:t>secure sharing rooms</w:t>
              <w:br/>
              <w:t>evidence sufficiency dashboard</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documents</w:t>
              <w:br/>
              <w:t>images</w:t>
              <w:br/>
              <w:t>meter files</w:t>
              <w:br/>
              <w:t>certificates</w:t>
              <w:br/>
              <w:t>supplier declarations</w:t>
              <w:br/>
              <w:t>contracts</w:t>
              <w:br/>
              <w:t>geospatial records</w:t>
              <w:br/>
              <w:t>review notes</w:t>
              <w:br/>
              <w:t>expiry dates</w:t>
              <w:br/>
              <w:t>chain-of-custody metadata</w:t>
            </w:r>
          </w:p>
        </w:tc>
      </w:tr>
      <w:tr>
        <w:tc>
          <w:tcPr>
            <w:tcW w:type="dxa" w:w="3384"/>
            <w:vAlign w:val="top"/>
          </w:tcPr>
          <w:p>
            <w:r>
              <w:rPr>
                <w:sz w:val="16"/>
              </w:rPr>
              <w:t>External/product integrations</w:t>
            </w:r>
          </w:p>
        </w:tc>
        <w:tc>
          <w:tcPr>
            <w:tcW w:type="dxa" w:w="8496"/>
            <w:vAlign w:val="top"/>
          </w:tcPr>
          <w:p>
            <w:r>
              <w:rPr>
                <w:sz w:val="16"/>
              </w:rPr>
              <w:t>Connect; Climate Ledger; Proof Hub; SupplierOS; PCF Studio; MRV Studio; FinanceOS; external e-sign/storage systems where needed</w:t>
            </w:r>
          </w:p>
        </w:tc>
      </w:tr>
      <w:tr>
        <w:tc>
          <w:tcPr>
            <w:tcW w:type="dxa" w:w="3384"/>
            <w:vAlign w:val="top"/>
          </w:tcPr>
          <w:p>
            <w:r>
              <w:rPr>
                <w:sz w:val="16"/>
              </w:rPr>
              <w:t>GreenLang dependencies</w:t>
            </w:r>
          </w:p>
        </w:tc>
        <w:tc>
          <w:tcPr>
            <w:tcW w:type="dxa" w:w="8496"/>
            <w:vAlign w:val="top"/>
          </w:tcPr>
          <w:p>
            <w:r>
              <w:rPr>
                <w:sz w:val="16"/>
              </w:rPr>
              <w:t>Entity Graph; Climate Ledger; Connect; Agent Runtime</w:t>
            </w:r>
          </w:p>
        </w:tc>
      </w:tr>
      <w:tr>
        <w:tc>
          <w:tcPr>
            <w:tcW w:type="dxa" w:w="3384"/>
            <w:vAlign w:val="top"/>
          </w:tcPr>
          <w:p>
            <w:r>
              <w:rPr>
                <w:sz w:val="16"/>
              </w:rPr>
              <w:t>Customer outputs and deliverables</w:t>
            </w:r>
          </w:p>
        </w:tc>
        <w:tc>
          <w:tcPr>
            <w:tcW w:type="dxa" w:w="8496"/>
            <w:vAlign w:val="top"/>
          </w:tcPr>
          <w:p>
            <w:r>
              <w:rPr>
                <w:sz w:val="16"/>
              </w:rPr>
              <w:t>evidence packet</w:t>
              <w:br/>
              <w:t>review-ready data room</w:t>
              <w:br/>
              <w:t>evidence sufficiency score</w:t>
              <w:br/>
              <w:t>expiry report</w:t>
              <w:br/>
              <w:t>claim-specific documentation export</w:t>
            </w:r>
          </w:p>
        </w:tc>
      </w:tr>
    </w:tbl>
    <w:p>
      <w:pPr>
        <w:pStyle w:val="Heading3"/>
      </w:pPr>
      <w:r>
        <w:t>AI and automation behavior</w:t>
      </w:r>
    </w:p>
    <w:p>
      <w:pPr>
        <w:pStyle w:val="ListBullet"/>
        <w:spacing w:after="20"/>
      </w:pPr>
      <w:r>
        <w:t>document classification</w:t>
      </w:r>
    </w:p>
    <w:p>
      <w:pPr>
        <w:pStyle w:val="ListBullet"/>
        <w:spacing w:after="20"/>
      </w:pPr>
      <w:r>
        <w:t>evidence gap detection</w:t>
      </w:r>
    </w:p>
    <w:p>
      <w:pPr>
        <w:pStyle w:val="ListBullet"/>
        <w:spacing w:after="20"/>
      </w:pPr>
      <w:r>
        <w:t>OCR-assisted extraction where permitted</w:t>
      </w:r>
    </w:p>
    <w:p>
      <w:pPr>
        <w:pStyle w:val="ListBullet"/>
        <w:spacing w:after="20"/>
      </w:pPr>
      <w:r>
        <w:t>policy-specific evidence checklist generation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Storage + manual upload + link-to-Ledger.</w:t>
            </w:r>
          </w:p>
        </w:tc>
      </w:tr>
      <w:tr>
        <w:tc>
          <w:tcPr>
            <w:tcW w:type="dxa" w:w="1872"/>
            <w:vAlign w:val="top"/>
          </w:tcPr>
          <w:p>
            <w:r>
              <w:rPr>
                <w:sz w:val="16"/>
              </w:rPr>
              <w:t>v0.5 Closed Beta</w:t>
            </w:r>
          </w:p>
        </w:tc>
        <w:tc>
          <w:tcPr>
            <w:tcW w:type="dxa" w:w="2304"/>
            <w:vAlign w:val="top"/>
          </w:tcPr>
          <w:p>
            <w:r>
              <w:rPr>
                <w:sz w:val="16"/>
              </w:rPr>
              <w:t>FY27 Q3</w:t>
            </w:r>
          </w:p>
        </w:tc>
        <w:tc>
          <w:tcPr>
            <w:tcW w:type="dxa" w:w="7776"/>
            <w:vAlign w:val="top"/>
          </w:tcPr>
          <w:p>
            <w:r>
              <w:rPr>
                <w:sz w:val="16"/>
              </w:rPr>
              <w:t>Document AI for utility bills and invoices.</w:t>
            </w:r>
          </w:p>
        </w:tc>
      </w:tr>
      <w:tr>
        <w:tc>
          <w:tcPr>
            <w:tcW w:type="dxa" w:w="1872"/>
            <w:vAlign w:val="top"/>
          </w:tcPr>
          <w:p>
            <w:r>
              <w:rPr>
                <w:sz w:val="16"/>
              </w:rPr>
              <w:t>v0.9 Public Beta</w:t>
            </w:r>
          </w:p>
        </w:tc>
        <w:tc>
          <w:tcPr>
            <w:tcW w:type="dxa" w:w="2304"/>
            <w:vAlign w:val="top"/>
          </w:tcPr>
          <w:p>
            <w:r>
              <w:rPr>
                <w:sz w:val="16"/>
              </w:rPr>
              <w:t>FY27 Q4</w:t>
            </w:r>
          </w:p>
        </w:tc>
        <w:tc>
          <w:tcPr>
            <w:tcW w:type="dxa" w:w="7776"/>
            <w:vAlign w:val="top"/>
          </w:tcPr>
          <w:p>
            <w:r>
              <w:rPr>
                <w:sz w:val="16"/>
              </w:rPr>
              <w:t>Supplier portal; evidence request workflow.</w:t>
            </w:r>
          </w:p>
        </w:tc>
      </w:tr>
      <w:tr>
        <w:tc>
          <w:tcPr>
            <w:tcW w:type="dxa" w:w="1872"/>
            <w:vAlign w:val="top"/>
          </w:tcPr>
          <w:p>
            <w:r>
              <w:rPr>
                <w:sz w:val="16"/>
              </w:rPr>
              <w:t>v1.0 GA</w:t>
            </w:r>
          </w:p>
        </w:tc>
        <w:tc>
          <w:tcPr>
            <w:tcW w:type="dxa" w:w="2304"/>
            <w:vAlign w:val="top"/>
          </w:tcPr>
          <w:p>
            <w:r>
              <w:rPr>
                <w:sz w:val="16"/>
              </w:rPr>
              <w:t>FY28 Q2</w:t>
            </w:r>
          </w:p>
        </w:tc>
        <w:tc>
          <w:tcPr>
            <w:tcW w:type="dxa" w:w="7776"/>
            <w:vAlign w:val="top"/>
          </w:tcPr>
          <w:p>
            <w:r>
              <w:rPr>
                <w:sz w:val="16"/>
              </w:rPr>
              <w:t>WORM storage; auditor export packs; SOC 2 Type II.</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Mobile capture for plant floor; chain-of-custody UX.</w:t>
            </w:r>
          </w:p>
        </w:tc>
      </w:tr>
      <w:tr>
        <w:tc>
          <w:tcPr>
            <w:tcW w:type="dxa" w:w="1872"/>
            <w:vAlign w:val="top"/>
          </w:tcPr>
          <w:p>
            <w:r>
              <w:rPr>
                <w:sz w:val="16"/>
              </w:rPr>
              <w:t>v2.0</w:t>
            </w:r>
          </w:p>
        </w:tc>
        <w:tc>
          <w:tcPr>
            <w:tcW w:type="dxa" w:w="2304"/>
            <w:vAlign w:val="top"/>
          </w:tcPr>
          <w:p>
            <w:r>
              <w:rPr>
                <w:sz w:val="16"/>
              </w:rPr>
              <w:t>FY29 Q3</w:t>
            </w:r>
          </w:p>
        </w:tc>
        <w:tc>
          <w:tcPr>
            <w:tcW w:type="dxa" w:w="7776"/>
            <w:vAlign w:val="top"/>
          </w:tcPr>
          <w:p>
            <w:r>
              <w:rPr>
                <w:sz w:val="16"/>
              </w:rPr>
              <w:t>CBAM/CSRD/DPP-specific bundles; multi-lingual OCR (14 languages).</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Agentic evidence gathering - AI agents proactively request evidence from responsible owners when Ledger claims lack coverage.</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Cross-org evidence sharing with zero-knowledge attestations for sensitive supplier data.</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Security and access controls pass enterprise review</w:t>
      </w:r>
    </w:p>
    <w:p>
      <w:pPr>
        <w:pStyle w:val="ListBullet"/>
        <w:spacing w:after="20"/>
      </w:pPr>
      <w:r>
        <w:t>Evidence metadata is linked to ledger records from day one</w:t>
      </w:r>
    </w:p>
    <w:p>
      <w:pPr>
        <w:pStyle w:val="ListBullet"/>
        <w:spacing w:after="20"/>
      </w:pPr>
      <w:r>
        <w:t>AI extraction always shows confidence and source snippet</w:t>
      </w:r>
    </w:p>
    <w:p>
      <w:pPr>
        <w:pStyle w:val="ListBullet"/>
        <w:spacing w:after="20"/>
      </w:pPr>
      <w:r>
        <w:t>GA requires retention and deletion controls</w:t>
      </w:r>
    </w:p>
    <w:p>
      <w:pPr>
        <w:pStyle w:val="Heading3"/>
      </w:pPr>
      <w:r>
        <w:t>Key risks to actively manage</w:t>
      </w:r>
    </w:p>
    <w:p>
      <w:pPr>
        <w:pStyle w:val="ListBullet"/>
        <w:spacing w:after="20"/>
      </w:pPr>
      <w:r>
        <w:t>sensitive document leakage</w:t>
      </w:r>
    </w:p>
    <w:p>
      <w:pPr>
        <w:pStyle w:val="ListBullet"/>
        <w:spacing w:after="20"/>
      </w:pPr>
      <w:r>
        <w:t>low-quality documents</w:t>
      </w:r>
    </w:p>
    <w:p>
      <w:pPr>
        <w:pStyle w:val="ListBullet"/>
        <w:spacing w:after="20"/>
      </w:pPr>
      <w:r>
        <w:t>AI misclassification</w:t>
      </w:r>
    </w:p>
    <w:p>
      <w:pPr>
        <w:pStyle w:val="ListBullet"/>
        <w:spacing w:after="20"/>
      </w:pPr>
      <w:r>
        <w:t>excess storage cost</w:t>
      </w:r>
    </w:p>
    <w:p>
      <w:pPr>
        <w:pStyle w:val="Heading3"/>
      </w:pPr>
      <w:r>
        <w:t>Success metrics</w:t>
      </w:r>
    </w:p>
    <w:p>
      <w:pPr>
        <w:pStyle w:val="ListBullet"/>
        <w:spacing w:after="20"/>
      </w:pPr>
      <w:r>
        <w:t>evidence completeness</w:t>
      </w:r>
    </w:p>
    <w:p>
      <w:pPr>
        <w:pStyle w:val="ListBullet"/>
        <w:spacing w:after="20"/>
      </w:pPr>
      <w:r>
        <w:t>average evidence review time</w:t>
      </w:r>
    </w:p>
    <w:p>
      <w:pPr>
        <w:pStyle w:val="ListBullet"/>
        <w:spacing w:after="20"/>
      </w:pPr>
      <w:r>
        <w:t>document classification precision</w:t>
      </w:r>
    </w:p>
    <w:p>
      <w:pPr>
        <w:pStyle w:val="ListBullet"/>
        <w:spacing w:after="20"/>
      </w:pPr>
      <w:r>
        <w:t>expired evidence rate</w:t>
      </w:r>
    </w:p>
    <w:p>
      <w:pPr>
        <w:pStyle w:val="ListBullet"/>
        <w:spacing w:after="20"/>
      </w:pPr>
      <w:r>
        <w:t>auditor acceptance rate</w:t>
      </w:r>
    </w:p>
    <w:p>
      <w:pPr>
        <w:pStyle w:val="Heading3"/>
      </w:pPr>
      <w:r>
        <w:t>Dependency notes</w:t>
      </w:r>
    </w:p>
    <w:p>
      <w:pPr>
        <w:pStyle w:val="ListBullet"/>
        <w:spacing w:after="20"/>
      </w:pPr>
      <w:r>
        <w:t>Upstream: Connect (raw documents), Ledger (claim references).</w:t>
      </w:r>
    </w:p>
    <w:p>
      <w:pPr>
        <w:pStyle w:val="ListBullet"/>
        <w:spacing w:after="20"/>
      </w:pPr>
      <w:r>
        <w:t>Downstream: Proof Hub, Comply, CBAM, DPP Hub, MRV Studio.</w:t>
      </w:r>
    </w:p>
    <w:p>
      <w:r>
        <w:br w:type="page"/>
      </w:r>
    </w:p>
    <w:p>
      <w:pPr>
        <w:pStyle w:val="Heading2"/>
      </w:pPr>
      <w:r>
        <w:t>6. GreenLang Policy Graph</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FY28 Q1</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Compliance teams, advisers, legal teams, auditors, sustainability controllers</w:t>
            </w:r>
          </w:p>
        </w:tc>
      </w:tr>
      <w:tr>
        <w:tc>
          <w:tcPr>
            <w:tcW w:type="dxa" w:w="2448"/>
            <w:vAlign w:val="top"/>
            <w:shd w:fill="EAF2F8"/>
          </w:tcPr>
          <w:p>
            <w:r>
              <w:rPr>
                <w:b/>
                <w:color w:val="1F4E79"/>
                <w:sz w:val="16"/>
              </w:rPr>
              <w:t>Revenue model</w:t>
            </w:r>
          </w:p>
        </w:tc>
        <w:tc>
          <w:tcPr>
            <w:tcW w:type="dxa" w:w="8352"/>
            <w:vAlign w:val="top"/>
          </w:tcPr>
          <w:p>
            <w:r>
              <w:rPr>
                <w:sz w:val="16"/>
              </w:rPr>
              <w:t>Subscription</w:t>
            </w:r>
          </w:p>
        </w:tc>
      </w:tr>
      <w:tr>
        <w:tc>
          <w:tcPr>
            <w:tcW w:type="dxa" w:w="2448"/>
            <w:vAlign w:val="top"/>
            <w:shd w:fill="EAF2F8"/>
          </w:tcPr>
          <w:p>
            <w:r>
              <w:rPr>
                <w:b/>
                <w:color w:val="1F4E79"/>
                <w:sz w:val="16"/>
              </w:rPr>
              <w:t>Definition</w:t>
            </w:r>
          </w:p>
        </w:tc>
        <w:tc>
          <w:tcPr>
            <w:tcW w:type="dxa" w:w="8352"/>
            <w:vAlign w:val="top"/>
          </w:tcPr>
          <w:p>
            <w:r>
              <w:rPr>
                <w:sz w:val="16"/>
              </w:rPr>
              <w:t>A structured, versioned map of climate-related policies, reporting obligations, calculation methods, disclosure templates, deadlines, affected entities, and evidence requirements. It translates regulation and voluntary frameworks into operational workflows inside GreenLang.</w:t>
            </w:r>
          </w:p>
        </w:tc>
      </w:tr>
      <w:tr>
        <w:tc>
          <w:tcPr>
            <w:tcW w:type="dxa" w:w="2448"/>
            <w:vAlign w:val="top"/>
            <w:shd w:fill="EAF2F8"/>
          </w:tcPr>
          <w:p>
            <w:r>
              <w:rPr>
                <w:b/>
                <w:color w:val="1F4E79"/>
                <w:sz w:val="16"/>
              </w:rPr>
              <w:t>Strategic role</w:t>
            </w:r>
          </w:p>
        </w:tc>
        <w:tc>
          <w:tcPr>
            <w:tcW w:type="dxa" w:w="8352"/>
            <w:vAlign w:val="top"/>
          </w:tcPr>
          <w:p>
            <w:r>
              <w:rPr>
                <w:sz w:val="16"/>
              </w:rPr>
              <w:t>Regulatory compounding is one of the main platform advantages. Policy Graph allows GreenLang to adapt to changing rules while keeping each product policy-aware and auditable.</w:t>
            </w:r>
          </w:p>
        </w:tc>
      </w:tr>
      <w:tr>
        <w:tc>
          <w:tcPr>
            <w:tcW w:type="dxa" w:w="2448"/>
            <w:vAlign w:val="top"/>
            <w:shd w:fill="EAF2F8"/>
          </w:tcPr>
          <w:p>
            <w:r>
              <w:rPr>
                <w:b/>
                <w:color w:val="1F4E79"/>
                <w:sz w:val="16"/>
              </w:rPr>
              <w:t>Pricing / packaging logic</w:t>
            </w:r>
          </w:p>
        </w:tc>
        <w:tc>
          <w:tcPr>
            <w:tcW w:type="dxa" w:w="8352"/>
            <w:vAlign w:val="top"/>
          </w:tcPr>
          <w:p>
            <w:r>
              <w:rPr>
                <w:sz w:val="16"/>
              </w:rPr>
              <w:t>Paid policy intelligence subscription; base policy objects included for platform products; advanced jurisdictions and adviser workflows priced separately.</w:t>
            </w:r>
          </w:p>
        </w:tc>
      </w:tr>
    </w:tbl>
    <w:p>
      <w:pPr>
        <w:pStyle w:val="Heading3"/>
      </w:pPr>
      <w:r>
        <w:t>CTO final pathway</w:t>
      </w:r>
    </w:p>
    <w:p>
      <w:pPr>
        <w:spacing w:after="80"/>
      </w:pPr>
      <w:r>
        <w:t>Build GreenLang Policy Graph as a modular product on the shared substrate. The release target is FY27; GA is gated for FY28 Q1. No unsupported legal advice positioning All policy guidance cites source and version</w:t>
      </w:r>
    </w:p>
    <w:p>
      <w:pPr>
        <w:pStyle w:val="Heading3"/>
      </w:pPr>
      <w:r>
        <w:t>Why it exists</w:t>
      </w:r>
    </w:p>
    <w:p>
      <w:pPr>
        <w:spacing w:after="80"/>
      </w:pPr>
      <w:r>
        <w:t>Climate rules change constantly: CBAM definitive phase, CSRD/ESRS delegated acts, SB 253 amendments, India CCTS sector expansion, EU Taxonomy delegated regulations, SBTi sector pathways. Manually tracking which rule applies to which entity, product, or report is where most vendors and consultants burn budget and get it wrong.</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compliance managers</w:t>
              <w:br/>
              <w:t>legal teams</w:t>
              <w:br/>
              <w:t>sustainability controllers</w:t>
              <w:br/>
              <w:t>consultants</w:t>
              <w:br/>
              <w:t>policy analysts</w:t>
              <w:br/>
              <w:t>product teams building regulated workflows</w:t>
            </w:r>
          </w:p>
        </w:tc>
      </w:tr>
      <w:tr>
        <w:tc>
          <w:tcPr>
            <w:tcW w:type="dxa" w:w="3024"/>
            <w:vAlign w:val="top"/>
          </w:tcPr>
          <w:p>
            <w:r>
              <w:rPr>
                <w:sz w:val="16"/>
              </w:rPr>
              <w:t>Jobs to be done</w:t>
            </w:r>
          </w:p>
        </w:tc>
        <w:tc>
          <w:tcPr>
            <w:tcW w:type="dxa" w:w="8640"/>
            <w:vAlign w:val="top"/>
          </w:tcPr>
          <w:p>
            <w:r>
              <w:rPr>
                <w:sz w:val="16"/>
              </w:rPr>
              <w:t>Identify which obligations apply to which entities/products/transactions</w:t>
              <w:br/>
              <w:t>Map regulations to data requirements and evidence needs</w:t>
              <w:br/>
              <w:t>Track changes in rules and reporting templates</w:t>
              <w:br/>
              <w:t>Generate policy-aware tasks and reminders</w:t>
              <w:br/>
              <w:t>Explain methodology choices in auditor-facing language</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Structured encoding of ~50 climate/ESG regulations and frameworks at GA (CBAM, CSRD/ESRS E1-E5, SB 253/261, ISSB S1/S2, SBTi, EU Taxonomy, GHGP, India BRSR, India CCTS, UK SDR, Singapore IM, TNFD, PCAF, GRI, CDP).</w:t>
              <w:br/>
              <w:t>Entity-to-rule matching: given an Entity Graph record, which rules apply and when?</w:t>
              <w:br/>
              <w:t>Obligation calendar with deadlines by entity.</w:t>
              <w:br/>
              <w:t>Rule diff and impact analysis when a regulation changes.</w:t>
              <w:br/>
              <w:t>Disclosure datapoint map (ESRS datapoints → Ledger queries).</w:t>
              <w:br/>
              <w:t>Policy change subscription with notification to affected customers.</w:t>
              <w:br/>
              <w:t>Explainability: every 'this rule applies' answer cites the underlying legal reference.</w:t>
            </w:r>
          </w:p>
        </w:tc>
      </w:tr>
      <w:tr>
        <w:tc>
          <w:tcPr>
            <w:tcW w:type="dxa" w:w="3456"/>
            <w:vAlign w:val="top"/>
          </w:tcPr>
          <w:p>
            <w:r>
              <w:rPr>
                <w:sz w:val="16"/>
              </w:rPr>
              <w:t>In-scope product modules</w:t>
            </w:r>
          </w:p>
        </w:tc>
        <w:tc>
          <w:tcPr>
            <w:tcW w:type="dxa" w:w="8352"/>
            <w:vAlign w:val="top"/>
          </w:tcPr>
          <w:p>
            <w:r>
              <w:rPr>
                <w:sz w:val="16"/>
              </w:rPr>
              <w:t>policy object model</w:t>
              <w:br/>
              <w:t>obligation engine</w:t>
              <w:br/>
              <w:t>deadline and applicability engine</w:t>
              <w:br/>
              <w:t>methodology mapping</w:t>
              <w:br/>
              <w:t>template library</w:t>
              <w:br/>
              <w:t>change-log workflow</w:t>
              <w:br/>
              <w:t>regulatory explainability layer</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policy source</w:t>
              <w:br/>
              <w:t>jurisdiction</w:t>
              <w:br/>
              <w:t>applicability criteria</w:t>
              <w:br/>
              <w:t>reporting periods</w:t>
              <w:br/>
              <w:t>data fields</w:t>
              <w:br/>
              <w:t>evidence requirements</w:t>
              <w:br/>
              <w:t>methodology references</w:t>
              <w:br/>
              <w:t>change history</w:t>
              <w:br/>
              <w:t>effective dates</w:t>
            </w:r>
          </w:p>
        </w:tc>
      </w:tr>
      <w:tr>
        <w:tc>
          <w:tcPr>
            <w:tcW w:type="dxa" w:w="3384"/>
            <w:vAlign w:val="top"/>
          </w:tcPr>
          <w:p>
            <w:r>
              <w:rPr>
                <w:sz w:val="16"/>
              </w:rPr>
              <w:t>External/product integrations</w:t>
            </w:r>
          </w:p>
        </w:tc>
        <w:tc>
          <w:tcPr>
            <w:tcW w:type="dxa" w:w="8496"/>
            <w:vAlign w:val="top"/>
          </w:tcPr>
          <w:p>
            <w:r>
              <w:rPr>
                <w:sz w:val="16"/>
              </w:rPr>
              <w:t>Comply; CBAM; Scope Engine; DPP Hub; FinanceOS; RiskOS; Agent Runtime; Evidence Vault</w:t>
            </w:r>
          </w:p>
        </w:tc>
      </w:tr>
      <w:tr>
        <w:tc>
          <w:tcPr>
            <w:tcW w:type="dxa" w:w="3384"/>
            <w:vAlign w:val="top"/>
          </w:tcPr>
          <w:p>
            <w:r>
              <w:rPr>
                <w:sz w:val="16"/>
              </w:rPr>
              <w:t>GreenLang dependencies</w:t>
            </w:r>
          </w:p>
        </w:tc>
        <w:tc>
          <w:tcPr>
            <w:tcW w:type="dxa" w:w="8496"/>
            <w:vAlign w:val="top"/>
          </w:tcPr>
          <w:p>
            <w:r>
              <w:rPr>
                <w:sz w:val="16"/>
              </w:rPr>
              <w:t>Entity Graph; Evidence Vault; Climate Ledger; Agent Runtime</w:t>
            </w:r>
          </w:p>
        </w:tc>
      </w:tr>
      <w:tr>
        <w:tc>
          <w:tcPr>
            <w:tcW w:type="dxa" w:w="3384"/>
            <w:vAlign w:val="top"/>
          </w:tcPr>
          <w:p>
            <w:r>
              <w:rPr>
                <w:sz w:val="16"/>
              </w:rPr>
              <w:t>Customer outputs and deliverables</w:t>
            </w:r>
          </w:p>
        </w:tc>
        <w:tc>
          <w:tcPr>
            <w:tcW w:type="dxa" w:w="8496"/>
            <w:vAlign w:val="top"/>
          </w:tcPr>
          <w:p>
            <w:r>
              <w:rPr>
                <w:sz w:val="16"/>
              </w:rPr>
              <w:t>applicability assessment</w:t>
              <w:br/>
              <w:t>policy checklist</w:t>
              <w:br/>
              <w:t>disclosure template</w:t>
              <w:br/>
              <w:t>change-impact alert</w:t>
              <w:br/>
              <w:t>evidence requirements map</w:t>
            </w:r>
          </w:p>
        </w:tc>
      </w:tr>
    </w:tbl>
    <w:p>
      <w:pPr>
        <w:pStyle w:val="Heading3"/>
      </w:pPr>
      <w:r>
        <w:t>AI and automation behavior</w:t>
      </w:r>
    </w:p>
    <w:p>
      <w:pPr>
        <w:pStyle w:val="ListBullet"/>
        <w:spacing w:after="20"/>
      </w:pPr>
      <w:r>
        <w:t>policy summarization</w:t>
      </w:r>
    </w:p>
    <w:p>
      <w:pPr>
        <w:pStyle w:val="ListBullet"/>
        <w:spacing w:after="20"/>
      </w:pPr>
      <w:r>
        <w:t>change-impact analysis</w:t>
      </w:r>
    </w:p>
    <w:p>
      <w:pPr>
        <w:pStyle w:val="ListBullet"/>
        <w:spacing w:after="20"/>
      </w:pPr>
      <w:r>
        <w:t>question-answering over obligations with citations</w:t>
      </w:r>
    </w:p>
    <w:p>
      <w:pPr>
        <w:pStyle w:val="ListBullet"/>
        <w:spacing w:after="20"/>
      </w:pPr>
      <w:r>
        <w:t>workflow generation from policy requirements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Q2</w:t>
            </w:r>
          </w:p>
        </w:tc>
        <w:tc>
          <w:tcPr>
            <w:tcW w:type="dxa" w:w="7776"/>
            <w:vAlign w:val="top"/>
          </w:tcPr>
          <w:p>
            <w:r>
              <w:rPr>
                <w:sz w:val="16"/>
              </w:rPr>
              <w:t>10 rules encoded (CBAM, CSRD/ESRS E1, SB 253, SBTi, GHGP, ISSB S2, BRSR, EU Tax. CC, SGX, CDP).</w:t>
            </w:r>
          </w:p>
        </w:tc>
      </w:tr>
      <w:tr>
        <w:tc>
          <w:tcPr>
            <w:tcW w:type="dxa" w:w="1872"/>
            <w:vAlign w:val="top"/>
          </w:tcPr>
          <w:p>
            <w:r>
              <w:rPr>
                <w:sz w:val="16"/>
              </w:rPr>
              <w:t>v0.5 Closed Beta</w:t>
            </w:r>
          </w:p>
        </w:tc>
        <w:tc>
          <w:tcPr>
            <w:tcW w:type="dxa" w:w="2304"/>
            <w:vAlign w:val="top"/>
          </w:tcPr>
          <w:p>
            <w:r>
              <w:rPr>
                <w:sz w:val="16"/>
              </w:rPr>
              <w:t>FY27 Q3</w:t>
            </w:r>
          </w:p>
        </w:tc>
        <w:tc>
          <w:tcPr>
            <w:tcW w:type="dxa" w:w="7776"/>
            <w:vAlign w:val="top"/>
          </w:tcPr>
          <w:p>
            <w:r>
              <w:rPr>
                <w:sz w:val="16"/>
              </w:rPr>
              <w:t>25 rules; entity-to-rule matching.</w:t>
            </w:r>
          </w:p>
        </w:tc>
      </w:tr>
      <w:tr>
        <w:tc>
          <w:tcPr>
            <w:tcW w:type="dxa" w:w="1872"/>
            <w:vAlign w:val="top"/>
          </w:tcPr>
          <w:p>
            <w:r>
              <w:rPr>
                <w:sz w:val="16"/>
              </w:rPr>
              <w:t>v0.9 Public Beta</w:t>
            </w:r>
          </w:p>
        </w:tc>
        <w:tc>
          <w:tcPr>
            <w:tcW w:type="dxa" w:w="2304"/>
            <w:vAlign w:val="top"/>
          </w:tcPr>
          <w:p>
            <w:r>
              <w:rPr>
                <w:sz w:val="16"/>
              </w:rPr>
              <w:t>FY27 Q4</w:t>
            </w:r>
          </w:p>
        </w:tc>
        <w:tc>
          <w:tcPr>
            <w:tcW w:type="dxa" w:w="7776"/>
            <w:vAlign w:val="top"/>
          </w:tcPr>
          <w:p>
            <w:r>
              <w:rPr>
                <w:sz w:val="16"/>
              </w:rPr>
              <w:t>Obligation calendar; rule diff.</w:t>
            </w:r>
          </w:p>
        </w:tc>
      </w:tr>
      <w:tr>
        <w:tc>
          <w:tcPr>
            <w:tcW w:type="dxa" w:w="1872"/>
            <w:vAlign w:val="top"/>
          </w:tcPr>
          <w:p>
            <w:r>
              <w:rPr>
                <w:sz w:val="16"/>
              </w:rPr>
              <w:t>v1.0 GA</w:t>
            </w:r>
          </w:p>
        </w:tc>
        <w:tc>
          <w:tcPr>
            <w:tcW w:type="dxa" w:w="2304"/>
            <w:vAlign w:val="top"/>
          </w:tcPr>
          <w:p>
            <w:r>
              <w:rPr>
                <w:sz w:val="16"/>
              </w:rPr>
              <w:t>FY28 Q1</w:t>
            </w:r>
          </w:p>
        </w:tc>
        <w:tc>
          <w:tcPr>
            <w:tcW w:type="dxa" w:w="7776"/>
            <w:vAlign w:val="top"/>
          </w:tcPr>
          <w:p>
            <w:r>
              <w:rPr>
                <w:sz w:val="16"/>
              </w:rPr>
              <w:t>50 rules; ESRS datapoint map; change-notification service.</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Sector-specific disclosure templates (auto-industries, hospitality, REITs, steel, cement).</w:t>
            </w:r>
          </w:p>
        </w:tc>
      </w:tr>
      <w:tr>
        <w:tc>
          <w:tcPr>
            <w:tcW w:type="dxa" w:w="1872"/>
            <w:vAlign w:val="top"/>
          </w:tcPr>
          <w:p>
            <w:r>
              <w:rPr>
                <w:sz w:val="16"/>
              </w:rPr>
              <w:t>v2.0</w:t>
            </w:r>
          </w:p>
        </w:tc>
        <w:tc>
          <w:tcPr>
            <w:tcW w:type="dxa" w:w="2304"/>
            <w:vAlign w:val="top"/>
          </w:tcPr>
          <w:p>
            <w:r>
              <w:rPr>
                <w:sz w:val="16"/>
              </w:rPr>
              <w:t>FY29 Q4</w:t>
            </w:r>
          </w:p>
        </w:tc>
        <w:tc>
          <w:tcPr>
            <w:tcW w:type="dxa" w:w="7776"/>
            <w:vAlign w:val="top"/>
          </w:tcPr>
          <w:p>
            <w:r>
              <w:rPr>
                <w:sz w:val="16"/>
              </w:rPr>
              <w:t>Regulation simulation engine - 'what if CBAM expands to fertilizer?'; 80+ rules.</w:t>
            </w:r>
          </w:p>
        </w:tc>
      </w:tr>
      <w:tr>
        <w:tc>
          <w:tcPr>
            <w:tcW w:type="dxa" w:w="1872"/>
            <w:vAlign w:val="top"/>
          </w:tcPr>
          <w:p>
            <w:r>
              <w:rPr>
                <w:sz w:val="16"/>
              </w:rPr>
              <w:t>v2.5</w:t>
            </w:r>
          </w:p>
        </w:tc>
        <w:tc>
          <w:tcPr>
            <w:tcW w:type="dxa" w:w="2304"/>
            <w:vAlign w:val="top"/>
          </w:tcPr>
          <w:p>
            <w:r>
              <w:rPr>
                <w:sz w:val="16"/>
              </w:rPr>
              <w:t>FY30 Q4</w:t>
            </w:r>
          </w:p>
        </w:tc>
        <w:tc>
          <w:tcPr>
            <w:tcW w:type="dxa" w:w="7776"/>
            <w:vAlign w:val="top"/>
          </w:tcPr>
          <w:p>
            <w:r>
              <w:rPr>
                <w:sz w:val="16"/>
              </w:rPr>
              <w:t>Policy Graph API for law firms (white-label tenancy).</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Agent-mediated compliance - AI compliance officer drafts responses with citations, reviewed by humans.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No unsupported legal advice positioning</w:t>
      </w:r>
    </w:p>
    <w:p>
      <w:pPr>
        <w:pStyle w:val="ListBullet"/>
        <w:spacing w:after="20"/>
      </w:pPr>
      <w:r>
        <w:t>All policy guidance cites source and version</w:t>
      </w:r>
    </w:p>
    <w:p>
      <w:pPr>
        <w:pStyle w:val="ListBullet"/>
        <w:spacing w:after="20"/>
      </w:pPr>
      <w:r>
        <w:t>Human review for high-impact changes</w:t>
      </w:r>
    </w:p>
    <w:p>
      <w:pPr>
        <w:pStyle w:val="ListBullet"/>
        <w:spacing w:after="20"/>
      </w:pPr>
      <w:r>
        <w:t>GA requires update cadence and owner accountability</w:t>
      </w:r>
    </w:p>
    <w:p>
      <w:pPr>
        <w:pStyle w:val="Heading3"/>
      </w:pPr>
      <w:r>
        <w:t>Key risks to actively manage</w:t>
      </w:r>
    </w:p>
    <w:p>
      <w:pPr>
        <w:pStyle w:val="ListBullet"/>
        <w:spacing w:after="20"/>
      </w:pPr>
      <w:r>
        <w:t>regulatory volatility</w:t>
      </w:r>
    </w:p>
    <w:p>
      <w:pPr>
        <w:pStyle w:val="ListBullet"/>
        <w:spacing w:after="20"/>
      </w:pPr>
      <w:r>
        <w:t>incorrect interpretation</w:t>
      </w:r>
    </w:p>
    <w:p>
      <w:pPr>
        <w:pStyle w:val="ListBullet"/>
        <w:spacing w:after="20"/>
      </w:pPr>
      <w:r>
        <w:t>jurisdictional overreach</w:t>
      </w:r>
    </w:p>
    <w:p>
      <w:pPr>
        <w:pStyle w:val="ListBullet"/>
        <w:spacing w:after="20"/>
      </w:pPr>
      <w:r>
        <w:t>customers treating software output as legal advice</w:t>
      </w:r>
    </w:p>
    <w:p>
      <w:pPr>
        <w:pStyle w:val="Heading3"/>
      </w:pPr>
      <w:r>
        <w:t>Success metrics</w:t>
      </w:r>
    </w:p>
    <w:p>
      <w:pPr>
        <w:pStyle w:val="ListBullet"/>
        <w:spacing w:after="20"/>
      </w:pPr>
      <w:r>
        <w:t>policy update latency</w:t>
      </w:r>
    </w:p>
    <w:p>
      <w:pPr>
        <w:pStyle w:val="ListBullet"/>
        <w:spacing w:after="20"/>
      </w:pPr>
      <w:r>
        <w:t>applicability assessment accuracy</w:t>
      </w:r>
    </w:p>
    <w:p>
      <w:pPr>
        <w:pStyle w:val="ListBullet"/>
        <w:spacing w:after="20"/>
      </w:pPr>
      <w:r>
        <w:t>number of products using Policy Graph</w:t>
      </w:r>
    </w:p>
    <w:p>
      <w:pPr>
        <w:pStyle w:val="ListBullet"/>
        <w:spacing w:after="20"/>
      </w:pPr>
      <w:r>
        <w:t>user trust/acceptance score</w:t>
      </w:r>
    </w:p>
    <w:p>
      <w:pPr>
        <w:pStyle w:val="ListBullet"/>
        <w:spacing w:after="20"/>
      </w:pPr>
      <w:r>
        <w:t>missed-deadline incidents</w:t>
      </w:r>
    </w:p>
    <w:p>
      <w:pPr>
        <w:pStyle w:val="Heading3"/>
      </w:pPr>
      <w:r>
        <w:t>Dependency notes</w:t>
      </w:r>
    </w:p>
    <w:p>
      <w:pPr>
        <w:pStyle w:val="ListBullet"/>
        <w:spacing w:after="20"/>
      </w:pPr>
      <w:r>
        <w:t>Upstream: Entity Graph (to match rules to entities).</w:t>
      </w:r>
    </w:p>
    <w:p>
      <w:pPr>
        <w:pStyle w:val="ListBullet"/>
        <w:spacing w:after="20"/>
      </w:pPr>
      <w:r>
        <w:t>Downstream: Comply, CBAM, Scope Engine, RiskOS, FinanceOS.</w:t>
      </w:r>
    </w:p>
    <w:p>
      <w:r>
        <w:br w:type="page"/>
      </w:r>
    </w:p>
    <w:p>
      <w:pPr>
        <w:pStyle w:val="Heading2"/>
      </w:pPr>
      <w:r>
        <w:t>7. GreenLang Agent Runtime + Eval</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FY28 Q2</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Internal teams, implementation partners, enterprise automation owners</w:t>
            </w:r>
          </w:p>
        </w:tc>
      </w:tr>
      <w:tr>
        <w:tc>
          <w:tcPr>
            <w:tcW w:type="dxa" w:w="2448"/>
            <w:vAlign w:val="top"/>
            <w:shd w:fill="EAF2F8"/>
          </w:tcPr>
          <w:p>
            <w:r>
              <w:rPr>
                <w:b/>
                <w:color w:val="1F4E79"/>
                <w:sz w:val="16"/>
              </w:rPr>
              <w:t>Revenue model</w:t>
            </w:r>
          </w:p>
        </w:tc>
        <w:tc>
          <w:tcPr>
            <w:tcW w:type="dxa" w:w="8352"/>
            <w:vAlign w:val="top"/>
          </w:tcPr>
          <w:p>
            <w:r>
              <w:rPr>
                <w:sz w:val="16"/>
              </w:rPr>
              <w:t>Platform subscription</w:t>
            </w:r>
          </w:p>
        </w:tc>
      </w:tr>
      <w:tr>
        <w:tc>
          <w:tcPr>
            <w:tcW w:type="dxa" w:w="2448"/>
            <w:vAlign w:val="top"/>
            <w:shd w:fill="EAF2F8"/>
          </w:tcPr>
          <w:p>
            <w:r>
              <w:rPr>
                <w:b/>
                <w:color w:val="1F4E79"/>
                <w:sz w:val="16"/>
              </w:rPr>
              <w:t>Definition</w:t>
            </w:r>
          </w:p>
        </w:tc>
        <w:tc>
          <w:tcPr>
            <w:tcW w:type="dxa" w:w="8352"/>
            <w:vAlign w:val="top"/>
          </w:tcPr>
          <w:p>
            <w:r>
              <w:rPr>
                <w:sz w:val="16"/>
              </w:rPr>
              <w:t>The governed AI execution layer for climate workflows. It provides agent orchestration, tool permissions, retrieval over approved data, human-in-the-loop review, evaluation benchmarks, prompt/version governance, and safety controls for high-stakes climate decisions.</w:t>
            </w:r>
          </w:p>
        </w:tc>
      </w:tr>
      <w:tr>
        <w:tc>
          <w:tcPr>
            <w:tcW w:type="dxa" w:w="2448"/>
            <w:vAlign w:val="top"/>
            <w:shd w:fill="EAF2F8"/>
          </w:tcPr>
          <w:p>
            <w:r>
              <w:rPr>
                <w:b/>
                <w:color w:val="1F4E79"/>
                <w:sz w:val="16"/>
              </w:rPr>
              <w:t>Strategic role</w:t>
            </w:r>
          </w:p>
        </w:tc>
        <w:tc>
          <w:tcPr>
            <w:tcW w:type="dxa" w:w="8352"/>
            <w:vAlign w:val="top"/>
          </w:tcPr>
          <w:p>
            <w:r>
              <w:rPr>
                <w:sz w:val="16"/>
              </w:rPr>
              <w:t>GreenLang will need AI to scale implementation, analysis, policy reasoning, and recommendations. Agent Runtime + Eval ensures that automation is useful, measurable, reviewable, and bounded by evidence rather than becoming an uncontrolled chatbot layer.</w:t>
            </w:r>
          </w:p>
        </w:tc>
      </w:tr>
      <w:tr>
        <w:tc>
          <w:tcPr>
            <w:tcW w:type="dxa" w:w="2448"/>
            <w:vAlign w:val="top"/>
            <w:shd w:fill="EAF2F8"/>
          </w:tcPr>
          <w:p>
            <w:r>
              <w:rPr>
                <w:b/>
                <w:color w:val="1F4E79"/>
                <w:sz w:val="16"/>
              </w:rPr>
              <w:t>Pricing / packaging logic</w:t>
            </w:r>
          </w:p>
        </w:tc>
        <w:tc>
          <w:tcPr>
            <w:tcW w:type="dxa" w:w="8352"/>
            <w:vAlign w:val="top"/>
          </w:tcPr>
          <w:p>
            <w:r>
              <w:rPr>
                <w:sz w:val="16"/>
              </w:rPr>
              <w:t>Included in premium platform tiers; usage-based AI compute charges; enterprise controls and custom eval packs priced separately.</w:t>
            </w:r>
          </w:p>
        </w:tc>
      </w:tr>
    </w:tbl>
    <w:p>
      <w:pPr>
        <w:pStyle w:val="Heading3"/>
      </w:pPr>
      <w:r>
        <w:t>CTO final pathway</w:t>
      </w:r>
    </w:p>
    <w:p>
      <w:pPr>
        <w:spacing w:after="80"/>
      </w:pPr>
      <w:r>
        <w:t>Build GreenLang Agent Runtime + Eval as a modular product on the shared substrate. The release target is FY27; GA is gated for FY28 Q2. No high-stakes autonomous claim without review Evaluation benchmark must exist before product AI features GA</w:t>
      </w:r>
    </w:p>
    <w:p>
      <w:pPr>
        <w:pStyle w:val="Heading3"/>
      </w:pPr>
      <w:r>
        <w:t>Why it exists</w:t>
      </w:r>
    </w:p>
    <w:p>
      <w:pPr>
        <w:spacing w:after="80"/>
      </w:pPr>
      <w:r>
        <w:t>Climate work is long-tail knowledge work: mapping activity-to-factor, drafting supplier letters, interpreting regulations, preparing assurance responses, decomposing variances. LLMs can do this, but today it's ungoverned - no provenance, no eval, no policy awareness, no audit trail. Regulators and auditors will not accept black-box AI in the reporting path.</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GreenLang product teams</w:t>
              <w:br/>
              <w:t>enterprise admins</w:t>
              <w:br/>
              <w:t>implementation partners</w:t>
              <w:br/>
              <w:t>climate analysts</w:t>
              <w:br/>
              <w:t>auditors reviewing AI-assisted outputs</w:t>
            </w:r>
          </w:p>
        </w:tc>
      </w:tr>
      <w:tr>
        <w:tc>
          <w:tcPr>
            <w:tcW w:type="dxa" w:w="3024"/>
            <w:vAlign w:val="top"/>
          </w:tcPr>
          <w:p>
            <w:r>
              <w:rPr>
                <w:sz w:val="16"/>
              </w:rPr>
              <w:t>Jobs to be done</w:t>
            </w:r>
          </w:p>
        </w:tc>
        <w:tc>
          <w:tcPr>
            <w:tcW w:type="dxa" w:w="8640"/>
            <w:vAlign w:val="top"/>
          </w:tcPr>
          <w:p>
            <w:r>
              <w:rPr>
                <w:sz w:val="16"/>
              </w:rPr>
              <w:t>Run policy-aware assistants inside products</w:t>
              <w:br/>
              <w:t>Automate repetitive data mapping and evidence checks</w:t>
              <w:br/>
              <w:t>Evaluate AI outputs against benchmark tasks</w:t>
              <w:br/>
              <w:t>Preserve prompt/model/tool versions</w:t>
              <w:br/>
              <w:t>Require human approval for regulated claims and financial decisions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Agent framework with tool-use tied to Ledger, Factors, Policy Graph, Entity Graph.</w:t>
              <w:br/>
              <w:t>Evidence-first output: every agent claim links back to source data or factor ID.</w:t>
              <w:br/>
              <w:t>Human-in-the-loop approval gates configurable per workflow.</w:t>
              <w:br/>
              <w:t>Eval harness: regression tests, factuality checks, adversarial suites per domain.</w:t>
              <w:br/>
              <w:t>Model-agnostic: supports Anthropic, OpenAI, open-weights, and on-prem inference.</w:t>
              <w:br/>
              <w:t>Observability: token, cost, latency, and hallucination-rate per agent.</w:t>
              <w:br/>
              <w:t>Guardrails aligned to Policy Graph: agents refuse to output unregulated claims.</w:t>
              <w:br/>
              <w:t>Versioning: every agent is a pinned model + prompt + eval-suite artifact.</w:t>
            </w:r>
          </w:p>
        </w:tc>
      </w:tr>
      <w:tr>
        <w:tc>
          <w:tcPr>
            <w:tcW w:type="dxa" w:w="3456"/>
            <w:vAlign w:val="top"/>
          </w:tcPr>
          <w:p>
            <w:r>
              <w:rPr>
                <w:sz w:val="16"/>
              </w:rPr>
              <w:t>In-scope product modules</w:t>
            </w:r>
          </w:p>
        </w:tc>
        <w:tc>
          <w:tcPr>
            <w:tcW w:type="dxa" w:w="8352"/>
            <w:vAlign w:val="top"/>
          </w:tcPr>
          <w:p>
            <w:r>
              <w:rPr>
                <w:sz w:val="16"/>
              </w:rPr>
              <w:t>agent orchestration</w:t>
              <w:br/>
              <w:t>tool permissions</w:t>
              <w:br/>
              <w:t>retrieval and context governance</w:t>
              <w:br/>
              <w:t>evaluation suite</w:t>
              <w:br/>
              <w:t>human approval queue</w:t>
              <w:br/>
              <w:t>prompt/model versioning</w:t>
              <w:br/>
              <w:t>AI audit log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agent task logs</w:t>
              <w:br/>
              <w:t>tool calls</w:t>
              <w:br/>
              <w:t>retrieved evidence</w:t>
              <w:br/>
              <w:t>model versions</w:t>
              <w:br/>
              <w:t>prompt versions</w:t>
              <w:br/>
              <w:t>evaluation datasets</w:t>
              <w:br/>
              <w:t>approval history</w:t>
              <w:br/>
              <w:t>error reports</w:t>
            </w:r>
          </w:p>
        </w:tc>
      </w:tr>
      <w:tr>
        <w:tc>
          <w:tcPr>
            <w:tcW w:type="dxa" w:w="3384"/>
            <w:vAlign w:val="top"/>
          </w:tcPr>
          <w:p>
            <w:r>
              <w:rPr>
                <w:sz w:val="16"/>
              </w:rPr>
              <w:t>External/product integrations</w:t>
            </w:r>
          </w:p>
        </w:tc>
        <w:tc>
          <w:tcPr>
            <w:tcW w:type="dxa" w:w="8496"/>
            <w:vAlign w:val="top"/>
          </w:tcPr>
          <w:p>
            <w:r>
              <w:rPr>
                <w:sz w:val="16"/>
              </w:rPr>
              <w:t>Policy Graph; Evidence Vault; Connect; Factors; SDK/API/CLI; all sector cloud products</w:t>
            </w:r>
          </w:p>
        </w:tc>
      </w:tr>
      <w:tr>
        <w:tc>
          <w:tcPr>
            <w:tcW w:type="dxa" w:w="3384"/>
            <w:vAlign w:val="top"/>
          </w:tcPr>
          <w:p>
            <w:r>
              <w:rPr>
                <w:sz w:val="16"/>
              </w:rPr>
              <w:t>GreenLang dependencies</w:t>
            </w:r>
          </w:p>
        </w:tc>
        <w:tc>
          <w:tcPr>
            <w:tcW w:type="dxa" w:w="8496"/>
            <w:vAlign w:val="top"/>
          </w:tcPr>
          <w:p>
            <w:r>
              <w:rPr>
                <w:sz w:val="16"/>
              </w:rPr>
              <w:t>Policy Graph; Evidence Vault; Climate Ledger; SDK/API/CLI; security/permissions layer</w:t>
            </w:r>
          </w:p>
        </w:tc>
      </w:tr>
      <w:tr>
        <w:tc>
          <w:tcPr>
            <w:tcW w:type="dxa" w:w="3384"/>
            <w:vAlign w:val="top"/>
          </w:tcPr>
          <w:p>
            <w:r>
              <w:rPr>
                <w:sz w:val="16"/>
              </w:rPr>
              <w:t>Customer outputs and deliverables</w:t>
            </w:r>
          </w:p>
        </w:tc>
        <w:tc>
          <w:tcPr>
            <w:tcW w:type="dxa" w:w="8496"/>
            <w:vAlign w:val="top"/>
          </w:tcPr>
          <w:p>
            <w:r>
              <w:rPr>
                <w:sz w:val="16"/>
              </w:rPr>
              <w:t>AI-assisted recommendations</w:t>
              <w:br/>
              <w:t>review packets</w:t>
              <w:br/>
              <w:t>eval reports</w:t>
              <w:br/>
              <w:t>agent audit trails</w:t>
              <w:br/>
              <w:t>implementation automation reports</w:t>
            </w:r>
          </w:p>
        </w:tc>
      </w:tr>
    </w:tbl>
    <w:p>
      <w:pPr>
        <w:pStyle w:val="Heading3"/>
      </w:pPr>
      <w:r>
        <w:t>AI and automation behavior</w:t>
      </w:r>
    </w:p>
    <w:p>
      <w:pPr>
        <w:pStyle w:val="ListBullet"/>
        <w:spacing w:after="20"/>
      </w:pPr>
      <w:r>
        <w:t>this product is the AI layer itself; core features include policy-aware retrieval, structured output generation, and benchmarked agents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Q2</w:t>
            </w:r>
          </w:p>
        </w:tc>
        <w:tc>
          <w:tcPr>
            <w:tcW w:type="dxa" w:w="7776"/>
            <w:vAlign w:val="top"/>
          </w:tcPr>
          <w:p>
            <w:r>
              <w:rPr>
                <w:sz w:val="16"/>
              </w:rPr>
              <w:t>Factor-mapping agent + supplier-email agent, manual eval.</w:t>
            </w:r>
          </w:p>
        </w:tc>
      </w:tr>
      <w:tr>
        <w:tc>
          <w:tcPr>
            <w:tcW w:type="dxa" w:w="1872"/>
            <w:vAlign w:val="top"/>
          </w:tcPr>
          <w:p>
            <w:r>
              <w:rPr>
                <w:sz w:val="16"/>
              </w:rPr>
              <w:t>v0.5 Closed Beta</w:t>
            </w:r>
          </w:p>
        </w:tc>
        <w:tc>
          <w:tcPr>
            <w:tcW w:type="dxa" w:w="2304"/>
            <w:vAlign w:val="top"/>
          </w:tcPr>
          <w:p>
            <w:r>
              <w:rPr>
                <w:sz w:val="16"/>
              </w:rPr>
              <w:t>FY27 Q3</w:t>
            </w:r>
          </w:p>
        </w:tc>
        <w:tc>
          <w:tcPr>
            <w:tcW w:type="dxa" w:w="7776"/>
            <w:vAlign w:val="top"/>
          </w:tcPr>
          <w:p>
            <w:r>
              <w:rPr>
                <w:sz w:val="16"/>
              </w:rPr>
              <w:t>5 canonical agents; eval harness v1; HITL approval.</w:t>
            </w:r>
          </w:p>
        </w:tc>
      </w:tr>
      <w:tr>
        <w:tc>
          <w:tcPr>
            <w:tcW w:type="dxa" w:w="1872"/>
            <w:vAlign w:val="top"/>
          </w:tcPr>
          <w:p>
            <w:r>
              <w:rPr>
                <w:sz w:val="16"/>
              </w:rPr>
              <w:t>v0.9 Public Beta</w:t>
            </w:r>
          </w:p>
        </w:tc>
        <w:tc>
          <w:tcPr>
            <w:tcW w:type="dxa" w:w="2304"/>
            <w:vAlign w:val="top"/>
          </w:tcPr>
          <w:p>
            <w:r>
              <w:rPr>
                <w:sz w:val="16"/>
              </w:rPr>
              <w:t>FY27 Q4</w:t>
            </w:r>
          </w:p>
        </w:tc>
        <w:tc>
          <w:tcPr>
            <w:tcW w:type="dxa" w:w="7776"/>
            <w:vAlign w:val="top"/>
          </w:tcPr>
          <w:p>
            <w:r>
              <w:rPr>
                <w:sz w:val="16"/>
              </w:rPr>
              <w:t>Agent SDK for partners; cost/latency observability.</w:t>
            </w:r>
          </w:p>
        </w:tc>
      </w:tr>
      <w:tr>
        <w:tc>
          <w:tcPr>
            <w:tcW w:type="dxa" w:w="1872"/>
            <w:vAlign w:val="top"/>
          </w:tcPr>
          <w:p>
            <w:r>
              <w:rPr>
                <w:sz w:val="16"/>
              </w:rPr>
              <w:t>v1.0 GA</w:t>
            </w:r>
          </w:p>
        </w:tc>
        <w:tc>
          <w:tcPr>
            <w:tcW w:type="dxa" w:w="2304"/>
            <w:vAlign w:val="top"/>
          </w:tcPr>
          <w:p>
            <w:r>
              <w:rPr>
                <w:sz w:val="16"/>
              </w:rPr>
              <w:t>FY28 Q2</w:t>
            </w:r>
          </w:p>
        </w:tc>
        <w:tc>
          <w:tcPr>
            <w:tcW w:type="dxa" w:w="7776"/>
            <w:vAlign w:val="top"/>
          </w:tcPr>
          <w:p>
            <w:r>
              <w:rPr>
                <w:sz w:val="16"/>
              </w:rPr>
              <w:t>Policy-graph-aware guardrails; model-agnostic routing; SOC 2-aligned logging.</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Multi-agent orchestration (e.g., CBAM submission pipeline).</w:t>
            </w:r>
          </w:p>
        </w:tc>
      </w:tr>
      <w:tr>
        <w:tc>
          <w:tcPr>
            <w:tcW w:type="dxa" w:w="1872"/>
            <w:vAlign w:val="top"/>
          </w:tcPr>
          <w:p>
            <w:r>
              <w:rPr>
                <w:sz w:val="16"/>
              </w:rPr>
              <w:t>v2.0</w:t>
            </w:r>
          </w:p>
        </w:tc>
        <w:tc>
          <w:tcPr>
            <w:tcW w:type="dxa" w:w="2304"/>
            <w:vAlign w:val="top"/>
          </w:tcPr>
          <w:p>
            <w:r>
              <w:rPr>
                <w:sz w:val="16"/>
              </w:rPr>
              <w:t>FY29 Q3</w:t>
            </w:r>
          </w:p>
        </w:tc>
        <w:tc>
          <w:tcPr>
            <w:tcW w:type="dxa" w:w="7776"/>
            <w:vAlign w:val="top"/>
          </w:tcPr>
          <w:p>
            <w:r>
              <w:rPr>
                <w:sz w:val="16"/>
              </w:rPr>
              <w:t>Auditor-facing 'how did this agent arrive at this answer' explainability UI.</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Customer-tunable agents with on-prem inference for regulated/air-gapped customers.</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Agent marketplace - partners ship agents on GreenLang; revenue share.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No high-stakes autonomous claim without review</w:t>
      </w:r>
    </w:p>
    <w:p>
      <w:pPr>
        <w:pStyle w:val="ListBullet"/>
        <w:spacing w:after="20"/>
      </w:pPr>
      <w:r>
        <w:t>Evaluation benchmark must exist before product AI features GA</w:t>
      </w:r>
    </w:p>
    <w:p>
      <w:pPr>
        <w:pStyle w:val="ListBullet"/>
        <w:spacing w:after="20"/>
      </w:pPr>
      <w:r>
        <w:t>Tool permissions cannot bypass customer role controls</w:t>
      </w:r>
    </w:p>
    <w:p>
      <w:pPr>
        <w:pStyle w:val="ListBullet"/>
        <w:spacing w:after="20"/>
      </w:pPr>
      <w:r>
        <w:t>AI outputs must cite ledger/evidence/policy sources</w:t>
      </w:r>
    </w:p>
    <w:p>
      <w:pPr>
        <w:pStyle w:val="Heading3"/>
      </w:pPr>
      <w:r>
        <w:t>Key risks to actively manage</w:t>
      </w:r>
    </w:p>
    <w:p>
      <w:pPr>
        <w:pStyle w:val="ListBullet"/>
        <w:spacing w:after="20"/>
      </w:pPr>
      <w:r>
        <w:t>hallucinated policy or methodology guidance</w:t>
      </w:r>
    </w:p>
    <w:p>
      <w:pPr>
        <w:pStyle w:val="ListBullet"/>
        <w:spacing w:after="20"/>
      </w:pPr>
      <w:r>
        <w:t>unreviewed automation in regulated workflows</w:t>
      </w:r>
    </w:p>
    <w:p>
      <w:pPr>
        <w:pStyle w:val="ListBullet"/>
        <w:spacing w:after="20"/>
      </w:pPr>
      <w:r>
        <w:t>cost spikes from AI usage</w:t>
      </w:r>
    </w:p>
    <w:p>
      <w:pPr>
        <w:pStyle w:val="ListBullet"/>
        <w:spacing w:after="20"/>
      </w:pPr>
      <w:r>
        <w:t>lack of measurable accuracy</w:t>
      </w:r>
    </w:p>
    <w:p>
      <w:pPr>
        <w:pStyle w:val="Heading3"/>
      </w:pPr>
      <w:r>
        <w:t>Success metrics</w:t>
      </w:r>
    </w:p>
    <w:p>
      <w:pPr>
        <w:pStyle w:val="ListBullet"/>
        <w:spacing w:after="20"/>
      </w:pPr>
      <w:r>
        <w:t>task success rate</w:t>
      </w:r>
    </w:p>
    <w:p>
      <w:pPr>
        <w:pStyle w:val="ListBullet"/>
        <w:spacing w:after="20"/>
      </w:pPr>
      <w:r>
        <w:t>human-review acceptance rate</w:t>
      </w:r>
    </w:p>
    <w:p>
      <w:pPr>
        <w:pStyle w:val="ListBullet"/>
        <w:spacing w:after="20"/>
      </w:pPr>
      <w:r>
        <w:t>policy/evidence citation coverage</w:t>
      </w:r>
    </w:p>
    <w:p>
      <w:pPr>
        <w:pStyle w:val="ListBullet"/>
        <w:spacing w:after="20"/>
      </w:pPr>
      <w:r>
        <w:t>AI cost per workflow</w:t>
      </w:r>
    </w:p>
    <w:p>
      <w:pPr>
        <w:pStyle w:val="ListBullet"/>
        <w:spacing w:after="20"/>
      </w:pPr>
      <w:r>
        <w:t>eval regression pass rate</w:t>
      </w:r>
    </w:p>
    <w:p>
      <w:pPr>
        <w:pStyle w:val="Heading3"/>
      </w:pPr>
      <w:r>
        <w:t>Dependency notes</w:t>
      </w:r>
    </w:p>
    <w:p>
      <w:pPr>
        <w:pStyle w:val="ListBullet"/>
        <w:spacing w:after="20"/>
      </w:pPr>
      <w:r>
        <w:t>Upstream: Factors, Ledger, Policy Graph, Entity Graph.</w:t>
      </w:r>
    </w:p>
    <w:p>
      <w:pPr>
        <w:pStyle w:val="ListBullet"/>
        <w:spacing w:after="20"/>
      </w:pPr>
      <w:r>
        <w:t>Downstream: every product eventually uses Agent Runtime.</w:t>
      </w:r>
    </w:p>
    <w:p>
      <w:r>
        <w:br w:type="page"/>
      </w:r>
    </w:p>
    <w:p>
      <w:pPr>
        <w:pStyle w:val="Heading2"/>
      </w:pPr>
      <w:r>
        <w:t>8. GreenLang SDK/API/CLI</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w:t>
            </w:r>
          </w:p>
        </w:tc>
      </w:tr>
      <w:tr>
        <w:tc>
          <w:tcPr>
            <w:tcW w:type="dxa" w:w="2448"/>
            <w:vAlign w:val="top"/>
            <w:shd w:fill="EAF2F8"/>
          </w:tcPr>
          <w:p>
            <w:r>
              <w:rPr>
                <w:b/>
                <w:color w:val="1F4E79"/>
                <w:sz w:val="16"/>
              </w:rPr>
              <w:t>Cloud / squad</w:t>
            </w:r>
          </w:p>
        </w:tc>
        <w:tc>
          <w:tcPr>
            <w:tcW w:type="dxa" w:w="8352"/>
            <w:vAlign w:val="top"/>
          </w:tcPr>
          <w:p>
            <w:r>
              <w:rPr>
                <w:sz w:val="16"/>
              </w:rPr>
              <w:t>Core Platform / Core Substrate / Developer Platform Squad</w:t>
            </w:r>
          </w:p>
        </w:tc>
      </w:tr>
      <w:tr>
        <w:tc>
          <w:tcPr>
            <w:tcW w:type="dxa" w:w="2448"/>
            <w:vAlign w:val="top"/>
            <w:shd w:fill="EAF2F8"/>
          </w:tcPr>
          <w:p>
            <w:r>
              <w:rPr>
                <w:b/>
                <w:color w:val="1F4E79"/>
                <w:sz w:val="16"/>
              </w:rPr>
              <w:t>Primary buyer</w:t>
            </w:r>
          </w:p>
        </w:tc>
        <w:tc>
          <w:tcPr>
            <w:tcW w:type="dxa" w:w="8352"/>
            <w:vAlign w:val="top"/>
          </w:tcPr>
          <w:p>
            <w:r>
              <w:rPr>
                <w:sz w:val="16"/>
              </w:rPr>
              <w:t>Developers, data teams, partners, consultants, enterprise platform teams</w:t>
            </w:r>
          </w:p>
        </w:tc>
      </w:tr>
      <w:tr>
        <w:tc>
          <w:tcPr>
            <w:tcW w:type="dxa" w:w="2448"/>
            <w:vAlign w:val="top"/>
            <w:shd w:fill="EAF2F8"/>
          </w:tcPr>
          <w:p>
            <w:r>
              <w:rPr>
                <w:b/>
                <w:color w:val="1F4E79"/>
                <w:sz w:val="16"/>
              </w:rPr>
              <w:t>Revenue model</w:t>
            </w:r>
          </w:p>
        </w:tc>
        <w:tc>
          <w:tcPr>
            <w:tcW w:type="dxa" w:w="8352"/>
            <w:vAlign w:val="top"/>
          </w:tcPr>
          <w:p>
            <w:r>
              <w:rPr>
                <w:sz w:val="16"/>
              </w:rPr>
              <w:t>Usage + hosted services</w:t>
            </w:r>
          </w:p>
        </w:tc>
      </w:tr>
      <w:tr>
        <w:tc>
          <w:tcPr>
            <w:tcW w:type="dxa" w:w="2448"/>
            <w:vAlign w:val="top"/>
            <w:shd w:fill="EAF2F8"/>
          </w:tcPr>
          <w:p>
            <w:r>
              <w:rPr>
                <w:b/>
                <w:color w:val="1F4E79"/>
                <w:sz w:val="16"/>
              </w:rPr>
              <w:t>Definition</w:t>
            </w:r>
          </w:p>
        </w:tc>
        <w:tc>
          <w:tcPr>
            <w:tcW w:type="dxa" w:w="8352"/>
            <w:vAlign w:val="top"/>
          </w:tcPr>
          <w:p>
            <w:r>
              <w:rPr>
                <w:sz w:val="16"/>
              </w:rPr>
              <w:t>The developer interface to GreenLang: API, SDKs, CLI tools, examples, notebooks, documentation, sandbox, webhooks, and partner integration surface. It allows third parties and internal teams to build on the GreenLang data, ledger, factor, evidence, and policy substrate.</w:t>
            </w:r>
          </w:p>
        </w:tc>
      </w:tr>
      <w:tr>
        <w:tc>
          <w:tcPr>
            <w:tcW w:type="dxa" w:w="2448"/>
            <w:vAlign w:val="top"/>
            <w:shd w:fill="EAF2F8"/>
          </w:tcPr>
          <w:p>
            <w:r>
              <w:rPr>
                <w:b/>
                <w:color w:val="1F4E79"/>
                <w:sz w:val="16"/>
              </w:rPr>
              <w:t>Strategic role</w:t>
            </w:r>
          </w:p>
        </w:tc>
        <w:tc>
          <w:tcPr>
            <w:tcW w:type="dxa" w:w="8352"/>
            <w:vAlign w:val="top"/>
          </w:tcPr>
          <w:p>
            <w:r>
              <w:rPr>
                <w:sz w:val="16"/>
              </w:rPr>
              <w:t>This is the open-core distribution engine. It creates developer mindshare, partner extensions, bottom-up adoption, and faster integrations while keeping the commercial platform differentiated.</w:t>
            </w:r>
          </w:p>
        </w:tc>
      </w:tr>
      <w:tr>
        <w:tc>
          <w:tcPr>
            <w:tcW w:type="dxa" w:w="2448"/>
            <w:vAlign w:val="top"/>
            <w:shd w:fill="EAF2F8"/>
          </w:tcPr>
          <w:p>
            <w:r>
              <w:rPr>
                <w:b/>
                <w:color w:val="1F4E79"/>
                <w:sz w:val="16"/>
              </w:rPr>
              <w:t>Pricing / packaging logic</w:t>
            </w:r>
          </w:p>
        </w:tc>
        <w:tc>
          <w:tcPr>
            <w:tcW w:type="dxa" w:w="8352"/>
            <w:vAlign w:val="top"/>
          </w:tcPr>
          <w:p>
            <w:r>
              <w:rPr>
                <w:sz w:val="16"/>
              </w:rPr>
              <w:t>Free sandbox and limited usage; paid API tiers; enterprise API limits, hosted services, partner certification, and premium support.</w:t>
            </w:r>
          </w:p>
        </w:tc>
      </w:tr>
    </w:tbl>
    <w:p>
      <w:pPr>
        <w:pStyle w:val="Heading3"/>
      </w:pPr>
      <w:r>
        <w:t>CTO final pathway</w:t>
      </w:r>
    </w:p>
    <w:p>
      <w:pPr>
        <w:spacing w:after="80"/>
      </w:pPr>
      <w:r>
        <w:t>Build GreenLang SDK/API/CLI as a modular product on the shared substrate. The release target is FY27; GA is gated for FY27 Q4. Public API stability after core object model is stable Docs must include examples and error cases</w:t>
      </w:r>
    </w:p>
    <w:p>
      <w:pPr>
        <w:pStyle w:val="Heading3"/>
      </w:pPr>
      <w:r>
        <w:t>Why it exists</w:t>
      </w:r>
    </w:p>
    <w:p>
      <w:pPr>
        <w:spacing w:after="80"/>
      </w:pPr>
      <w:r>
        <w:t>Every large enterprise eventually wants to embed climate logic in their own data stack, not just log into a dashboard. Most climate vendors ship only UIs; a few have APIs; almost none have first-class developer ergonomics. That's where platform moats are built.</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software developers</w:t>
              <w:br/>
              <w:t>data engineers</w:t>
              <w:br/>
              <w:t>climate-tech partners</w:t>
              <w:br/>
              <w:t>system integrators</w:t>
              <w:br/>
              <w:t>consultants</w:t>
              <w:br/>
              <w:t>internal product engineers</w:t>
            </w:r>
          </w:p>
        </w:tc>
      </w:tr>
      <w:tr>
        <w:tc>
          <w:tcPr>
            <w:tcW w:type="dxa" w:w="3024"/>
            <w:vAlign w:val="top"/>
          </w:tcPr>
          <w:p>
            <w:r>
              <w:rPr>
                <w:sz w:val="16"/>
              </w:rPr>
              <w:t>Jobs to be done</w:t>
            </w:r>
          </w:p>
        </w:tc>
        <w:tc>
          <w:tcPr>
            <w:tcW w:type="dxa" w:w="8640"/>
            <w:vAlign w:val="top"/>
          </w:tcPr>
          <w:p>
            <w:r>
              <w:rPr>
                <w:sz w:val="16"/>
              </w:rPr>
              <w:t>Call GreenLang APIs in production</w:t>
              <w:br/>
              <w:t>Run local calculations and tests</w:t>
              <w:br/>
              <w:t>Upload activity data and evidence</w:t>
              <w:br/>
              <w:t>Query ledger, factors, policies, and product footprints</w:t>
              <w:br/>
              <w:t>Build partner integrations and automation scripts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Python SDK (greenlang), TypeScript SDK (@greenlang/sdk), CLI (greenlang).</w:t>
              <w:br/>
              <w:t>First-class Jupyter notebook support with charting.</w:t>
              <w:br/>
              <w:t>Native SQL-over-HTTP to Climate Ledger.</w:t>
              <w:br/>
              <w:t>REST + GraphQL APIs with strict versioning.</w:t>
              <w:br/>
              <w:t>Auth: API keys, OAuth, SSO-backed tokens.</w:t>
              <w:br/>
              <w:t>Local dev mode with fixtures and sandbox.</w:t>
              <w:br/>
              <w:t>Examples gallery: CBAM calc, PCF for a bottle, CSRD E1 roll-up, PPA analysis.</w:t>
              <w:br/>
              <w:t>Open-core packaging: permissive license on SDK with commercial add-ons on hosted side.</w:t>
            </w:r>
          </w:p>
        </w:tc>
      </w:tr>
      <w:tr>
        <w:tc>
          <w:tcPr>
            <w:tcW w:type="dxa" w:w="3456"/>
            <w:vAlign w:val="top"/>
          </w:tcPr>
          <w:p>
            <w:r>
              <w:rPr>
                <w:sz w:val="16"/>
              </w:rPr>
              <w:t>In-scope product modules</w:t>
            </w:r>
          </w:p>
        </w:tc>
        <w:tc>
          <w:tcPr>
            <w:tcW w:type="dxa" w:w="8352"/>
            <w:vAlign w:val="top"/>
          </w:tcPr>
          <w:p>
            <w:r>
              <w:rPr>
                <w:sz w:val="16"/>
              </w:rPr>
              <w:t>REST/GraphQL APIs where appropriate</w:t>
              <w:br/>
              <w:t>Python/TypeScript SDKs</w:t>
              <w:br/>
              <w:t>CLI</w:t>
              <w:br/>
              <w:t>webhooks</w:t>
              <w:br/>
              <w:t>sandbox tenant</w:t>
              <w:br/>
              <w:t>documentation portal</w:t>
              <w:br/>
              <w:t>examples and notebooks</w:t>
              <w:br/>
              <w:t>API keys and service accounts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API requests/responses</w:t>
              <w:br/>
              <w:t>developer accounts</w:t>
              <w:br/>
              <w:t>sandbox data</w:t>
              <w:br/>
              <w:t>webhook events</w:t>
              <w:br/>
              <w:t>usage metrics</w:t>
              <w:br/>
              <w:t>integration metadata</w:t>
            </w:r>
          </w:p>
        </w:tc>
      </w:tr>
      <w:tr>
        <w:tc>
          <w:tcPr>
            <w:tcW w:type="dxa" w:w="3384"/>
            <w:vAlign w:val="top"/>
          </w:tcPr>
          <w:p>
            <w:r>
              <w:rPr>
                <w:sz w:val="16"/>
              </w:rPr>
              <w:t>External/product integrations</w:t>
            </w:r>
          </w:p>
        </w:tc>
        <w:tc>
          <w:tcPr>
            <w:tcW w:type="dxa" w:w="8496"/>
            <w:vAlign w:val="top"/>
          </w:tcPr>
          <w:p>
            <w:r>
              <w:rPr>
                <w:sz w:val="16"/>
              </w:rPr>
              <w:t>all GreenLang platform modules; partner applications; data warehouses; workflow tools; CI/CD systems</w:t>
            </w:r>
          </w:p>
        </w:tc>
      </w:tr>
      <w:tr>
        <w:tc>
          <w:tcPr>
            <w:tcW w:type="dxa" w:w="3384"/>
            <w:vAlign w:val="top"/>
          </w:tcPr>
          <w:p>
            <w:r>
              <w:rPr>
                <w:sz w:val="16"/>
              </w:rPr>
              <w:t>GreenLang dependencies</w:t>
            </w:r>
          </w:p>
        </w:tc>
        <w:tc>
          <w:tcPr>
            <w:tcW w:type="dxa" w:w="8496"/>
            <w:vAlign w:val="top"/>
          </w:tcPr>
          <w:p>
            <w:r>
              <w:rPr>
                <w:sz w:val="16"/>
              </w:rPr>
              <w:t>Factors; Connect; Climate Ledger; Evidence Vault; Policy Graph; Agent Runtime</w:t>
            </w:r>
          </w:p>
        </w:tc>
      </w:tr>
      <w:tr>
        <w:tc>
          <w:tcPr>
            <w:tcW w:type="dxa" w:w="3384"/>
            <w:vAlign w:val="top"/>
          </w:tcPr>
          <w:p>
            <w:r>
              <w:rPr>
                <w:sz w:val="16"/>
              </w:rPr>
              <w:t>Customer outputs and deliverables</w:t>
            </w:r>
          </w:p>
        </w:tc>
        <w:tc>
          <w:tcPr>
            <w:tcW w:type="dxa" w:w="8496"/>
            <w:vAlign w:val="top"/>
          </w:tcPr>
          <w:p>
            <w:r>
              <w:rPr>
                <w:sz w:val="16"/>
              </w:rPr>
              <w:t>API docs</w:t>
              <w:br/>
              <w:t>sample apps</w:t>
              <w:br/>
              <w:t>CLI workflows</w:t>
              <w:br/>
              <w:t>webhook events</w:t>
              <w:br/>
              <w:t>usage dashboards</w:t>
              <w:br/>
              <w:t>developer certification artifacts</w:t>
            </w:r>
          </w:p>
        </w:tc>
      </w:tr>
    </w:tbl>
    <w:p>
      <w:pPr>
        <w:pStyle w:val="Heading3"/>
      </w:pPr>
      <w:r>
        <w:t>AI and automation behavior</w:t>
      </w:r>
    </w:p>
    <w:p>
      <w:pPr>
        <w:pStyle w:val="ListBullet"/>
        <w:spacing w:after="20"/>
      </w:pPr>
      <w:r>
        <w:t>developer assistant for API usage</w:t>
      </w:r>
    </w:p>
    <w:p>
      <w:pPr>
        <w:pStyle w:val="ListBullet"/>
        <w:spacing w:after="20"/>
      </w:pPr>
      <w:r>
        <w:t>code example generation</w:t>
      </w:r>
    </w:p>
    <w:p>
      <w:pPr>
        <w:pStyle w:val="ListBullet"/>
        <w:spacing w:after="20"/>
      </w:pPr>
      <w:r>
        <w:t>integration debugging assistant</w:t>
      </w:r>
    </w:p>
    <w:p>
      <w:pPr>
        <w:pStyle w:val="ListBullet"/>
        <w:spacing w:after="20"/>
      </w:pPr>
      <w:r>
        <w:t>API anomaly detection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Python SDK only, Factors + Ledger endpoints.</w:t>
            </w:r>
          </w:p>
        </w:tc>
      </w:tr>
      <w:tr>
        <w:tc>
          <w:tcPr>
            <w:tcW w:type="dxa" w:w="1872"/>
            <w:vAlign w:val="top"/>
          </w:tcPr>
          <w:p>
            <w:r>
              <w:rPr>
                <w:sz w:val="16"/>
              </w:rPr>
              <w:t>v0.5 Closed Beta</w:t>
            </w:r>
          </w:p>
        </w:tc>
        <w:tc>
          <w:tcPr>
            <w:tcW w:type="dxa" w:w="2304"/>
            <w:vAlign w:val="top"/>
          </w:tcPr>
          <w:p>
            <w:r>
              <w:rPr>
                <w:sz w:val="16"/>
              </w:rPr>
              <w:t>FY27 Q2</w:t>
            </w:r>
          </w:p>
        </w:tc>
        <w:tc>
          <w:tcPr>
            <w:tcW w:type="dxa" w:w="7776"/>
            <w:vAlign w:val="top"/>
          </w:tcPr>
          <w:p>
            <w:r>
              <w:rPr>
                <w:sz w:val="16"/>
              </w:rPr>
              <w:t>TS SDK + CLI; notebook integration.</w:t>
            </w:r>
          </w:p>
        </w:tc>
      </w:tr>
      <w:tr>
        <w:tc>
          <w:tcPr>
            <w:tcW w:type="dxa" w:w="1872"/>
            <w:vAlign w:val="top"/>
          </w:tcPr>
          <w:p>
            <w:r>
              <w:rPr>
                <w:sz w:val="16"/>
              </w:rPr>
              <w:t>v0.9 Public Beta</w:t>
            </w:r>
          </w:p>
        </w:tc>
        <w:tc>
          <w:tcPr>
            <w:tcW w:type="dxa" w:w="2304"/>
            <w:vAlign w:val="top"/>
          </w:tcPr>
          <w:p>
            <w:r>
              <w:rPr>
                <w:sz w:val="16"/>
              </w:rPr>
              <w:t>FY27 Q3</w:t>
            </w:r>
          </w:p>
        </w:tc>
        <w:tc>
          <w:tcPr>
            <w:tcW w:type="dxa" w:w="7776"/>
            <w:vAlign w:val="top"/>
          </w:tcPr>
          <w:p>
            <w:r>
              <w:rPr>
                <w:sz w:val="16"/>
              </w:rPr>
              <w:t>Full REST/GraphQL; examples gallery; PyPI/npm public release.</w:t>
            </w:r>
          </w:p>
        </w:tc>
      </w:tr>
      <w:tr>
        <w:tc>
          <w:tcPr>
            <w:tcW w:type="dxa" w:w="1872"/>
            <w:vAlign w:val="top"/>
          </w:tcPr>
          <w:p>
            <w:r>
              <w:rPr>
                <w:sz w:val="16"/>
              </w:rPr>
              <w:t>v1.0 GA</w:t>
            </w:r>
          </w:p>
        </w:tc>
        <w:tc>
          <w:tcPr>
            <w:tcW w:type="dxa" w:w="2304"/>
            <w:vAlign w:val="top"/>
          </w:tcPr>
          <w:p>
            <w:r>
              <w:rPr>
                <w:sz w:val="16"/>
              </w:rPr>
              <w:t>FY27 Q4</w:t>
            </w:r>
          </w:p>
        </w:tc>
        <w:tc>
          <w:tcPr>
            <w:tcW w:type="dxa" w:w="7776"/>
            <w:vAlign w:val="top"/>
          </w:tcPr>
          <w:p>
            <w:r>
              <w:rPr>
                <w:sz w:val="16"/>
              </w:rPr>
              <w:t>Versioning policy, breaking-change guarantees, contributor licensing agreement.</w:t>
            </w:r>
          </w:p>
        </w:tc>
      </w:tr>
      <w:tr>
        <w:tc>
          <w:tcPr>
            <w:tcW w:type="dxa" w:w="1872"/>
            <w:vAlign w:val="top"/>
          </w:tcPr>
          <w:p>
            <w:r>
              <w:rPr>
                <w:sz w:val="16"/>
              </w:rPr>
              <w:t>v1.5</w:t>
            </w:r>
          </w:p>
        </w:tc>
        <w:tc>
          <w:tcPr>
            <w:tcW w:type="dxa" w:w="2304"/>
            <w:vAlign w:val="top"/>
          </w:tcPr>
          <w:p>
            <w:r>
              <w:rPr>
                <w:sz w:val="16"/>
              </w:rPr>
              <w:t>FY28 Q3</w:t>
            </w:r>
          </w:p>
        </w:tc>
        <w:tc>
          <w:tcPr>
            <w:tcW w:type="dxa" w:w="7776"/>
            <w:vAlign w:val="top"/>
          </w:tcPr>
          <w:p>
            <w:r>
              <w:rPr>
                <w:sz w:val="16"/>
              </w:rPr>
              <w:t>Local dev mode with fixtures; CI integration guides for GitHub Actions.</w:t>
            </w:r>
          </w:p>
        </w:tc>
      </w:tr>
      <w:tr>
        <w:tc>
          <w:tcPr>
            <w:tcW w:type="dxa" w:w="1872"/>
            <w:vAlign w:val="top"/>
          </w:tcPr>
          <w:p>
            <w:r>
              <w:rPr>
                <w:sz w:val="16"/>
              </w:rPr>
              <w:t>v2.0</w:t>
            </w:r>
          </w:p>
        </w:tc>
        <w:tc>
          <w:tcPr>
            <w:tcW w:type="dxa" w:w="2304"/>
            <w:vAlign w:val="top"/>
          </w:tcPr>
          <w:p>
            <w:r>
              <w:rPr>
                <w:sz w:val="16"/>
              </w:rPr>
              <w:t>FY29 Q2</w:t>
            </w:r>
          </w:p>
        </w:tc>
        <w:tc>
          <w:tcPr>
            <w:tcW w:type="dxa" w:w="7776"/>
            <w:vAlign w:val="top"/>
          </w:tcPr>
          <w:p>
            <w:r>
              <w:rPr>
                <w:sz w:val="16"/>
              </w:rPr>
              <w:t>Agent SDK surface; first 1,000 community-contributed examples.</w:t>
            </w:r>
          </w:p>
        </w:tc>
      </w:tr>
      <w:tr>
        <w:tc>
          <w:tcPr>
            <w:tcW w:type="dxa" w:w="1872"/>
            <w:vAlign w:val="top"/>
          </w:tcPr>
          <w:p>
            <w:r>
              <w:rPr>
                <w:sz w:val="16"/>
              </w:rPr>
              <w:t>v2.5</w:t>
            </w:r>
          </w:p>
        </w:tc>
        <w:tc>
          <w:tcPr>
            <w:tcW w:type="dxa" w:w="2304"/>
            <w:vAlign w:val="top"/>
          </w:tcPr>
          <w:p>
            <w:r>
              <w:rPr>
                <w:sz w:val="16"/>
              </w:rPr>
              <w:t>FY30 Q2</w:t>
            </w:r>
          </w:p>
        </w:tc>
        <w:tc>
          <w:tcPr>
            <w:tcW w:type="dxa" w:w="7776"/>
            <w:vAlign w:val="top"/>
          </w:tcPr>
          <w:p>
            <w:r>
              <w:rPr>
                <w:sz w:val="16"/>
              </w:rPr>
              <w:t>Partner ISV certification program.</w:t>
            </w:r>
          </w:p>
        </w:tc>
      </w:tr>
      <w:tr>
        <w:tc>
          <w:tcPr>
            <w:tcW w:type="dxa" w:w="1872"/>
            <w:vAlign w:val="top"/>
          </w:tcPr>
          <w:p>
            <w:r>
              <w:rPr>
                <w:sz w:val="16"/>
              </w:rPr>
              <w:t>v3.0</w:t>
            </w:r>
          </w:p>
        </w:tc>
        <w:tc>
          <w:tcPr>
            <w:tcW w:type="dxa" w:w="2304"/>
            <w:vAlign w:val="top"/>
          </w:tcPr>
          <w:p>
            <w:r>
              <w:rPr>
                <w:sz w:val="16"/>
              </w:rPr>
              <w:t>FY31 Q1</w:t>
            </w:r>
          </w:p>
        </w:tc>
        <w:tc>
          <w:tcPr>
            <w:tcW w:type="dxa" w:w="7776"/>
            <w:vAlign w:val="top"/>
          </w:tcPr>
          <w:p>
            <w:r>
              <w:rPr>
                <w:sz w:val="16"/>
              </w:rPr>
              <w:t>Developer ecosystem at scale - 350k developers, ISV marketplace, community standards body (Foundation).</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Public API stability after core object model is stable</w:t>
      </w:r>
    </w:p>
    <w:p>
      <w:pPr>
        <w:pStyle w:val="ListBullet"/>
        <w:spacing w:after="20"/>
      </w:pPr>
      <w:r>
        <w:t>Docs must include examples and error cases</w:t>
      </w:r>
    </w:p>
    <w:p>
      <w:pPr>
        <w:pStyle w:val="ListBullet"/>
        <w:spacing w:after="20"/>
      </w:pPr>
      <w:r>
        <w:t>GA requires rate limits, key management, and changelog process</w:t>
      </w:r>
    </w:p>
    <w:p>
      <w:pPr>
        <w:pStyle w:val="ListBullet"/>
        <w:spacing w:after="20"/>
      </w:pPr>
      <w:r>
        <w:t>Breaking changes require versioned migration path</w:t>
      </w:r>
    </w:p>
    <w:p>
      <w:pPr>
        <w:pStyle w:val="Heading3"/>
      </w:pPr>
      <w:r>
        <w:t>Key risks to actively manage</w:t>
      </w:r>
    </w:p>
    <w:p>
      <w:pPr>
        <w:pStyle w:val="ListBullet"/>
        <w:spacing w:after="20"/>
      </w:pPr>
      <w:r>
        <w:t>unstable APIs harming developers</w:t>
      </w:r>
    </w:p>
    <w:p>
      <w:pPr>
        <w:pStyle w:val="ListBullet"/>
        <w:spacing w:after="20"/>
      </w:pPr>
      <w:r>
        <w:t>support burden from free users</w:t>
      </w:r>
    </w:p>
    <w:p>
      <w:pPr>
        <w:pStyle w:val="ListBullet"/>
        <w:spacing w:after="20"/>
      </w:pPr>
      <w:r>
        <w:t>security exposure through APIs</w:t>
      </w:r>
    </w:p>
    <w:p>
      <w:pPr>
        <w:pStyle w:val="ListBullet"/>
        <w:spacing w:after="20"/>
      </w:pPr>
      <w:r>
        <w:t>unclear open-core boundaries</w:t>
      </w:r>
    </w:p>
    <w:p>
      <w:pPr>
        <w:pStyle w:val="Heading3"/>
      </w:pPr>
      <w:r>
        <w:t>Success metrics</w:t>
      </w:r>
    </w:p>
    <w:p>
      <w:pPr>
        <w:pStyle w:val="ListBullet"/>
        <w:spacing w:after="20"/>
      </w:pPr>
      <w:r>
        <w:t>active developers</w:t>
      </w:r>
    </w:p>
    <w:p>
      <w:pPr>
        <w:pStyle w:val="ListBullet"/>
        <w:spacing w:after="20"/>
      </w:pPr>
      <w:r>
        <w:t>API retention</w:t>
      </w:r>
    </w:p>
    <w:p>
      <w:pPr>
        <w:pStyle w:val="ListBullet"/>
        <w:spacing w:after="20"/>
      </w:pPr>
      <w:r>
        <w:t>time-to-first-successful-call</w:t>
      </w:r>
    </w:p>
    <w:p>
      <w:pPr>
        <w:pStyle w:val="ListBullet"/>
        <w:spacing w:after="20"/>
      </w:pPr>
      <w:r>
        <w:t>SDK downloads</w:t>
      </w:r>
    </w:p>
    <w:p>
      <w:pPr>
        <w:pStyle w:val="ListBullet"/>
        <w:spacing w:after="20"/>
      </w:pPr>
      <w:r>
        <w:t>partner integrations</w:t>
      </w:r>
    </w:p>
    <w:p>
      <w:pPr>
        <w:pStyle w:val="ListBullet"/>
        <w:spacing w:after="20"/>
      </w:pPr>
      <w:r>
        <w:t>Compliance Cloud</w:t>
      </w:r>
    </w:p>
    <w:p>
      <w:pPr>
        <w:pStyle w:val="Heading3"/>
      </w:pPr>
      <w:r>
        <w:t>Dependency notes</w:t>
      </w:r>
    </w:p>
    <w:p>
      <w:pPr>
        <w:pStyle w:val="ListBullet"/>
        <w:spacing w:after="20"/>
      </w:pPr>
      <w:r>
        <w:t>Upstream: all platform services.</w:t>
      </w:r>
    </w:p>
    <w:p>
      <w:pPr>
        <w:pStyle w:val="ListBullet"/>
        <w:spacing w:after="20"/>
      </w:pPr>
      <w:r>
        <w:t>Downstream: adoption of everything else in the portfolio.</w:t>
      </w:r>
    </w:p>
    <w:p>
      <w:pPr>
        <w:pStyle w:val="ListBullet"/>
        <w:spacing w:after="20"/>
      </w:pPr>
      <w:r>
        <w:t>4. Compliance Cloud</w:t>
      </w:r>
    </w:p>
    <w:p>
      <w:pPr>
        <w:pStyle w:val="ListBullet"/>
        <w:spacing w:after="20"/>
      </w:pPr>
      <w:r>
        <w:t>This chapter covers 3 products in the Compliance Cloud. Each product is specified at PRD-lite depth: definition, buyer, core capabilities, data/integrations, revenue model, full version roadmap, success KPIs, and upstream/downstream dependencies.</w:t>
      </w:r>
    </w:p>
    <w:p>
      <w:r>
        <w:br w:type="page"/>
      </w:r>
    </w:p>
    <w:p>
      <w:pPr>
        <w:pStyle w:val="Heading1"/>
      </w:pPr>
      <w:r>
        <w:t>Compliance Cloud</w:t>
      </w:r>
    </w:p>
    <w:p>
      <w:pPr>
        <w:spacing w:after="80"/>
      </w:pPr>
      <w:r>
        <w:t>Proceed as the first commercial wedge. Keep the initial surface narrow, revenue-backed, and assurance-ready. Use Comply, CBAM, and Scope Engine to prove the data model, paid demand, and customer onboarding path.</w:t>
      </w:r>
    </w:p>
    <w:p>
      <w:r>
        <w:br w:type="page"/>
      </w:r>
    </w:p>
    <w:p>
      <w:pPr>
        <w:pStyle w:val="Heading2"/>
      </w:pPr>
      <w:r>
        <w:t>9. GreenLang Comply</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FY28 Q2</w:t>
            </w:r>
          </w:p>
        </w:tc>
      </w:tr>
      <w:tr>
        <w:tc>
          <w:tcPr>
            <w:tcW w:type="dxa" w:w="2448"/>
            <w:vAlign w:val="top"/>
            <w:shd w:fill="EAF2F8"/>
          </w:tcPr>
          <w:p>
            <w:r>
              <w:rPr>
                <w:b/>
                <w:color w:val="1F4E79"/>
                <w:sz w:val="16"/>
              </w:rPr>
              <w:t>Cloud / squad</w:t>
            </w:r>
          </w:p>
        </w:tc>
        <w:tc>
          <w:tcPr>
            <w:tcW w:type="dxa" w:w="8352"/>
            <w:vAlign w:val="top"/>
          </w:tcPr>
          <w:p>
            <w:r>
              <w:rPr>
                <w:sz w:val="16"/>
              </w:rPr>
              <w:t>Compliance Cloud / Compliance Wedge Squad</w:t>
            </w:r>
          </w:p>
        </w:tc>
      </w:tr>
      <w:tr>
        <w:tc>
          <w:tcPr>
            <w:tcW w:type="dxa" w:w="2448"/>
            <w:vAlign w:val="top"/>
            <w:shd w:fill="EAF2F8"/>
          </w:tcPr>
          <w:p>
            <w:r>
              <w:rPr>
                <w:b/>
                <w:color w:val="1F4E79"/>
                <w:sz w:val="16"/>
              </w:rPr>
              <w:t>Primary buyer</w:t>
            </w:r>
          </w:p>
        </w:tc>
        <w:tc>
          <w:tcPr>
            <w:tcW w:type="dxa" w:w="8352"/>
            <w:vAlign w:val="top"/>
          </w:tcPr>
          <w:p>
            <w:r>
              <w:rPr>
                <w:sz w:val="16"/>
              </w:rPr>
              <w:t>Large enterprises, exporters, regulated companies, sustainability and finance controllers</w:t>
            </w:r>
          </w:p>
        </w:tc>
      </w:tr>
      <w:tr>
        <w:tc>
          <w:tcPr>
            <w:tcW w:type="dxa" w:w="2448"/>
            <w:vAlign w:val="top"/>
            <w:shd w:fill="EAF2F8"/>
          </w:tcPr>
          <w:p>
            <w:r>
              <w:rPr>
                <w:b/>
                <w:color w:val="1F4E79"/>
                <w:sz w:val="16"/>
              </w:rPr>
              <w:t>Revenue model</w:t>
            </w:r>
          </w:p>
        </w:tc>
        <w:tc>
          <w:tcPr>
            <w:tcW w:type="dxa" w:w="8352"/>
            <w:vAlign w:val="top"/>
          </w:tcPr>
          <w:p>
            <w:r>
              <w:rPr>
                <w:sz w:val="16"/>
              </w:rPr>
              <w:t>ACV subscription</w:t>
            </w:r>
          </w:p>
        </w:tc>
      </w:tr>
      <w:tr>
        <w:tc>
          <w:tcPr>
            <w:tcW w:type="dxa" w:w="2448"/>
            <w:vAlign w:val="top"/>
            <w:shd w:fill="EAF2F8"/>
          </w:tcPr>
          <w:p>
            <w:r>
              <w:rPr>
                <w:b/>
                <w:color w:val="1F4E79"/>
                <w:sz w:val="16"/>
              </w:rPr>
              <w:t>Definition</w:t>
            </w:r>
          </w:p>
        </w:tc>
        <w:tc>
          <w:tcPr>
            <w:tcW w:type="dxa" w:w="8352"/>
            <w:vAlign w:val="top"/>
          </w:tcPr>
          <w:p>
            <w:r>
              <w:rPr>
                <w:sz w:val="16"/>
              </w:rPr>
              <w:t>The enterprise climate compliance workspace for reporting calendar management, data collection, disclosure workflows, assurance preparation, internal controls, and board/CFO-ready reporting across priority jurisdictions and frameworks.</w:t>
            </w:r>
          </w:p>
        </w:tc>
      </w:tr>
      <w:tr>
        <w:tc>
          <w:tcPr>
            <w:tcW w:type="dxa" w:w="2448"/>
            <w:vAlign w:val="top"/>
            <w:shd w:fill="EAF2F8"/>
          </w:tcPr>
          <w:p>
            <w:r>
              <w:rPr>
                <w:b/>
                <w:color w:val="1F4E79"/>
                <w:sz w:val="16"/>
              </w:rPr>
              <w:t>Strategic role</w:t>
            </w:r>
          </w:p>
        </w:tc>
        <w:tc>
          <w:tcPr>
            <w:tcW w:type="dxa" w:w="8352"/>
            <w:vAlign w:val="top"/>
          </w:tcPr>
          <w:p>
            <w:r>
              <w:rPr>
                <w:sz w:val="16"/>
              </w:rPr>
              <w:t>This is the first commercial wedge that converts regulatory urgency into platform ARR and pulls in Connect, Ledger, Evidence Vault, Policy Graph, Factors, and Scope Engine.</w:t>
            </w:r>
          </w:p>
        </w:tc>
      </w:tr>
      <w:tr>
        <w:tc>
          <w:tcPr>
            <w:tcW w:type="dxa" w:w="2448"/>
            <w:vAlign w:val="top"/>
            <w:shd w:fill="EAF2F8"/>
          </w:tcPr>
          <w:p>
            <w:r>
              <w:rPr>
                <w:b/>
                <w:color w:val="1F4E79"/>
                <w:sz w:val="16"/>
              </w:rPr>
              <w:t>Pricing / packaging logic</w:t>
            </w:r>
          </w:p>
        </w:tc>
        <w:tc>
          <w:tcPr>
            <w:tcW w:type="dxa" w:w="8352"/>
            <w:vAlign w:val="top"/>
          </w:tcPr>
          <w:p>
            <w:r>
              <w:rPr>
                <w:sz w:val="16"/>
              </w:rPr>
              <w:t>Enterprise annual subscription by entity count, jurisdictions, reporting frameworks, and assurance workflows. Implementation services in year one should decline as connectors mature.</w:t>
            </w:r>
          </w:p>
        </w:tc>
      </w:tr>
    </w:tbl>
    <w:p>
      <w:pPr>
        <w:pStyle w:val="Heading3"/>
      </w:pPr>
      <w:r>
        <w:t>CTO final pathway</w:t>
      </w:r>
    </w:p>
    <w:p>
      <w:pPr>
        <w:spacing w:after="80"/>
      </w:pPr>
      <w:r>
        <w:t>Build GreenLang Comply as a modular product on the shared substrate. The release target is FY27; GA is gated for FY28 Q2. Launch only on limited initial jurisdictions tied to paid demand GA requires successful paid pilot and auditor feedback</w:t>
      </w:r>
    </w:p>
    <w:p>
      <w:pPr>
        <w:pStyle w:val="Heading3"/>
      </w:pPr>
      <w:r>
        <w:t>Why it exists</w:t>
      </w:r>
    </w:p>
    <w:p>
      <w:pPr>
        <w:spacing w:after="80"/>
      </w:pPr>
      <w:r>
        <w:t>Every large enterprise is now juggling 3-7 overlapping disclosures. Workiva, Persefoni, Watershed, and a dozen consultancies all do parts of this. What's missing is a single, audit-defensible workbench that starts from the same Ledger and ends in filed reports with assurance-ready evidence.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sustainability heads</w:t>
              <w:br/>
              <w:t>finance controllers</w:t>
              <w:br/>
              <w:t>ESG reporting teams</w:t>
              <w:br/>
              <w:t>legal/compliance teams</w:t>
              <w:br/>
              <w:t>auditors</w:t>
              <w:br/>
              <w:t>executive reviewers</w:t>
            </w:r>
          </w:p>
        </w:tc>
      </w:tr>
      <w:tr>
        <w:tc>
          <w:tcPr>
            <w:tcW w:type="dxa" w:w="3024"/>
            <w:vAlign w:val="top"/>
          </w:tcPr>
          <w:p>
            <w:r>
              <w:rPr>
                <w:sz w:val="16"/>
              </w:rPr>
              <w:t>Jobs to be done</w:t>
            </w:r>
          </w:p>
        </w:tc>
        <w:tc>
          <w:tcPr>
            <w:tcW w:type="dxa" w:w="8640"/>
            <w:vAlign w:val="top"/>
          </w:tcPr>
          <w:p>
            <w:r>
              <w:rPr>
                <w:sz w:val="16"/>
              </w:rPr>
              <w:t>Determine applicable disclosures</w:t>
              <w:br/>
              <w:t>Collect data from entities and facilities</w:t>
              <w:br/>
              <w:t>Track report preparation and approvals</w:t>
              <w:br/>
              <w:t>Generate audit-ready disclosure packs</w:t>
              <w:br/>
              <w:t>Manage restatements, control gaps, and deadlines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Framework coverage at GA: CSRD/ESRS E1, ISSB S1/S2, CDP, BRSR, SB 253 (Scope 1/2 year 1), SBTi target tracking.</w:t>
              <w:br/>
              <w:t>Datapoint mapping from Ledger to framework-specific disclosures (via Policy Graph).</w:t>
              <w:br/>
              <w:t>Narrative authoring: controlled vocabularies, version control, approval workflows.</w:t>
              <w:br/>
              <w:t>XBRL tagging for ESRS and ISSB filings.</w:t>
              <w:br/>
              <w:t>Double-materiality assessment module.</w:t>
              <w:br/>
              <w:t>Auditor collaboration mode: read-only access with comment threads.</w:t>
              <w:br/>
              <w:t>Dashboard for CFO/CSO with exposure, progress, and risk.</w:t>
              <w:br/>
              <w:t>Auto-generated management commentary from Ledger data (reviewed by humans).</w:t>
            </w:r>
          </w:p>
        </w:tc>
      </w:tr>
      <w:tr>
        <w:tc>
          <w:tcPr>
            <w:tcW w:type="dxa" w:w="3456"/>
            <w:vAlign w:val="top"/>
          </w:tcPr>
          <w:p>
            <w:r>
              <w:rPr>
                <w:sz w:val="16"/>
              </w:rPr>
              <w:t>In-scope product modules</w:t>
            </w:r>
          </w:p>
        </w:tc>
        <w:tc>
          <w:tcPr>
            <w:tcW w:type="dxa" w:w="8352"/>
            <w:vAlign w:val="top"/>
          </w:tcPr>
          <w:p>
            <w:r>
              <w:rPr>
                <w:sz w:val="16"/>
              </w:rPr>
              <w:t>reporting calendar</w:t>
              <w:br/>
              <w:t>applicability questionnaire</w:t>
              <w:br/>
              <w:t>data collection workflow</w:t>
              <w:br/>
              <w:t>control and approval matrix</w:t>
              <w:br/>
              <w:t>disclosure templates</w:t>
              <w:br/>
              <w:t>assurance prep workspace</w:t>
              <w:br/>
              <w:t>executive dashboards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entity hierarchy</w:t>
              <w:br/>
              <w:t>reporting obligations</w:t>
              <w:br/>
              <w:t>activity data</w:t>
              <w:br/>
              <w:t>emissions results</w:t>
              <w:br/>
              <w:t>evidence</w:t>
              <w:br/>
              <w:t>approvals</w:t>
              <w:br/>
              <w:t>control owners</w:t>
              <w:br/>
              <w:t>deadlines</w:t>
              <w:br/>
              <w:t>disclosure drafts</w:t>
            </w:r>
          </w:p>
        </w:tc>
      </w:tr>
      <w:tr>
        <w:tc>
          <w:tcPr>
            <w:tcW w:type="dxa" w:w="3384"/>
            <w:vAlign w:val="top"/>
          </w:tcPr>
          <w:p>
            <w:r>
              <w:rPr>
                <w:sz w:val="16"/>
              </w:rPr>
              <w:t>External/product integrations</w:t>
            </w:r>
          </w:p>
        </w:tc>
        <w:tc>
          <w:tcPr>
            <w:tcW w:type="dxa" w:w="8496"/>
            <w:vAlign w:val="top"/>
          </w:tcPr>
          <w:p>
            <w:r>
              <w:rPr>
                <w:sz w:val="16"/>
              </w:rPr>
              <w:t>Connect; Climate Ledger; Evidence Vault; Policy Graph; Scope Engine; ERP/procurement/utility systems; document export tools</w:t>
            </w:r>
          </w:p>
        </w:tc>
      </w:tr>
      <w:tr>
        <w:tc>
          <w:tcPr>
            <w:tcW w:type="dxa" w:w="3384"/>
            <w:vAlign w:val="top"/>
          </w:tcPr>
          <w:p>
            <w:r>
              <w:rPr>
                <w:sz w:val="16"/>
              </w:rPr>
              <w:t>GreenLang dependencies</w:t>
            </w:r>
          </w:p>
        </w:tc>
        <w:tc>
          <w:tcPr>
            <w:tcW w:type="dxa" w:w="8496"/>
            <w:vAlign w:val="top"/>
          </w:tcPr>
          <w:p>
            <w:r>
              <w:rPr>
                <w:sz w:val="16"/>
              </w:rPr>
              <w:t>Climate Ledger; Evidence Vault; Policy Graph; Scope Engine; Connect; Entity Graph</w:t>
            </w:r>
          </w:p>
        </w:tc>
      </w:tr>
      <w:tr>
        <w:tc>
          <w:tcPr>
            <w:tcW w:type="dxa" w:w="3384"/>
            <w:vAlign w:val="top"/>
          </w:tcPr>
          <w:p>
            <w:r>
              <w:rPr>
                <w:sz w:val="16"/>
              </w:rPr>
              <w:t>Customer outputs and deliverables</w:t>
            </w:r>
          </w:p>
        </w:tc>
        <w:tc>
          <w:tcPr>
            <w:tcW w:type="dxa" w:w="8496"/>
            <w:vAlign w:val="top"/>
          </w:tcPr>
          <w:p>
            <w:r>
              <w:rPr>
                <w:sz w:val="16"/>
              </w:rPr>
              <w:t>compliance dashboard</w:t>
              <w:br/>
              <w:t>disclosure data pack</w:t>
              <w:br/>
              <w:t>audit binder</w:t>
              <w:br/>
              <w:t>board pack</w:t>
              <w:br/>
              <w:t>deadline register</w:t>
              <w:br/>
              <w:t>control gap report</w:t>
            </w:r>
          </w:p>
        </w:tc>
      </w:tr>
    </w:tbl>
    <w:p>
      <w:pPr>
        <w:pStyle w:val="Heading3"/>
      </w:pPr>
      <w:r>
        <w:t>AI and automation behavior</w:t>
      </w:r>
    </w:p>
    <w:p>
      <w:pPr>
        <w:pStyle w:val="ListBullet"/>
        <w:spacing w:after="20"/>
      </w:pPr>
      <w:r>
        <w:t>policy applicability assistant</w:t>
      </w:r>
    </w:p>
    <w:p>
      <w:pPr>
        <w:pStyle w:val="ListBullet"/>
        <w:spacing w:after="20"/>
      </w:pPr>
      <w:r>
        <w:t>evidence gap assistant</w:t>
      </w:r>
    </w:p>
    <w:p>
      <w:pPr>
        <w:pStyle w:val="ListBullet"/>
        <w:spacing w:after="20"/>
      </w:pPr>
      <w:r>
        <w:t>draft narrative generator with citations</w:t>
      </w:r>
    </w:p>
    <w:p>
      <w:pPr>
        <w:pStyle w:val="ListBullet"/>
        <w:spacing w:after="20"/>
      </w:pPr>
      <w:r>
        <w:t>control-risk summarizer</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Q2</w:t>
            </w:r>
          </w:p>
        </w:tc>
        <w:tc>
          <w:tcPr>
            <w:tcW w:type="dxa" w:w="7776"/>
            <w:vAlign w:val="top"/>
          </w:tcPr>
          <w:p>
            <w:r>
              <w:rPr>
                <w:sz w:val="16"/>
              </w:rPr>
              <w:t>CSRD E1 + ISSB S2 + CDP, 2 design partners.</w:t>
            </w:r>
          </w:p>
        </w:tc>
      </w:tr>
      <w:tr>
        <w:tc>
          <w:tcPr>
            <w:tcW w:type="dxa" w:w="1872"/>
            <w:vAlign w:val="top"/>
          </w:tcPr>
          <w:p>
            <w:r>
              <w:rPr>
                <w:sz w:val="16"/>
              </w:rPr>
              <w:t>v0.5 Closed Beta</w:t>
            </w:r>
          </w:p>
        </w:tc>
        <w:tc>
          <w:tcPr>
            <w:tcW w:type="dxa" w:w="2304"/>
            <w:vAlign w:val="top"/>
          </w:tcPr>
          <w:p>
            <w:r>
              <w:rPr>
                <w:sz w:val="16"/>
              </w:rPr>
              <w:t>FY27 Q3</w:t>
            </w:r>
          </w:p>
        </w:tc>
        <w:tc>
          <w:tcPr>
            <w:tcW w:type="dxa" w:w="7776"/>
            <w:vAlign w:val="top"/>
          </w:tcPr>
          <w:p>
            <w:r>
              <w:rPr>
                <w:sz w:val="16"/>
              </w:rPr>
              <w:t>SB 253 Scope 1/2, SBTi tracking, BRSR.</w:t>
            </w:r>
          </w:p>
        </w:tc>
      </w:tr>
      <w:tr>
        <w:tc>
          <w:tcPr>
            <w:tcW w:type="dxa" w:w="1872"/>
            <w:vAlign w:val="top"/>
          </w:tcPr>
          <w:p>
            <w:r>
              <w:rPr>
                <w:sz w:val="16"/>
              </w:rPr>
              <w:t>v0.9 Public Beta</w:t>
            </w:r>
          </w:p>
        </w:tc>
        <w:tc>
          <w:tcPr>
            <w:tcW w:type="dxa" w:w="2304"/>
            <w:vAlign w:val="top"/>
          </w:tcPr>
          <w:p>
            <w:r>
              <w:rPr>
                <w:sz w:val="16"/>
              </w:rPr>
              <w:t>FY27 Q4</w:t>
            </w:r>
          </w:p>
        </w:tc>
        <w:tc>
          <w:tcPr>
            <w:tcW w:type="dxa" w:w="7776"/>
            <w:vAlign w:val="top"/>
          </w:tcPr>
          <w:p>
            <w:r>
              <w:rPr>
                <w:sz w:val="16"/>
              </w:rPr>
              <w:t>Auditor collaboration; XBRL export; narrative versioning.</w:t>
            </w:r>
          </w:p>
        </w:tc>
      </w:tr>
      <w:tr>
        <w:tc>
          <w:tcPr>
            <w:tcW w:type="dxa" w:w="1872"/>
            <w:vAlign w:val="top"/>
          </w:tcPr>
          <w:p>
            <w:r>
              <w:rPr>
                <w:sz w:val="16"/>
              </w:rPr>
              <w:t>v1.0 GA</w:t>
            </w:r>
          </w:p>
        </w:tc>
        <w:tc>
          <w:tcPr>
            <w:tcW w:type="dxa" w:w="2304"/>
            <w:vAlign w:val="top"/>
          </w:tcPr>
          <w:p>
            <w:r>
              <w:rPr>
                <w:sz w:val="16"/>
              </w:rPr>
              <w:t>FY28 Q2</w:t>
            </w:r>
          </w:p>
        </w:tc>
        <w:tc>
          <w:tcPr>
            <w:tcW w:type="dxa" w:w="7776"/>
            <w:vAlign w:val="top"/>
          </w:tcPr>
          <w:p>
            <w:r>
              <w:rPr>
                <w:sz w:val="16"/>
              </w:rPr>
              <w:t>First customer-filed CSRD report successfully assured.</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Double-materiality module; ESRS E2/E3/E4/E5 additions.</w:t>
            </w:r>
          </w:p>
        </w:tc>
      </w:tr>
      <w:tr>
        <w:tc>
          <w:tcPr>
            <w:tcW w:type="dxa" w:w="1872"/>
            <w:vAlign w:val="top"/>
          </w:tcPr>
          <w:p>
            <w:r>
              <w:rPr>
                <w:sz w:val="16"/>
              </w:rPr>
              <w:t>v2.0</w:t>
            </w:r>
          </w:p>
        </w:tc>
        <w:tc>
          <w:tcPr>
            <w:tcW w:type="dxa" w:w="2304"/>
            <w:vAlign w:val="top"/>
          </w:tcPr>
          <w:p>
            <w:r>
              <w:rPr>
                <w:sz w:val="16"/>
              </w:rPr>
              <w:t>FY29 Q3</w:t>
            </w:r>
          </w:p>
        </w:tc>
        <w:tc>
          <w:tcPr>
            <w:tcW w:type="dxa" w:w="7776"/>
            <w:vAlign w:val="top"/>
          </w:tcPr>
          <w:p>
            <w:r>
              <w:rPr>
                <w:sz w:val="16"/>
              </w:rPr>
              <w:t>Sector-specific templates (auto, steel, cement, REITs, financials); SB 253 Scope 3.</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Real-time board dashboard; integrated with FinanceOS for financed emissions.</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Assurance-as-you-go - continuous controls testing, auditor consumes API instead of PDFs.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only on limited initial jurisdictions tied to paid demand</w:t>
      </w:r>
    </w:p>
    <w:p>
      <w:pPr>
        <w:pStyle w:val="ListBullet"/>
        <w:spacing w:after="20"/>
      </w:pPr>
      <w:r>
        <w:t>GA requires successful paid pilot and auditor feedback</w:t>
      </w:r>
    </w:p>
    <w:p>
      <w:pPr>
        <w:pStyle w:val="ListBullet"/>
        <w:spacing w:after="20"/>
      </w:pPr>
      <w:r>
        <w:t>No unsupported legal advice; cite policy objects</w:t>
      </w:r>
    </w:p>
    <w:p>
      <w:pPr>
        <w:pStyle w:val="ListBullet"/>
        <w:spacing w:after="20"/>
      </w:pPr>
      <w:r>
        <w:t>Every disclosure number must trace to ledger/evidence</w:t>
      </w:r>
    </w:p>
    <w:p>
      <w:pPr>
        <w:pStyle w:val="Heading3"/>
      </w:pPr>
      <w:r>
        <w:t>Key risks to actively manage</w:t>
      </w:r>
    </w:p>
    <w:p>
      <w:pPr>
        <w:pStyle w:val="ListBullet"/>
        <w:spacing w:after="20"/>
      </w:pPr>
      <w:r>
        <w:t>selling broad compliance before data foundation is ready</w:t>
      </w:r>
    </w:p>
    <w:p>
      <w:pPr>
        <w:pStyle w:val="ListBullet"/>
        <w:spacing w:after="20"/>
      </w:pPr>
      <w:r>
        <w:t>report templates changing</w:t>
      </w:r>
    </w:p>
    <w:p>
      <w:pPr>
        <w:pStyle w:val="ListBullet"/>
        <w:spacing w:after="20"/>
      </w:pPr>
      <w:r>
        <w:t>long assurance cycles</w:t>
      </w:r>
    </w:p>
    <w:p>
      <w:pPr>
        <w:pStyle w:val="ListBullet"/>
        <w:spacing w:after="20"/>
      </w:pPr>
      <w:r>
        <w:t>customers expecting consulting deliverables</w:t>
      </w:r>
    </w:p>
    <w:p>
      <w:pPr>
        <w:pStyle w:val="Heading3"/>
      </w:pPr>
      <w:r>
        <w:t>Success metrics</w:t>
      </w:r>
    </w:p>
    <w:p>
      <w:pPr>
        <w:pStyle w:val="ListBullet"/>
        <w:spacing w:after="20"/>
      </w:pPr>
      <w:r>
        <w:t>ARR per logo</w:t>
      </w:r>
    </w:p>
    <w:p>
      <w:pPr>
        <w:pStyle w:val="ListBullet"/>
        <w:spacing w:after="20"/>
      </w:pPr>
      <w:r>
        <w:t>disclosure cycle time reduction</w:t>
      </w:r>
    </w:p>
    <w:p>
      <w:pPr>
        <w:pStyle w:val="ListBullet"/>
        <w:spacing w:after="20"/>
      </w:pPr>
      <w:r>
        <w:t>percentage of report items with evidence</w:t>
      </w:r>
    </w:p>
    <w:p>
      <w:pPr>
        <w:pStyle w:val="ListBullet"/>
        <w:spacing w:after="20"/>
      </w:pPr>
      <w:r>
        <w:t>audit adjustments</w:t>
      </w:r>
    </w:p>
    <w:p>
      <w:pPr>
        <w:pStyle w:val="ListBullet"/>
        <w:spacing w:after="20"/>
      </w:pPr>
      <w:r>
        <w:t>renewal/expansion rate</w:t>
      </w:r>
    </w:p>
    <w:p>
      <w:pPr>
        <w:pStyle w:val="Heading3"/>
      </w:pPr>
      <w:r>
        <w:t>Dependency notes</w:t>
      </w:r>
    </w:p>
    <w:p>
      <w:pPr>
        <w:pStyle w:val="ListBullet"/>
        <w:spacing w:after="20"/>
      </w:pPr>
      <w:r>
        <w:t>Upstream: Ledger, Evidence Vault, Policy Graph, Entity Graph, Scope Engine.</w:t>
      </w:r>
    </w:p>
    <w:p>
      <w:pPr>
        <w:pStyle w:val="ListBullet"/>
        <w:spacing w:after="20"/>
      </w:pPr>
      <w:r>
        <w:t>Downstream: FinanceOS (can read Comply outputs for disclosure-driven financing).</w:t>
      </w:r>
    </w:p>
    <w:p>
      <w:r>
        <w:br w:type="page"/>
      </w:r>
    </w:p>
    <w:p>
      <w:pPr>
        <w:pStyle w:val="Heading2"/>
      </w:pPr>
      <w:r>
        <w:t>10. GreenLang CBAM</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w:t>
            </w:r>
          </w:p>
        </w:tc>
      </w:tr>
      <w:tr>
        <w:tc>
          <w:tcPr>
            <w:tcW w:type="dxa" w:w="2448"/>
            <w:vAlign w:val="top"/>
            <w:shd w:fill="EAF2F8"/>
          </w:tcPr>
          <w:p>
            <w:r>
              <w:rPr>
                <w:b/>
                <w:color w:val="1F4E79"/>
                <w:sz w:val="16"/>
              </w:rPr>
              <w:t>Cloud / squad</w:t>
            </w:r>
          </w:p>
        </w:tc>
        <w:tc>
          <w:tcPr>
            <w:tcW w:type="dxa" w:w="8352"/>
            <w:vAlign w:val="top"/>
          </w:tcPr>
          <w:p>
            <w:r>
              <w:rPr>
                <w:sz w:val="16"/>
              </w:rPr>
              <w:t>Compliance Cloud / Compliance Wedge Squad</w:t>
            </w:r>
          </w:p>
        </w:tc>
      </w:tr>
      <w:tr>
        <w:tc>
          <w:tcPr>
            <w:tcW w:type="dxa" w:w="2448"/>
            <w:vAlign w:val="top"/>
            <w:shd w:fill="EAF2F8"/>
          </w:tcPr>
          <w:p>
            <w:r>
              <w:rPr>
                <w:b/>
                <w:color w:val="1F4E79"/>
                <w:sz w:val="16"/>
              </w:rPr>
              <w:t>Primary buyer</w:t>
            </w:r>
          </w:p>
        </w:tc>
        <w:tc>
          <w:tcPr>
            <w:tcW w:type="dxa" w:w="8352"/>
            <w:vAlign w:val="top"/>
          </w:tcPr>
          <w:p>
            <w:r>
              <w:rPr>
                <w:sz w:val="16"/>
              </w:rPr>
              <w:t>EU importers, non-EU exporters, trade compliance teams, industrial suppliers</w:t>
            </w:r>
          </w:p>
        </w:tc>
      </w:tr>
      <w:tr>
        <w:tc>
          <w:tcPr>
            <w:tcW w:type="dxa" w:w="2448"/>
            <w:vAlign w:val="top"/>
            <w:shd w:fill="EAF2F8"/>
          </w:tcPr>
          <w:p>
            <w:r>
              <w:rPr>
                <w:b/>
                <w:color w:val="1F4E79"/>
                <w:sz w:val="16"/>
              </w:rPr>
              <w:t>Revenue model</w:t>
            </w:r>
          </w:p>
        </w:tc>
        <w:tc>
          <w:tcPr>
            <w:tcW w:type="dxa" w:w="8352"/>
            <w:vAlign w:val="top"/>
          </w:tcPr>
          <w:p>
            <w:r>
              <w:rPr>
                <w:sz w:val="16"/>
              </w:rPr>
              <w:t>Module subscription</w:t>
            </w:r>
          </w:p>
        </w:tc>
      </w:tr>
      <w:tr>
        <w:tc>
          <w:tcPr>
            <w:tcW w:type="dxa" w:w="2448"/>
            <w:vAlign w:val="top"/>
            <w:shd w:fill="EAF2F8"/>
          </w:tcPr>
          <w:p>
            <w:r>
              <w:rPr>
                <w:b/>
                <w:color w:val="1F4E79"/>
                <w:sz w:val="16"/>
              </w:rPr>
              <w:t>Definition</w:t>
            </w:r>
          </w:p>
        </w:tc>
        <w:tc>
          <w:tcPr>
            <w:tcW w:type="dxa" w:w="8352"/>
            <w:vAlign w:val="top"/>
          </w:tcPr>
          <w:p>
            <w:r>
              <w:rPr>
                <w:sz w:val="16"/>
              </w:rPr>
              <w:t>A focused module for EU Carbon Border Adjustment Mechanism workflows: covered goods mapping, installation data collection, embedded-emissions calculation, supplier declarations, evidence management, reporting packs, and importer/exporter collaboration.</w:t>
            </w:r>
          </w:p>
        </w:tc>
      </w:tr>
      <w:tr>
        <w:tc>
          <w:tcPr>
            <w:tcW w:type="dxa" w:w="2448"/>
            <w:vAlign w:val="top"/>
            <w:shd w:fill="EAF2F8"/>
          </w:tcPr>
          <w:p>
            <w:r>
              <w:rPr>
                <w:b/>
                <w:color w:val="1F4E79"/>
                <w:sz w:val="16"/>
              </w:rPr>
              <w:t>Strategic role</w:t>
            </w:r>
          </w:p>
        </w:tc>
        <w:tc>
          <w:tcPr>
            <w:tcW w:type="dxa" w:w="8352"/>
            <w:vAlign w:val="top"/>
          </w:tcPr>
          <w:p>
            <w:r>
              <w:rPr>
                <w:sz w:val="16"/>
              </w:rPr>
              <w:t>CBAM is the sharpest early regulatory wedge for India-linked exporters selling into Europe. It is narrow enough for fast product-market feedback and deep enough to pull suppliers, product data, and evidence into GreenLang.</w:t>
            </w:r>
          </w:p>
        </w:tc>
      </w:tr>
      <w:tr>
        <w:tc>
          <w:tcPr>
            <w:tcW w:type="dxa" w:w="2448"/>
            <w:vAlign w:val="top"/>
            <w:shd w:fill="EAF2F8"/>
          </w:tcPr>
          <w:p>
            <w:r>
              <w:rPr>
                <w:b/>
                <w:color w:val="1F4E79"/>
                <w:sz w:val="16"/>
              </w:rPr>
              <w:t>Pricing / packaging logic</w:t>
            </w:r>
          </w:p>
        </w:tc>
        <w:tc>
          <w:tcPr>
            <w:tcW w:type="dxa" w:w="8352"/>
            <w:vAlign w:val="top"/>
          </w:tcPr>
          <w:p>
            <w:r>
              <w:rPr>
                <w:sz w:val="16"/>
              </w:rPr>
              <w:t>Module subscription by number of covered products, installations, suppliers, and importer/exporter relationships; premium managed onboarding for complex industrial accounts.</w:t>
            </w:r>
          </w:p>
        </w:tc>
      </w:tr>
    </w:tbl>
    <w:p>
      <w:pPr>
        <w:pStyle w:val="Heading3"/>
      </w:pPr>
      <w:r>
        <w:t>CTO final pathway</w:t>
      </w:r>
    </w:p>
    <w:p>
      <w:pPr>
        <w:spacing w:after="80"/>
      </w:pPr>
      <w:r>
        <w:t>Build GreenLang CBAM as a modular product on the shared substrate. The release target is FY27; GA is gated for FY27 Q4. Prioritize iron/steel, aluminum, cement, fertilizers, hydrogen, electricity only as commercially relevant GA requires validated calculation workflow with design partners</w:t>
      </w:r>
    </w:p>
    <w:p>
      <w:pPr>
        <w:pStyle w:val="Heading3"/>
      </w:pPr>
      <w:r>
        <w:t>Why it exists</w:t>
      </w:r>
    </w:p>
    <w:p>
      <w:pPr>
        <w:spacing w:after="80"/>
      </w:pPr>
      <w:r>
        <w:t>CBAM's definitive phase started 1 Jan 2026. Importers must report embedded emissions per consignment, hold certificates, and face penalties. Non-EU exporters (India, Turkey, China, North Africa) need to supply actual-emissions data to keep customers. Off-the-shelf ERP modules do not solve this; specialized software is already commanding premium prices.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trade compliance teams</w:t>
              <w:br/>
              <w:t>export sales teams</w:t>
              <w:br/>
              <w:t>industrial plant teams</w:t>
              <w:br/>
              <w:t>EU importers</w:t>
              <w:br/>
              <w:t>non-EU suppliers</w:t>
              <w:br/>
              <w:t>consultants and auditors</w:t>
            </w:r>
          </w:p>
        </w:tc>
      </w:tr>
      <w:tr>
        <w:tc>
          <w:tcPr>
            <w:tcW w:type="dxa" w:w="3024"/>
            <w:vAlign w:val="top"/>
          </w:tcPr>
          <w:p>
            <w:r>
              <w:rPr>
                <w:sz w:val="16"/>
              </w:rPr>
              <w:t>Jobs to be done</w:t>
            </w:r>
          </w:p>
        </w:tc>
        <w:tc>
          <w:tcPr>
            <w:tcW w:type="dxa" w:w="8640"/>
            <w:vAlign w:val="top"/>
          </w:tcPr>
          <w:p>
            <w:r>
              <w:rPr>
                <w:sz w:val="16"/>
              </w:rPr>
              <w:t>Identify CBAM-covered products and installations</w:t>
              <w:br/>
              <w:t>Collect embedded-emissions data from suppliers/plants</w:t>
              <w:br/>
              <w:t>Prepare importer/exporter declaration packs</w:t>
              <w:br/>
              <w:t>Track gaps by supplier and product</w:t>
              <w:br/>
              <w:t>Maintain evidence and methodology trail</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Consignment-level embedded-emissions calculation per CBAM methodology.</w:t>
              <w:br/>
              <w:t>CN-code and sector mapping (iron/steel, aluminium, fertilizer, cement, hydrogen, electricity).</w:t>
              <w:br/>
              <w:t>Supplier portal for non-EU producers to submit verified actual emissions.</w:t>
              <w:br/>
              <w:t>Verifier workflow for CBAM-accredited verifiers.</w:t>
              <w:br/>
              <w:t>Certificate forecasting and financial exposure dashboard.</w:t>
              <w:br/>
              <w:t>Quarterly and annual submission generation for the CBAM Registry.</w:t>
              <w:br/>
              <w:t>Default values + actual values, with clear flagging and changelog.</w:t>
              <w:br/>
              <w:t>Integration with EU CBAM Registry API (as/when published).</w:t>
            </w:r>
          </w:p>
        </w:tc>
      </w:tr>
      <w:tr>
        <w:tc>
          <w:tcPr>
            <w:tcW w:type="dxa" w:w="3456"/>
            <w:vAlign w:val="top"/>
          </w:tcPr>
          <w:p>
            <w:r>
              <w:rPr>
                <w:sz w:val="16"/>
              </w:rPr>
              <w:t>In-scope product modules</w:t>
            </w:r>
          </w:p>
        </w:tc>
        <w:tc>
          <w:tcPr>
            <w:tcW w:type="dxa" w:w="8352"/>
            <w:vAlign w:val="top"/>
          </w:tcPr>
          <w:p>
            <w:r>
              <w:rPr>
                <w:sz w:val="16"/>
              </w:rPr>
              <w:t>HS/CN product mapping</w:t>
              <w:br/>
              <w:t>installation profile</w:t>
              <w:br/>
              <w:t>embedded emissions calculator</w:t>
              <w:br/>
              <w:t>supplier collaboration portal</w:t>
              <w:br/>
              <w:t>CBAM report pack</w:t>
              <w:br/>
              <w:t>evidence checklist</w:t>
              <w:br/>
              <w:t>deadline and task tracker</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product codes</w:t>
              <w:br/>
              <w:t>installation data</w:t>
              <w:br/>
              <w:t>production volumes</w:t>
              <w:br/>
              <w:t>energy/fuel/material inputs</w:t>
              <w:br/>
              <w:t>embedded-emissions factors</w:t>
              <w:br/>
              <w:t>supplier declarations</w:t>
              <w:br/>
              <w:t>evidence documents</w:t>
              <w:br/>
              <w:t>reporting periods</w:t>
            </w:r>
          </w:p>
        </w:tc>
      </w:tr>
      <w:tr>
        <w:tc>
          <w:tcPr>
            <w:tcW w:type="dxa" w:w="3384"/>
            <w:vAlign w:val="top"/>
          </w:tcPr>
          <w:p>
            <w:r>
              <w:rPr>
                <w:sz w:val="16"/>
              </w:rPr>
              <w:t>External/product integrations</w:t>
            </w:r>
          </w:p>
        </w:tc>
        <w:tc>
          <w:tcPr>
            <w:tcW w:type="dxa" w:w="8496"/>
            <w:vAlign w:val="top"/>
          </w:tcPr>
          <w:p>
            <w:r>
              <w:rPr>
                <w:sz w:val="16"/>
              </w:rPr>
              <w:t>Factors; Scope Engine; PCF Studio; SupplierOS; Evidence Vault; Policy Graph; ERP/export documentation systems</w:t>
            </w:r>
          </w:p>
        </w:tc>
      </w:tr>
      <w:tr>
        <w:tc>
          <w:tcPr>
            <w:tcW w:type="dxa" w:w="3384"/>
            <w:vAlign w:val="top"/>
          </w:tcPr>
          <w:p>
            <w:r>
              <w:rPr>
                <w:sz w:val="16"/>
              </w:rPr>
              <w:t>GreenLang dependencies</w:t>
            </w:r>
          </w:p>
        </w:tc>
        <w:tc>
          <w:tcPr>
            <w:tcW w:type="dxa" w:w="8496"/>
            <w:vAlign w:val="top"/>
          </w:tcPr>
          <w:p>
            <w:r>
              <w:rPr>
                <w:sz w:val="16"/>
              </w:rPr>
              <w:t>Factors; Climate Ledger; Evidence Vault; Policy Graph; Connect; Entity Graph</w:t>
            </w:r>
          </w:p>
        </w:tc>
      </w:tr>
      <w:tr>
        <w:tc>
          <w:tcPr>
            <w:tcW w:type="dxa" w:w="3384"/>
            <w:vAlign w:val="top"/>
          </w:tcPr>
          <w:p>
            <w:r>
              <w:rPr>
                <w:sz w:val="16"/>
              </w:rPr>
              <w:t>Customer outputs and deliverables</w:t>
            </w:r>
          </w:p>
        </w:tc>
        <w:tc>
          <w:tcPr>
            <w:tcW w:type="dxa" w:w="8496"/>
            <w:vAlign w:val="top"/>
          </w:tcPr>
          <w:p>
            <w:r>
              <w:rPr>
                <w:sz w:val="16"/>
              </w:rPr>
              <w:t>CBAM data pack</w:t>
              <w:br/>
              <w:t>supplier request pack</w:t>
              <w:br/>
              <w:t>embedded-emissions calculations</w:t>
              <w:br/>
              <w:t>gap report</w:t>
              <w:br/>
              <w:t>importer-ready exports</w:t>
            </w:r>
          </w:p>
        </w:tc>
      </w:tr>
    </w:tbl>
    <w:p>
      <w:pPr>
        <w:pStyle w:val="Heading3"/>
      </w:pPr>
      <w:r>
        <w:t>AI and automation behavior</w:t>
      </w:r>
    </w:p>
    <w:p>
      <w:pPr>
        <w:pStyle w:val="ListBullet"/>
        <w:spacing w:after="20"/>
      </w:pPr>
      <w:r>
        <w:t>HS/product code mapping assistant</w:t>
      </w:r>
    </w:p>
    <w:p>
      <w:pPr>
        <w:pStyle w:val="ListBullet"/>
        <w:spacing w:after="20"/>
      </w:pPr>
      <w:r>
        <w:t>supplier data-gap assistant</w:t>
      </w:r>
    </w:p>
    <w:p>
      <w:pPr>
        <w:pStyle w:val="ListBullet"/>
        <w:spacing w:after="20"/>
      </w:pPr>
      <w:r>
        <w:t>evidence sufficiency review</w:t>
      </w:r>
    </w:p>
    <w:p>
      <w:pPr>
        <w:pStyle w:val="ListBullet"/>
        <w:spacing w:after="20"/>
      </w:pPr>
      <w:r>
        <w:t>draft importer communication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Steel + aluminium consignment calc; 3 design-partner importers.</w:t>
            </w:r>
          </w:p>
        </w:tc>
      </w:tr>
      <w:tr>
        <w:tc>
          <w:tcPr>
            <w:tcW w:type="dxa" w:w="1872"/>
            <w:vAlign w:val="top"/>
          </w:tcPr>
          <w:p>
            <w:r>
              <w:rPr>
                <w:sz w:val="16"/>
              </w:rPr>
              <w:t>v0.5 Closed Beta</w:t>
            </w:r>
          </w:p>
        </w:tc>
        <w:tc>
          <w:tcPr>
            <w:tcW w:type="dxa" w:w="2304"/>
            <w:vAlign w:val="top"/>
          </w:tcPr>
          <w:p>
            <w:r>
              <w:rPr>
                <w:sz w:val="16"/>
              </w:rPr>
              <w:t>FY27 Q2</w:t>
            </w:r>
          </w:p>
        </w:tc>
        <w:tc>
          <w:tcPr>
            <w:tcW w:type="dxa" w:w="7776"/>
            <w:vAlign w:val="top"/>
          </w:tcPr>
          <w:p>
            <w:r>
              <w:rPr>
                <w:sz w:val="16"/>
              </w:rPr>
              <w:t>All 6 CBAM sectors; supplier portal v1.</w:t>
            </w:r>
          </w:p>
        </w:tc>
      </w:tr>
      <w:tr>
        <w:tc>
          <w:tcPr>
            <w:tcW w:type="dxa" w:w="1872"/>
            <w:vAlign w:val="top"/>
          </w:tcPr>
          <w:p>
            <w:r>
              <w:rPr>
                <w:sz w:val="16"/>
              </w:rPr>
              <w:t>v0.9 Public Beta</w:t>
            </w:r>
          </w:p>
        </w:tc>
        <w:tc>
          <w:tcPr>
            <w:tcW w:type="dxa" w:w="2304"/>
            <w:vAlign w:val="top"/>
          </w:tcPr>
          <w:p>
            <w:r>
              <w:rPr>
                <w:sz w:val="16"/>
              </w:rPr>
              <w:t>FY27 Q3</w:t>
            </w:r>
          </w:p>
        </w:tc>
        <w:tc>
          <w:tcPr>
            <w:tcW w:type="dxa" w:w="7776"/>
            <w:vAlign w:val="top"/>
          </w:tcPr>
          <w:p>
            <w:r>
              <w:rPr>
                <w:sz w:val="16"/>
              </w:rPr>
              <w:t>Verifier workflow; certificate forecasting.</w:t>
            </w:r>
          </w:p>
        </w:tc>
      </w:tr>
      <w:tr>
        <w:tc>
          <w:tcPr>
            <w:tcW w:type="dxa" w:w="1872"/>
            <w:vAlign w:val="top"/>
          </w:tcPr>
          <w:p>
            <w:r>
              <w:rPr>
                <w:sz w:val="16"/>
              </w:rPr>
              <w:t>v1.0 GA</w:t>
            </w:r>
          </w:p>
        </w:tc>
        <w:tc>
          <w:tcPr>
            <w:tcW w:type="dxa" w:w="2304"/>
            <w:vAlign w:val="top"/>
          </w:tcPr>
          <w:p>
            <w:r>
              <w:rPr>
                <w:sz w:val="16"/>
              </w:rPr>
              <w:t>FY27 Q4</w:t>
            </w:r>
          </w:p>
        </w:tc>
        <w:tc>
          <w:tcPr>
            <w:tcW w:type="dxa" w:w="7776"/>
            <w:vAlign w:val="top"/>
          </w:tcPr>
          <w:p>
            <w:r>
              <w:rPr>
                <w:sz w:val="16"/>
              </w:rPr>
              <w:t>First successful definitive-phase submission for a customer.</w:t>
            </w:r>
          </w:p>
        </w:tc>
      </w:tr>
      <w:tr>
        <w:tc>
          <w:tcPr>
            <w:tcW w:type="dxa" w:w="1872"/>
            <w:vAlign w:val="top"/>
          </w:tcPr>
          <w:p>
            <w:r>
              <w:rPr>
                <w:sz w:val="16"/>
              </w:rPr>
              <w:t>v1.5</w:t>
            </w:r>
          </w:p>
        </w:tc>
        <w:tc>
          <w:tcPr>
            <w:tcW w:type="dxa" w:w="2304"/>
            <w:vAlign w:val="top"/>
          </w:tcPr>
          <w:p>
            <w:r>
              <w:rPr>
                <w:sz w:val="16"/>
              </w:rPr>
              <w:t>FY28 Q3</w:t>
            </w:r>
          </w:p>
        </w:tc>
        <w:tc>
          <w:tcPr>
            <w:tcW w:type="dxa" w:w="7776"/>
            <w:vAlign w:val="top"/>
          </w:tcPr>
          <w:p>
            <w:r>
              <w:rPr>
                <w:sz w:val="16"/>
              </w:rPr>
              <w:t>Indirect emissions methodology support; default-value fallback with confidence scoring.</w:t>
            </w:r>
          </w:p>
        </w:tc>
      </w:tr>
      <w:tr>
        <w:tc>
          <w:tcPr>
            <w:tcW w:type="dxa" w:w="1872"/>
            <w:vAlign w:val="top"/>
          </w:tcPr>
          <w:p>
            <w:r>
              <w:rPr>
                <w:sz w:val="16"/>
              </w:rPr>
              <w:t>v2.0</w:t>
            </w:r>
          </w:p>
        </w:tc>
        <w:tc>
          <w:tcPr>
            <w:tcW w:type="dxa" w:w="2304"/>
            <w:vAlign w:val="top"/>
          </w:tcPr>
          <w:p>
            <w:r>
              <w:rPr>
                <w:sz w:val="16"/>
              </w:rPr>
              <w:t>FY29 Q2</w:t>
            </w:r>
          </w:p>
        </w:tc>
        <w:tc>
          <w:tcPr>
            <w:tcW w:type="dxa" w:w="7776"/>
            <w:vAlign w:val="top"/>
          </w:tcPr>
          <w:p>
            <w:r>
              <w:rPr>
                <w:sz w:val="16"/>
              </w:rPr>
              <w:t>CBAM Registry direct integration; expanded scope (organic chemicals, plastics) as/when regulation expands.</w:t>
            </w:r>
          </w:p>
        </w:tc>
      </w:tr>
      <w:tr>
        <w:tc>
          <w:tcPr>
            <w:tcW w:type="dxa" w:w="1872"/>
            <w:vAlign w:val="top"/>
          </w:tcPr>
          <w:p>
            <w:r>
              <w:rPr>
                <w:sz w:val="16"/>
              </w:rPr>
              <w:t>v2.5</w:t>
            </w:r>
          </w:p>
        </w:tc>
        <w:tc>
          <w:tcPr>
            <w:tcW w:type="dxa" w:w="2304"/>
            <w:vAlign w:val="top"/>
          </w:tcPr>
          <w:p>
            <w:r>
              <w:rPr>
                <w:sz w:val="16"/>
              </w:rPr>
              <w:t>FY30 Q2</w:t>
            </w:r>
          </w:p>
        </w:tc>
        <w:tc>
          <w:tcPr>
            <w:tcW w:type="dxa" w:w="7776"/>
            <w:vAlign w:val="top"/>
          </w:tcPr>
          <w:p>
            <w:r>
              <w:rPr>
                <w:sz w:val="16"/>
              </w:rPr>
              <w:t>Exporter-facing SaaS tier - Indian/Turkish mills pay directly to keep their EU customers.</w:t>
            </w:r>
          </w:p>
        </w:tc>
      </w:tr>
      <w:tr>
        <w:tc>
          <w:tcPr>
            <w:tcW w:type="dxa" w:w="1872"/>
            <w:vAlign w:val="top"/>
          </w:tcPr>
          <w:p>
            <w:r>
              <w:rPr>
                <w:sz w:val="16"/>
              </w:rPr>
              <w:t>v3.0</w:t>
            </w:r>
          </w:p>
        </w:tc>
        <w:tc>
          <w:tcPr>
            <w:tcW w:type="dxa" w:w="2304"/>
            <w:vAlign w:val="top"/>
          </w:tcPr>
          <w:p>
            <w:r>
              <w:rPr>
                <w:sz w:val="16"/>
              </w:rPr>
              <w:t>FY31 Q1</w:t>
            </w:r>
          </w:p>
        </w:tc>
        <w:tc>
          <w:tcPr>
            <w:tcW w:type="dxa" w:w="7776"/>
            <w:vAlign w:val="top"/>
          </w:tcPr>
          <w:p>
            <w:r>
              <w:rPr>
                <w:sz w:val="16"/>
              </w:rPr>
              <w:t>Multi-jurisdiction border-carbon module (UK CBAM, potential US CBAM, potential Australia); cross-market certificate arbitrage view.</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Prioritize iron/steel, aluminum, cement, fertilizers, hydrogen, electricity only as commercially relevant</w:t>
      </w:r>
    </w:p>
    <w:p>
      <w:pPr>
        <w:pStyle w:val="ListBullet"/>
        <w:spacing w:after="20"/>
      </w:pPr>
      <w:r>
        <w:t>GA requires validated calculation workflow with design partners</w:t>
      </w:r>
    </w:p>
    <w:p>
      <w:pPr>
        <w:pStyle w:val="ListBullet"/>
        <w:spacing w:after="20"/>
      </w:pPr>
      <w:r>
        <w:t>Supplier portal must be usable without full enterprise deployment</w:t>
      </w:r>
    </w:p>
    <w:p>
      <w:pPr>
        <w:pStyle w:val="ListBullet"/>
        <w:spacing w:after="20"/>
      </w:pPr>
      <w:r>
        <w:t>Evidence must map to each reported field</w:t>
      </w:r>
    </w:p>
    <w:p>
      <w:pPr>
        <w:pStyle w:val="Heading3"/>
      </w:pPr>
      <w:r>
        <w:t>Key risks to actively manage</w:t>
      </w:r>
    </w:p>
    <w:p>
      <w:pPr>
        <w:pStyle w:val="ListBullet"/>
        <w:spacing w:after="20"/>
      </w:pPr>
      <w:r>
        <w:t>regulatory changes</w:t>
      </w:r>
    </w:p>
    <w:p>
      <w:pPr>
        <w:pStyle w:val="ListBullet"/>
        <w:spacing w:after="20"/>
      </w:pPr>
      <w:r>
        <w:t>incorrect product-code mapping</w:t>
      </w:r>
    </w:p>
    <w:p>
      <w:pPr>
        <w:pStyle w:val="ListBullet"/>
        <w:spacing w:after="20"/>
      </w:pPr>
      <w:r>
        <w:t>supplier data quality gaps</w:t>
      </w:r>
    </w:p>
    <w:p>
      <w:pPr>
        <w:pStyle w:val="ListBullet"/>
        <w:spacing w:after="20"/>
      </w:pPr>
      <w:r>
        <w:t>over-customization per exporter</w:t>
      </w:r>
    </w:p>
    <w:p>
      <w:pPr>
        <w:pStyle w:val="Heading3"/>
      </w:pPr>
      <w:r>
        <w:t>Success metrics</w:t>
      </w:r>
    </w:p>
    <w:p>
      <w:pPr>
        <w:pStyle w:val="ListBullet"/>
        <w:spacing w:after="20"/>
      </w:pPr>
      <w:r>
        <w:t>covered product mapping accuracy</w:t>
      </w:r>
    </w:p>
    <w:p>
      <w:pPr>
        <w:pStyle w:val="ListBullet"/>
        <w:spacing w:after="20"/>
      </w:pPr>
      <w:r>
        <w:t>supplier response rate</w:t>
      </w:r>
    </w:p>
    <w:p>
      <w:pPr>
        <w:pStyle w:val="ListBullet"/>
        <w:spacing w:after="20"/>
      </w:pPr>
      <w:r>
        <w:t>time to prepare CBAM pack</w:t>
      </w:r>
    </w:p>
    <w:p>
      <w:pPr>
        <w:pStyle w:val="ListBullet"/>
        <w:spacing w:after="20"/>
      </w:pPr>
      <w:r>
        <w:t>evidence completeness</w:t>
      </w:r>
    </w:p>
    <w:p>
      <w:pPr>
        <w:pStyle w:val="ListBullet"/>
        <w:spacing w:after="20"/>
      </w:pPr>
      <w:r>
        <w:t>paid conversions from design partners</w:t>
      </w:r>
    </w:p>
    <w:p>
      <w:pPr>
        <w:pStyle w:val="Heading3"/>
      </w:pPr>
      <w:r>
        <w:t>Dependency notes</w:t>
      </w:r>
    </w:p>
    <w:p>
      <w:pPr>
        <w:pStyle w:val="ListBullet"/>
        <w:spacing w:after="20"/>
      </w:pPr>
      <w:r>
        <w:t>Upstream: Factors (CBAM pack), Ledger, Evidence Vault, Policy Graph.</w:t>
      </w:r>
    </w:p>
    <w:p>
      <w:pPr>
        <w:pStyle w:val="ListBullet"/>
        <w:spacing w:after="20"/>
      </w:pPr>
      <w:r>
        <w:t>Downstream: SupplierOS (CBAM is often the supplier-data-collection wedge).</w:t>
      </w:r>
    </w:p>
    <w:p>
      <w:r>
        <w:br w:type="page"/>
      </w:r>
    </w:p>
    <w:p>
      <w:pPr>
        <w:pStyle w:val="Heading2"/>
      </w:pPr>
      <w:r>
        <w:t>11. GreenLang Scope Engine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FY27</w:t>
            </w:r>
          </w:p>
        </w:tc>
      </w:tr>
      <w:tr>
        <w:tc>
          <w:tcPr>
            <w:tcW w:type="dxa" w:w="2448"/>
            <w:vAlign w:val="top"/>
            <w:shd w:fill="EAF2F8"/>
          </w:tcPr>
          <w:p>
            <w:r>
              <w:rPr>
                <w:b/>
                <w:color w:val="1F4E79"/>
                <w:sz w:val="16"/>
              </w:rPr>
              <w:t>Recommended v1.0 GA</w:t>
            </w:r>
          </w:p>
        </w:tc>
        <w:tc>
          <w:tcPr>
            <w:tcW w:type="dxa" w:w="8352"/>
            <w:vAlign w:val="top"/>
          </w:tcPr>
          <w:p>
            <w:r>
              <w:rPr>
                <w:sz w:val="16"/>
              </w:rPr>
              <w:t>FY27 Q4</w:t>
            </w:r>
          </w:p>
        </w:tc>
      </w:tr>
      <w:tr>
        <w:tc>
          <w:tcPr>
            <w:tcW w:type="dxa" w:w="2448"/>
            <w:vAlign w:val="top"/>
            <w:shd w:fill="EAF2F8"/>
          </w:tcPr>
          <w:p>
            <w:r>
              <w:rPr>
                <w:b/>
                <w:color w:val="1F4E79"/>
                <w:sz w:val="16"/>
              </w:rPr>
              <w:t>Cloud / squad</w:t>
            </w:r>
          </w:p>
        </w:tc>
        <w:tc>
          <w:tcPr>
            <w:tcW w:type="dxa" w:w="8352"/>
            <w:vAlign w:val="top"/>
          </w:tcPr>
          <w:p>
            <w:r>
              <w:rPr>
                <w:sz w:val="16"/>
              </w:rPr>
              <w:t>Compliance Cloud / Compliance Wedge Squad</w:t>
            </w:r>
          </w:p>
        </w:tc>
      </w:tr>
      <w:tr>
        <w:tc>
          <w:tcPr>
            <w:tcW w:type="dxa" w:w="2448"/>
            <w:vAlign w:val="top"/>
            <w:shd w:fill="EAF2F8"/>
          </w:tcPr>
          <w:p>
            <w:r>
              <w:rPr>
                <w:b/>
                <w:color w:val="1F4E79"/>
                <w:sz w:val="16"/>
              </w:rPr>
              <w:t>Primary buyer</w:t>
            </w:r>
          </w:p>
        </w:tc>
        <w:tc>
          <w:tcPr>
            <w:tcW w:type="dxa" w:w="8352"/>
            <w:vAlign w:val="top"/>
          </w:tcPr>
          <w:p>
            <w:r>
              <w:rPr>
                <w:sz w:val="16"/>
              </w:rPr>
              <w:t>Corporate sustainability and finance teams, consultants, auditors</w:t>
            </w:r>
          </w:p>
        </w:tc>
      </w:tr>
      <w:tr>
        <w:tc>
          <w:tcPr>
            <w:tcW w:type="dxa" w:w="2448"/>
            <w:vAlign w:val="top"/>
            <w:shd w:fill="EAF2F8"/>
          </w:tcPr>
          <w:p>
            <w:r>
              <w:rPr>
                <w:b/>
                <w:color w:val="1F4E79"/>
                <w:sz w:val="16"/>
              </w:rPr>
              <w:t>Revenue model</w:t>
            </w:r>
          </w:p>
        </w:tc>
        <w:tc>
          <w:tcPr>
            <w:tcW w:type="dxa" w:w="8352"/>
            <w:vAlign w:val="top"/>
          </w:tcPr>
          <w:p>
            <w:r>
              <w:rPr>
                <w:sz w:val="16"/>
              </w:rPr>
              <w:t>Module subscription</w:t>
            </w:r>
          </w:p>
        </w:tc>
      </w:tr>
      <w:tr>
        <w:tc>
          <w:tcPr>
            <w:tcW w:type="dxa" w:w="2448"/>
            <w:vAlign w:val="top"/>
            <w:shd w:fill="EAF2F8"/>
          </w:tcPr>
          <w:p>
            <w:r>
              <w:rPr>
                <w:b/>
                <w:color w:val="1F4E79"/>
                <w:sz w:val="16"/>
              </w:rPr>
              <w:t>Definition</w:t>
            </w:r>
          </w:p>
        </w:tc>
        <w:tc>
          <w:tcPr>
            <w:tcW w:type="dxa" w:w="8352"/>
            <w:vAlign w:val="top"/>
          </w:tcPr>
          <w:p>
            <w:r>
              <w:rPr>
                <w:sz w:val="16"/>
              </w:rPr>
              <w:t>The greenhouse-gas inventory and Scope 1, Scope 2, and priority Scope 3 calculation engine that powers enterprise reporting and product/cloud workflows. It standardizes activity ingestion, emissions calculations, boundary treatment, factor selection, market/location-based electricity, and variance analysis.</w:t>
            </w:r>
          </w:p>
        </w:tc>
      </w:tr>
      <w:tr>
        <w:tc>
          <w:tcPr>
            <w:tcW w:type="dxa" w:w="2448"/>
            <w:vAlign w:val="top"/>
            <w:shd w:fill="EAF2F8"/>
          </w:tcPr>
          <w:p>
            <w:r>
              <w:rPr>
                <w:b/>
                <w:color w:val="1F4E79"/>
                <w:sz w:val="16"/>
              </w:rPr>
              <w:t>Strategic role</w:t>
            </w:r>
          </w:p>
        </w:tc>
        <w:tc>
          <w:tcPr>
            <w:tcW w:type="dxa" w:w="8352"/>
            <w:vAlign w:val="top"/>
          </w:tcPr>
          <w:p>
            <w:r>
              <w:rPr>
                <w:sz w:val="16"/>
              </w:rPr>
              <w:t>Scope Engine is the core emissions calculator for GreenLang. It connects compliance to operations and finance by making emissions calculations consistent across the entire platform.</w:t>
            </w:r>
          </w:p>
        </w:tc>
      </w:tr>
      <w:tr>
        <w:tc>
          <w:tcPr>
            <w:tcW w:type="dxa" w:w="2448"/>
            <w:vAlign w:val="top"/>
            <w:shd w:fill="EAF2F8"/>
          </w:tcPr>
          <w:p>
            <w:r>
              <w:rPr>
                <w:b/>
                <w:color w:val="1F4E79"/>
                <w:sz w:val="16"/>
              </w:rPr>
              <w:t>Pricing / packaging logic</w:t>
            </w:r>
          </w:p>
        </w:tc>
        <w:tc>
          <w:tcPr>
            <w:tcW w:type="dxa" w:w="8352"/>
            <w:vAlign w:val="top"/>
          </w:tcPr>
          <w:p>
            <w:r>
              <w:rPr>
                <w:sz w:val="16"/>
              </w:rPr>
              <w:t>Module subscription by entity/facility count, data volume, assurance needs, and Scope 3 depth. Bundled into Comply for first wedge customers.</w:t>
            </w:r>
          </w:p>
        </w:tc>
      </w:tr>
    </w:tbl>
    <w:p>
      <w:pPr>
        <w:pStyle w:val="Heading3"/>
      </w:pPr>
      <w:r>
        <w:t>CTO final pathway</w:t>
      </w:r>
    </w:p>
    <w:p>
      <w:pPr>
        <w:spacing w:after="80"/>
      </w:pPr>
      <w:r>
        <w:t>Build GreenLang Scope Engine as a modular product on the shared substrate. The release target is FY27; GA is gated for FY27 Q4. Scope 1/2 must be robust before broad Scope 3 expansion Every calculation must carry factor and method version</w:t>
      </w:r>
    </w:p>
    <w:p>
      <w:pPr>
        <w:pStyle w:val="Heading3"/>
      </w:pPr>
      <w:r>
        <w:t>Why it exists</w:t>
      </w:r>
    </w:p>
    <w:p>
      <w:pPr>
        <w:spacing w:after="80"/>
      </w:pPr>
      <w:r>
        <w:t>Most Scope 3 tools are black boxes. Customers and auditors cannot see why a number came out the way it did. Methodology choices (market-based vs location-based Scope 2, spend-based vs activity-based Scope 3) produce wildly different answers, and many tools silently pick one.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sustainability analysts</w:t>
              <w:br/>
              <w:t>finance controllers</w:t>
              <w:br/>
              <w:t>facility teams</w:t>
              <w:br/>
              <w:t>consultants</w:t>
              <w:br/>
              <w:t>auditors</w:t>
              <w:br/>
              <w:t>supplier managers</w:t>
            </w:r>
          </w:p>
        </w:tc>
      </w:tr>
      <w:tr>
        <w:tc>
          <w:tcPr>
            <w:tcW w:type="dxa" w:w="3024"/>
            <w:vAlign w:val="top"/>
          </w:tcPr>
          <w:p>
            <w:r>
              <w:rPr>
                <w:sz w:val="16"/>
              </w:rPr>
              <w:t>Jobs to be done</w:t>
            </w:r>
          </w:p>
        </w:tc>
        <w:tc>
          <w:tcPr>
            <w:tcW w:type="dxa" w:w="8640"/>
            <w:vAlign w:val="top"/>
          </w:tcPr>
          <w:p>
            <w:r>
              <w:rPr>
                <w:sz w:val="16"/>
              </w:rPr>
              <w:t>Calculate Scope 1, Scope 2, and selected Scope 3 categories</w:t>
              <w:br/>
              <w:t>Maintain calculation methods and factors</w:t>
              <w:br/>
              <w:t>Track changes period over period</w:t>
              <w:br/>
              <w:t>Support location-based and market-based electricity reporting</w:t>
              <w:br/>
              <w:t>Prepare inventory for assurance and disclosures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Full GHGP coverage: Scope 1, Scope 2 (location + market-based), Scope 3 (all 15 categories).</w:t>
              <w:br/>
              <w:t>PCAF methodologies for financed emissions (categories 15).</w:t>
              <w:br/>
              <w:t>Hierarchical allocation: entity → facility → asset → activity.</w:t>
              <w:br/>
              <w:t>Pluggable methodology: spend-based, activity-based, hybrid, supplier-specific.</w:t>
              <w:br/>
              <w:t>Year-over-year restatement engine with reason codes.</w:t>
              <w:br/>
              <w:t>Transparency report: every emission number has a full lineage URL.</w:t>
              <w:br/>
              <w:t>Benchmark library: SBTi sectoral pathways, peer comparisons.</w:t>
              <w:br/>
              <w:t>Uncertainty analysis and sensitivity modeling.</w:t>
            </w:r>
          </w:p>
        </w:tc>
      </w:tr>
      <w:tr>
        <w:tc>
          <w:tcPr>
            <w:tcW w:type="dxa" w:w="3456"/>
            <w:vAlign w:val="top"/>
          </w:tcPr>
          <w:p>
            <w:r>
              <w:rPr>
                <w:sz w:val="16"/>
              </w:rPr>
              <w:t>In-scope product modules</w:t>
            </w:r>
          </w:p>
        </w:tc>
        <w:tc>
          <w:tcPr>
            <w:tcW w:type="dxa" w:w="8352"/>
            <w:vAlign w:val="top"/>
          </w:tcPr>
          <w:p>
            <w:r>
              <w:rPr>
                <w:sz w:val="16"/>
              </w:rPr>
              <w:t>activity-data ingestion</w:t>
              <w:br/>
              <w:t>emissions calculation engine</w:t>
              <w:br/>
              <w:t>boundary and consolidation logic</w:t>
              <w:br/>
              <w:t>Scope 2 market/location-based workflow</w:t>
              <w:br/>
              <w:t>priority Scope 3 categories</w:t>
              <w:br/>
              <w:t>variance analysis</w:t>
              <w:br/>
              <w:t>audit export</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fuel use</w:t>
              <w:br/>
              <w:t>electricity use</w:t>
              <w:br/>
              <w:t>purchased goods/services</w:t>
              <w:br/>
              <w:t>transport data</w:t>
              <w:br/>
              <w:t>waste data</w:t>
              <w:br/>
              <w:t>emission factors</w:t>
              <w:br/>
              <w:t>organizational boundaries</w:t>
              <w:br/>
              <w:t>evidence</w:t>
              <w:br/>
              <w:t>calculation methods</w:t>
            </w:r>
          </w:p>
        </w:tc>
      </w:tr>
      <w:tr>
        <w:tc>
          <w:tcPr>
            <w:tcW w:type="dxa" w:w="3384"/>
            <w:vAlign w:val="top"/>
          </w:tcPr>
          <w:p>
            <w:r>
              <w:rPr>
                <w:sz w:val="16"/>
              </w:rPr>
              <w:t>External/product integrations</w:t>
            </w:r>
          </w:p>
        </w:tc>
        <w:tc>
          <w:tcPr>
            <w:tcW w:type="dxa" w:w="8496"/>
            <w:vAlign w:val="top"/>
          </w:tcPr>
          <w:p>
            <w:r>
              <w:rPr>
                <w:sz w:val="16"/>
              </w:rPr>
              <w:t>Factors; Connect; Climate Ledger; Evidence Vault; Comply; SupplierOS; PlantOS; BuildingOS; FinanceOS</w:t>
            </w:r>
          </w:p>
        </w:tc>
      </w:tr>
      <w:tr>
        <w:tc>
          <w:tcPr>
            <w:tcW w:type="dxa" w:w="3384"/>
            <w:vAlign w:val="top"/>
          </w:tcPr>
          <w:p>
            <w:r>
              <w:rPr>
                <w:sz w:val="16"/>
              </w:rPr>
              <w:t>GreenLang dependencies</w:t>
            </w:r>
          </w:p>
        </w:tc>
        <w:tc>
          <w:tcPr>
            <w:tcW w:type="dxa" w:w="8496"/>
            <w:vAlign w:val="top"/>
          </w:tcPr>
          <w:p>
            <w:r>
              <w:rPr>
                <w:sz w:val="16"/>
              </w:rPr>
              <w:t>Factors; Connect; Entity Graph; Climate Ledger; Evidence Vault</w:t>
            </w:r>
          </w:p>
        </w:tc>
      </w:tr>
      <w:tr>
        <w:tc>
          <w:tcPr>
            <w:tcW w:type="dxa" w:w="3384"/>
            <w:vAlign w:val="top"/>
          </w:tcPr>
          <w:p>
            <w:r>
              <w:rPr>
                <w:sz w:val="16"/>
              </w:rPr>
              <w:t>Customer outputs and deliverables</w:t>
            </w:r>
          </w:p>
        </w:tc>
        <w:tc>
          <w:tcPr>
            <w:tcW w:type="dxa" w:w="8496"/>
            <w:vAlign w:val="top"/>
          </w:tcPr>
          <w:p>
            <w:r>
              <w:rPr>
                <w:sz w:val="16"/>
              </w:rPr>
              <w:t>GHG inventory</w:t>
              <w:br/>
              <w:t>scope breakdown</w:t>
              <w:br/>
              <w:t>variance report</w:t>
              <w:br/>
              <w:t>assurance file</w:t>
              <w:br/>
              <w:t>calculation workbook export</w:t>
              <w:br/>
              <w:t>emissions API result</w:t>
            </w:r>
          </w:p>
        </w:tc>
      </w:tr>
    </w:tbl>
    <w:p>
      <w:pPr>
        <w:pStyle w:val="Heading3"/>
      </w:pPr>
      <w:r>
        <w:t>AI and automation behavior</w:t>
      </w:r>
    </w:p>
    <w:p>
      <w:pPr>
        <w:pStyle w:val="ListBullet"/>
        <w:spacing w:after="20"/>
      </w:pPr>
      <w:r>
        <w:t>activity-to-factor mapping assistant</w:t>
      </w:r>
    </w:p>
    <w:p>
      <w:pPr>
        <w:pStyle w:val="ListBullet"/>
        <w:spacing w:after="20"/>
      </w:pPr>
      <w:r>
        <w:t>variance explanation assistant</w:t>
      </w:r>
    </w:p>
    <w:p>
      <w:pPr>
        <w:pStyle w:val="ListBullet"/>
        <w:spacing w:after="20"/>
      </w:pPr>
      <w:r>
        <w:t>data-gap prioritization</w:t>
      </w:r>
    </w:p>
    <w:p>
      <w:pPr>
        <w:pStyle w:val="ListBullet"/>
        <w:spacing w:after="20"/>
      </w:pPr>
      <w:r>
        <w:t>auditor question-response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FY27 Q1</w:t>
            </w:r>
          </w:p>
        </w:tc>
        <w:tc>
          <w:tcPr>
            <w:tcW w:type="dxa" w:w="7776"/>
            <w:vAlign w:val="top"/>
          </w:tcPr>
          <w:p>
            <w:r>
              <w:rPr>
                <w:sz w:val="16"/>
              </w:rPr>
              <w:t>Scope 1/2 + Scope 3 C1, C4, C6; 3 design partners.</w:t>
            </w:r>
          </w:p>
        </w:tc>
      </w:tr>
      <w:tr>
        <w:tc>
          <w:tcPr>
            <w:tcW w:type="dxa" w:w="1872"/>
            <w:vAlign w:val="top"/>
          </w:tcPr>
          <w:p>
            <w:r>
              <w:rPr>
                <w:sz w:val="16"/>
              </w:rPr>
              <w:t>v0.5 Closed Beta</w:t>
            </w:r>
          </w:p>
        </w:tc>
        <w:tc>
          <w:tcPr>
            <w:tcW w:type="dxa" w:w="2304"/>
            <w:vAlign w:val="top"/>
          </w:tcPr>
          <w:p>
            <w:r>
              <w:rPr>
                <w:sz w:val="16"/>
              </w:rPr>
              <w:t>FY27 Q2</w:t>
            </w:r>
          </w:p>
        </w:tc>
        <w:tc>
          <w:tcPr>
            <w:tcW w:type="dxa" w:w="7776"/>
            <w:vAlign w:val="top"/>
          </w:tcPr>
          <w:p>
            <w:r>
              <w:rPr>
                <w:sz w:val="16"/>
              </w:rPr>
              <w:t>All 15 Scope 3 categories; market-based Scope 2 with PPA contracts.</w:t>
            </w:r>
          </w:p>
        </w:tc>
      </w:tr>
      <w:tr>
        <w:tc>
          <w:tcPr>
            <w:tcW w:type="dxa" w:w="1872"/>
            <w:vAlign w:val="top"/>
          </w:tcPr>
          <w:p>
            <w:r>
              <w:rPr>
                <w:sz w:val="16"/>
              </w:rPr>
              <w:t>v0.9 Public Beta</w:t>
            </w:r>
          </w:p>
        </w:tc>
        <w:tc>
          <w:tcPr>
            <w:tcW w:type="dxa" w:w="2304"/>
            <w:vAlign w:val="top"/>
          </w:tcPr>
          <w:p>
            <w:r>
              <w:rPr>
                <w:sz w:val="16"/>
              </w:rPr>
              <w:t>FY27 Q3</w:t>
            </w:r>
          </w:p>
        </w:tc>
        <w:tc>
          <w:tcPr>
            <w:tcW w:type="dxa" w:w="7776"/>
            <w:vAlign w:val="top"/>
          </w:tcPr>
          <w:p>
            <w:r>
              <w:rPr>
                <w:sz w:val="16"/>
              </w:rPr>
              <w:t>PCAF categories; restatement workflow.</w:t>
            </w:r>
          </w:p>
        </w:tc>
      </w:tr>
      <w:tr>
        <w:tc>
          <w:tcPr>
            <w:tcW w:type="dxa" w:w="1872"/>
            <w:vAlign w:val="top"/>
          </w:tcPr>
          <w:p>
            <w:r>
              <w:rPr>
                <w:sz w:val="16"/>
              </w:rPr>
              <w:t>v1.0 GA</w:t>
            </w:r>
          </w:p>
        </w:tc>
        <w:tc>
          <w:tcPr>
            <w:tcW w:type="dxa" w:w="2304"/>
            <w:vAlign w:val="top"/>
          </w:tcPr>
          <w:p>
            <w:r>
              <w:rPr>
                <w:sz w:val="16"/>
              </w:rPr>
              <w:t>FY27 Q4</w:t>
            </w:r>
          </w:p>
        </w:tc>
        <w:tc>
          <w:tcPr>
            <w:tcW w:type="dxa" w:w="7776"/>
            <w:vAlign w:val="top"/>
          </w:tcPr>
          <w:p>
            <w:r>
              <w:rPr>
                <w:sz w:val="16"/>
              </w:rPr>
              <w:t>SBTi sectoral pathway benchmark; full lineage UI.</w:t>
            </w:r>
          </w:p>
        </w:tc>
      </w:tr>
      <w:tr>
        <w:tc>
          <w:tcPr>
            <w:tcW w:type="dxa" w:w="1872"/>
            <w:vAlign w:val="top"/>
          </w:tcPr>
          <w:p>
            <w:r>
              <w:rPr>
                <w:sz w:val="16"/>
              </w:rPr>
              <w:t>v1.5</w:t>
            </w:r>
          </w:p>
        </w:tc>
        <w:tc>
          <w:tcPr>
            <w:tcW w:type="dxa" w:w="2304"/>
            <w:vAlign w:val="top"/>
          </w:tcPr>
          <w:p>
            <w:r>
              <w:rPr>
                <w:sz w:val="16"/>
              </w:rPr>
              <w:t>FY28 Q4</w:t>
            </w:r>
          </w:p>
        </w:tc>
        <w:tc>
          <w:tcPr>
            <w:tcW w:type="dxa" w:w="7776"/>
            <w:vAlign w:val="top"/>
          </w:tcPr>
          <w:p>
            <w:r>
              <w:rPr>
                <w:sz w:val="16"/>
              </w:rPr>
              <w:t>Uncertainty + sensitivity analysis; supplier-specific factor override.</w:t>
            </w:r>
          </w:p>
        </w:tc>
      </w:tr>
      <w:tr>
        <w:tc>
          <w:tcPr>
            <w:tcW w:type="dxa" w:w="1872"/>
            <w:vAlign w:val="top"/>
          </w:tcPr>
          <w:p>
            <w:r>
              <w:rPr>
                <w:sz w:val="16"/>
              </w:rPr>
              <w:t>v2.0</w:t>
            </w:r>
          </w:p>
        </w:tc>
        <w:tc>
          <w:tcPr>
            <w:tcW w:type="dxa" w:w="2304"/>
            <w:vAlign w:val="top"/>
          </w:tcPr>
          <w:p>
            <w:r>
              <w:rPr>
                <w:sz w:val="16"/>
              </w:rPr>
              <w:t>FY29 Q3</w:t>
            </w:r>
          </w:p>
        </w:tc>
        <w:tc>
          <w:tcPr>
            <w:tcW w:type="dxa" w:w="7776"/>
            <w:vAlign w:val="top"/>
          </w:tcPr>
          <w:p>
            <w:r>
              <w:rPr>
                <w:sz w:val="16"/>
              </w:rPr>
              <w:t>Hybrid spend-to-activity engine (auto-switches when activity data arrives).</w:t>
            </w:r>
          </w:p>
        </w:tc>
      </w:tr>
      <w:tr>
        <w:tc>
          <w:tcPr>
            <w:tcW w:type="dxa" w:w="1872"/>
            <w:vAlign w:val="top"/>
          </w:tcPr>
          <w:p>
            <w:r>
              <w:rPr>
                <w:sz w:val="16"/>
              </w:rPr>
              <w:t>v2.5</w:t>
            </w:r>
          </w:p>
        </w:tc>
        <w:tc>
          <w:tcPr>
            <w:tcW w:type="dxa" w:w="2304"/>
            <w:vAlign w:val="top"/>
          </w:tcPr>
          <w:p>
            <w:r>
              <w:rPr>
                <w:sz w:val="16"/>
              </w:rPr>
              <w:t>FY30 Q3</w:t>
            </w:r>
          </w:p>
        </w:tc>
        <w:tc>
          <w:tcPr>
            <w:tcW w:type="dxa" w:w="7776"/>
            <w:vAlign w:val="top"/>
          </w:tcPr>
          <w:p>
            <w:r>
              <w:rPr>
                <w:sz w:val="16"/>
              </w:rPr>
              <w:t>Real-time grid intensity (hourly Scope 2) in key markets.</w:t>
            </w:r>
          </w:p>
        </w:tc>
      </w:tr>
      <w:tr>
        <w:tc>
          <w:tcPr>
            <w:tcW w:type="dxa" w:w="1872"/>
            <w:vAlign w:val="top"/>
          </w:tcPr>
          <w:p>
            <w:r>
              <w:rPr>
                <w:sz w:val="16"/>
              </w:rPr>
              <w:t>v3.0</w:t>
            </w:r>
          </w:p>
        </w:tc>
        <w:tc>
          <w:tcPr>
            <w:tcW w:type="dxa" w:w="2304"/>
            <w:vAlign w:val="top"/>
          </w:tcPr>
          <w:p>
            <w:r>
              <w:rPr>
                <w:sz w:val="16"/>
              </w:rPr>
              <w:t>FY31 Q2</w:t>
            </w:r>
          </w:p>
        </w:tc>
        <w:tc>
          <w:tcPr>
            <w:tcW w:type="dxa" w:w="7776"/>
            <w:vAlign w:val="top"/>
          </w:tcPr>
          <w:p>
            <w:r>
              <w:rPr>
                <w:sz w:val="16"/>
              </w:rPr>
              <w:t>Product-level Scope 3 (linked to PCF Studio); customer-facing 'my share of supplier emissions' API.</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Scope 1/2 must be robust before broad Scope 3 expansion</w:t>
      </w:r>
    </w:p>
    <w:p>
      <w:pPr>
        <w:pStyle w:val="ListBullet"/>
        <w:spacing w:after="20"/>
      </w:pPr>
      <w:r>
        <w:t>Every calculation must carry factor and method version</w:t>
      </w:r>
    </w:p>
    <w:p>
      <w:pPr>
        <w:pStyle w:val="ListBullet"/>
        <w:spacing w:after="20"/>
      </w:pPr>
      <w:r>
        <w:t>GA requires variance and audit exports</w:t>
      </w:r>
    </w:p>
    <w:p>
      <w:pPr>
        <w:pStyle w:val="ListBullet"/>
        <w:spacing w:after="20"/>
      </w:pPr>
      <w:r>
        <w:t>Manual override governance required</w:t>
      </w:r>
    </w:p>
    <w:p>
      <w:pPr>
        <w:pStyle w:val="Heading3"/>
      </w:pPr>
      <w:r>
        <w:t>Key risks to actively manage</w:t>
      </w:r>
    </w:p>
    <w:p>
      <w:pPr>
        <w:pStyle w:val="ListBullet"/>
        <w:spacing w:after="20"/>
      </w:pPr>
      <w:r>
        <w:t>Scope 3 complexity sprawl</w:t>
      </w:r>
    </w:p>
    <w:p>
      <w:pPr>
        <w:pStyle w:val="ListBullet"/>
        <w:spacing w:after="20"/>
      </w:pPr>
      <w:r>
        <w:t>wrong factor mappings</w:t>
      </w:r>
    </w:p>
    <w:p>
      <w:pPr>
        <w:pStyle w:val="ListBullet"/>
        <w:spacing w:after="20"/>
      </w:pPr>
      <w:r>
        <w:t>inventory restatements</w:t>
      </w:r>
    </w:p>
    <w:p>
      <w:pPr>
        <w:pStyle w:val="ListBullet"/>
        <w:spacing w:after="20"/>
      </w:pPr>
      <w:r>
        <w:t>customer overreliance on estimated data</w:t>
      </w:r>
    </w:p>
    <w:p>
      <w:pPr>
        <w:pStyle w:val="Heading3"/>
      </w:pPr>
      <w:r>
        <w:t>Success metrics</w:t>
      </w:r>
    </w:p>
    <w:p>
      <w:pPr>
        <w:pStyle w:val="ListBullet"/>
        <w:spacing w:after="20"/>
      </w:pPr>
      <w:r>
        <w:t>calculation completeness</w:t>
      </w:r>
    </w:p>
    <w:p>
      <w:pPr>
        <w:pStyle w:val="ListBullet"/>
        <w:spacing w:after="20"/>
      </w:pPr>
      <w:r>
        <w:t>activity-to-factor match confidence</w:t>
      </w:r>
    </w:p>
    <w:p>
      <w:pPr>
        <w:pStyle w:val="ListBullet"/>
        <w:spacing w:after="20"/>
      </w:pPr>
      <w:r>
        <w:t>audit adjustment count</w:t>
      </w:r>
    </w:p>
    <w:p>
      <w:pPr>
        <w:pStyle w:val="ListBullet"/>
        <w:spacing w:after="20"/>
      </w:pPr>
      <w:r>
        <w:t>reporting cycle time</w:t>
      </w:r>
    </w:p>
    <w:p>
      <w:pPr>
        <w:pStyle w:val="ListBullet"/>
        <w:spacing w:after="20"/>
      </w:pPr>
      <w:r>
        <w:t>percentage actual vs estimated data</w:t>
      </w:r>
    </w:p>
    <w:p>
      <w:pPr>
        <w:pStyle w:val="ListBullet"/>
        <w:spacing w:after="20"/>
      </w:pPr>
      <w:r>
        <w:t>Supply Chain Cloud</w:t>
      </w:r>
    </w:p>
    <w:p>
      <w:pPr>
        <w:pStyle w:val="Heading3"/>
      </w:pPr>
      <w:r>
        <w:t>Dependency notes</w:t>
      </w:r>
    </w:p>
    <w:p>
      <w:pPr>
        <w:pStyle w:val="ListBullet"/>
        <w:spacing w:after="20"/>
      </w:pPr>
      <w:r>
        <w:t>Upstream: Factors, Ledger, Entity Graph.</w:t>
      </w:r>
    </w:p>
    <w:p>
      <w:pPr>
        <w:pStyle w:val="ListBullet"/>
        <w:spacing w:after="20"/>
      </w:pPr>
      <w:r>
        <w:t>Downstream: Comply, CBAM, SupplierOS, FinanceOS, RiskOS.</w:t>
      </w:r>
    </w:p>
    <w:p>
      <w:pPr>
        <w:pStyle w:val="ListBullet"/>
        <w:spacing w:after="20"/>
      </w:pPr>
      <w:r>
        <w:t>5. Supply Chain Cloud</w:t>
      </w:r>
    </w:p>
    <w:p>
      <w:pPr>
        <w:pStyle w:val="ListBullet"/>
        <w:spacing w:after="20"/>
      </w:pPr>
      <w:r>
        <w:t>This chapter covers 4 products in the Supply Chain Cloud. Each product is specified at PRD-lite depth: definition, buyer, core capabilities, data/integrations, revenue model, full version roadmap, success KPIs, and upstream/downstream dependencies.</w:t>
      </w:r>
    </w:p>
    <w:p>
      <w:r>
        <w:br w:type="page"/>
      </w:r>
    </w:p>
    <w:p>
      <w:pPr>
        <w:pStyle w:val="Heading1"/>
      </w:pPr>
      <w:r>
        <w:t>Supply Chain Cloud</w:t>
      </w:r>
    </w:p>
    <w:p>
      <w:pPr>
        <w:spacing w:after="80"/>
      </w:pPr>
      <w:r>
        <w:t>Proceed after the compliance wedge creates supplier and product-data demand. Treat supplier, product carbon, DPP, and proof workflows as one compound loop, not separate business lines.</w:t>
      </w:r>
    </w:p>
    <w:p>
      <w:r>
        <w:br w:type="page"/>
      </w:r>
    </w:p>
    <w:p>
      <w:pPr>
        <w:pStyle w:val="Heading2"/>
      </w:pPr>
      <w:r>
        <w:t>12. GreenLang SupplierOS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FY28</w:t>
            </w:r>
          </w:p>
        </w:tc>
      </w:tr>
      <w:tr>
        <w:tc>
          <w:tcPr>
            <w:tcW w:type="dxa" w:w="2448"/>
            <w:vAlign w:val="top"/>
            <w:shd w:fill="EAF2F8"/>
          </w:tcPr>
          <w:p>
            <w:r>
              <w:rPr>
                <w:b/>
                <w:color w:val="1F4E79"/>
                <w:sz w:val="16"/>
              </w:rPr>
              <w:t>Recommended v1.0 GA</w:t>
            </w:r>
          </w:p>
        </w:tc>
        <w:tc>
          <w:tcPr>
            <w:tcW w:type="dxa" w:w="8352"/>
            <w:vAlign w:val="top"/>
          </w:tcPr>
          <w:p>
            <w:r>
              <w:rPr>
                <w:sz w:val="16"/>
              </w:rPr>
              <w:t>FY28 Q4</w:t>
            </w:r>
          </w:p>
        </w:tc>
      </w:tr>
      <w:tr>
        <w:tc>
          <w:tcPr>
            <w:tcW w:type="dxa" w:w="2448"/>
            <w:vAlign w:val="top"/>
            <w:shd w:fill="EAF2F8"/>
          </w:tcPr>
          <w:p>
            <w:r>
              <w:rPr>
                <w:b/>
                <w:color w:val="1F4E79"/>
                <w:sz w:val="16"/>
              </w:rPr>
              <w:t>Cloud / squad</w:t>
            </w:r>
          </w:p>
        </w:tc>
        <w:tc>
          <w:tcPr>
            <w:tcW w:type="dxa" w:w="8352"/>
            <w:vAlign w:val="top"/>
          </w:tcPr>
          <w:p>
            <w:r>
              <w:rPr>
                <w:sz w:val="16"/>
              </w:rPr>
              <w:t>Supply Chain Cloud / Supply Chain &amp; Product Carbon Squad</w:t>
            </w:r>
          </w:p>
        </w:tc>
      </w:tr>
      <w:tr>
        <w:tc>
          <w:tcPr>
            <w:tcW w:type="dxa" w:w="2448"/>
            <w:vAlign w:val="top"/>
            <w:shd w:fill="EAF2F8"/>
          </w:tcPr>
          <w:p>
            <w:r>
              <w:rPr>
                <w:b/>
                <w:color w:val="1F4E79"/>
                <w:sz w:val="16"/>
              </w:rPr>
              <w:t>Primary buyer</w:t>
            </w:r>
          </w:p>
        </w:tc>
        <w:tc>
          <w:tcPr>
            <w:tcW w:type="dxa" w:w="8352"/>
            <w:vAlign w:val="top"/>
          </w:tcPr>
          <w:p>
            <w:r>
              <w:rPr>
                <w:sz w:val="16"/>
              </w:rPr>
              <w:t>Procurement and sustainability teams, supplier relationship managers, OEMs, exporters</w:t>
            </w:r>
          </w:p>
        </w:tc>
      </w:tr>
      <w:tr>
        <w:tc>
          <w:tcPr>
            <w:tcW w:type="dxa" w:w="2448"/>
            <w:vAlign w:val="top"/>
            <w:shd w:fill="EAF2F8"/>
          </w:tcPr>
          <w:p>
            <w:r>
              <w:rPr>
                <w:b/>
                <w:color w:val="1F4E79"/>
                <w:sz w:val="16"/>
              </w:rPr>
              <w:t>Revenue model</w:t>
            </w:r>
          </w:p>
        </w:tc>
        <w:tc>
          <w:tcPr>
            <w:tcW w:type="dxa" w:w="8352"/>
            <w:vAlign w:val="top"/>
          </w:tcPr>
          <w:p>
            <w:r>
              <w:rPr>
                <w:sz w:val="16"/>
              </w:rPr>
              <w:t>Per-supplier + platform</w:t>
            </w:r>
          </w:p>
        </w:tc>
      </w:tr>
      <w:tr>
        <w:tc>
          <w:tcPr>
            <w:tcW w:type="dxa" w:w="2448"/>
            <w:vAlign w:val="top"/>
            <w:shd w:fill="EAF2F8"/>
          </w:tcPr>
          <w:p>
            <w:r>
              <w:rPr>
                <w:b/>
                <w:color w:val="1F4E79"/>
                <w:sz w:val="16"/>
              </w:rPr>
              <w:t>Definition</w:t>
            </w:r>
          </w:p>
        </w:tc>
        <w:tc>
          <w:tcPr>
            <w:tcW w:type="dxa" w:w="8352"/>
            <w:vAlign w:val="top"/>
          </w:tcPr>
          <w:p>
            <w:r>
              <w:rPr>
                <w:sz w:val="16"/>
              </w:rPr>
              <w:t>A supplier engagement, data collection, scoring, and collaboration system for carbon and sustainability data across tiered supply chains. It turns compliance requests into an ongoing supplier network and evidence workflow.</w:t>
            </w:r>
          </w:p>
        </w:tc>
      </w:tr>
      <w:tr>
        <w:tc>
          <w:tcPr>
            <w:tcW w:type="dxa" w:w="2448"/>
            <w:vAlign w:val="top"/>
            <w:shd w:fill="EAF2F8"/>
          </w:tcPr>
          <w:p>
            <w:r>
              <w:rPr>
                <w:b/>
                <w:color w:val="1F4E79"/>
                <w:sz w:val="16"/>
              </w:rPr>
              <w:t>Strategic role</w:t>
            </w:r>
          </w:p>
        </w:tc>
        <w:tc>
          <w:tcPr>
            <w:tcW w:type="dxa" w:w="8352"/>
            <w:vAlign w:val="top"/>
          </w:tcPr>
          <w:p>
            <w:r>
              <w:rPr>
                <w:sz w:val="16"/>
              </w:rPr>
              <w:t>SupplierOS converts the early compliance wedge into a data network moat. It is the bridge from enterprise reporting to product carbon, DPP, and procurement action.</w:t>
            </w:r>
          </w:p>
        </w:tc>
      </w:tr>
      <w:tr>
        <w:tc>
          <w:tcPr>
            <w:tcW w:type="dxa" w:w="2448"/>
            <w:vAlign w:val="top"/>
            <w:shd w:fill="EAF2F8"/>
          </w:tcPr>
          <w:p>
            <w:r>
              <w:rPr>
                <w:b/>
                <w:color w:val="1F4E79"/>
                <w:sz w:val="16"/>
              </w:rPr>
              <w:t>Pricing / packaging logic</w:t>
            </w:r>
          </w:p>
        </w:tc>
        <w:tc>
          <w:tcPr>
            <w:tcW w:type="dxa" w:w="8352"/>
            <w:vAlign w:val="top"/>
          </w:tcPr>
          <w:p>
            <w:r>
              <w:rPr>
                <w:sz w:val="16"/>
              </w:rPr>
              <w:t>Per-supplier network pricing plus enterprise platform fee; free lightweight supplier access to avoid adoption friction; paid premium supplier analytics for enterprise buyers.</w:t>
            </w:r>
          </w:p>
        </w:tc>
      </w:tr>
    </w:tbl>
    <w:p>
      <w:pPr>
        <w:pStyle w:val="Heading3"/>
      </w:pPr>
      <w:r>
        <w:t>CTO final pathway</w:t>
      </w:r>
    </w:p>
    <w:p>
      <w:pPr>
        <w:spacing w:after="80"/>
      </w:pPr>
      <w:r>
        <w:t>Build GreenLang SupplierOS as a modular product on the shared substrate. The release target is FY28; GA is gated for FY28 Q4. Do not GA before at least 2 enterprise buyers have active supplier campaigns Portal must be self-serve for suppliers</w:t>
      </w:r>
    </w:p>
    <w:p>
      <w:pPr>
        <w:pStyle w:val="Heading3"/>
      </w:pPr>
      <w:r>
        <w:t>Why it exists</w:t>
      </w:r>
    </w:p>
    <w:p>
      <w:pPr>
        <w:spacing w:after="80"/>
      </w:pPr>
      <w:r>
        <w:t>Scope 3 Category 1 (purchased goods) is the biggest emissions bucket for most manufacturers, and the weakest in data quality. Suppliers are spammed with conflicting questionnaires from every buyer. Buyers want primary data but end up with spend-based defaults.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procurement managers</w:t>
              <w:br/>
              <w:t>supplier sustainability leads</w:t>
              <w:br/>
              <w:t>category managers</w:t>
              <w:br/>
              <w:t>supplier account owners</w:t>
              <w:br/>
              <w:t>auditors</w:t>
              <w:br/>
              <w:t>OEM supply-chain teams</w:t>
            </w:r>
          </w:p>
        </w:tc>
      </w:tr>
      <w:tr>
        <w:tc>
          <w:tcPr>
            <w:tcW w:type="dxa" w:w="3024"/>
            <w:vAlign w:val="top"/>
          </w:tcPr>
          <w:p>
            <w:r>
              <w:rPr>
                <w:sz w:val="16"/>
              </w:rPr>
              <w:t>Jobs to be done</w:t>
            </w:r>
          </w:p>
        </w:tc>
        <w:tc>
          <w:tcPr>
            <w:tcW w:type="dxa" w:w="8640"/>
            <w:vAlign w:val="top"/>
          </w:tcPr>
          <w:p>
            <w:r>
              <w:rPr>
                <w:sz w:val="16"/>
              </w:rPr>
              <w:t>Invite suppliers to submit data and evidence</w:t>
              <w:br/>
              <w:t>Track supplier carbon maturity and response quality</w:t>
              <w:br/>
              <w:t>Collect facility/product/activity data</w:t>
              <w:br/>
              <w:t>Provide supplier improvement requests</w:t>
              <w:br/>
              <w:t>Reuse supplier data across CBAM, PCF, Scope 3, and DPP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Supplier portal: one-time onboarding, reusable across buyers.</w:t>
              <w:br/>
              <w:t>Data collection flows: supplier-level footprint, product-level PCF, facility audits, CBAM data.</w:t>
              <w:br/>
              <w:t>Scorecards: CDP Supply Chain, EcoVadis-adjacent, custom.</w:t>
              <w:br/>
              <w:t>Engagement campaigns: tiered asks (Tier 1 / critical / long-tail).</w:t>
              <w:br/>
              <w:t>SBTi supplier engagement module (target-setting).</w:t>
              <w:br/>
              <w:t>Automated nudges, calibrated escalation to procurement.</w:t>
              <w:br/>
              <w:t>Supplier-to-supplier data reuse (network effect: a Tier 1 supplier's data flows to all its buyers).</w:t>
              <w:br/>
              <w:t>Multi-lingual (14 languages at GA).</w:t>
            </w:r>
          </w:p>
        </w:tc>
      </w:tr>
      <w:tr>
        <w:tc>
          <w:tcPr>
            <w:tcW w:type="dxa" w:w="3456"/>
            <w:vAlign w:val="top"/>
          </w:tcPr>
          <w:p>
            <w:r>
              <w:rPr>
                <w:sz w:val="16"/>
              </w:rPr>
              <w:t>In-scope product modules</w:t>
            </w:r>
          </w:p>
        </w:tc>
        <w:tc>
          <w:tcPr>
            <w:tcW w:type="dxa" w:w="8352"/>
            <w:vAlign w:val="top"/>
          </w:tcPr>
          <w:p>
            <w:r>
              <w:rPr>
                <w:sz w:val="16"/>
              </w:rPr>
              <w:t>supplier portal</w:t>
              <w:br/>
              <w:t>questionnaire and data-request builder</w:t>
              <w:br/>
              <w:t>supplier scoring</w:t>
              <w:br/>
              <w:t>evidence upload</w:t>
              <w:br/>
              <w:t>tier mapping</w:t>
              <w:br/>
              <w:t>supplier task management</w:t>
              <w:br/>
              <w:t>data reuse and permissioning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supplier profiles</w:t>
              <w:br/>
              <w:t>facility data</w:t>
              <w:br/>
              <w:t>product links</w:t>
              <w:br/>
              <w:t>questionnaire responses</w:t>
              <w:br/>
              <w:t>emissions/activity data</w:t>
              <w:br/>
              <w:t>evidence</w:t>
              <w:br/>
              <w:t>contracts/categories</w:t>
              <w:br/>
              <w:t>supplier risk scores</w:t>
            </w:r>
          </w:p>
        </w:tc>
      </w:tr>
      <w:tr>
        <w:tc>
          <w:tcPr>
            <w:tcW w:type="dxa" w:w="3384"/>
            <w:vAlign w:val="top"/>
          </w:tcPr>
          <w:p>
            <w:r>
              <w:rPr>
                <w:sz w:val="16"/>
              </w:rPr>
              <w:t>External/product integrations</w:t>
            </w:r>
          </w:p>
        </w:tc>
        <w:tc>
          <w:tcPr>
            <w:tcW w:type="dxa" w:w="8496"/>
            <w:vAlign w:val="top"/>
          </w:tcPr>
          <w:p>
            <w:r>
              <w:rPr>
                <w:sz w:val="16"/>
              </w:rPr>
              <w:t>Entity Graph; Connect; Scope Engine; PCF Studio; DPP Hub; Evidence Vault; procurement suites; supplier master data</w:t>
            </w:r>
          </w:p>
        </w:tc>
      </w:tr>
      <w:tr>
        <w:tc>
          <w:tcPr>
            <w:tcW w:type="dxa" w:w="3384"/>
            <w:vAlign w:val="top"/>
          </w:tcPr>
          <w:p>
            <w:r>
              <w:rPr>
                <w:sz w:val="16"/>
              </w:rPr>
              <w:t>GreenLang dependencies</w:t>
            </w:r>
          </w:p>
        </w:tc>
        <w:tc>
          <w:tcPr>
            <w:tcW w:type="dxa" w:w="8496"/>
            <w:vAlign w:val="top"/>
          </w:tcPr>
          <w:p>
            <w:r>
              <w:rPr>
                <w:sz w:val="16"/>
              </w:rPr>
              <w:t>Entity Graph; Evidence Vault; Climate Ledger; Scope Engine; CBAM for initial wedge</w:t>
            </w:r>
          </w:p>
        </w:tc>
      </w:tr>
      <w:tr>
        <w:tc>
          <w:tcPr>
            <w:tcW w:type="dxa" w:w="3384"/>
            <w:vAlign w:val="top"/>
          </w:tcPr>
          <w:p>
            <w:r>
              <w:rPr>
                <w:sz w:val="16"/>
              </w:rPr>
              <w:t>Customer outputs and deliverables</w:t>
            </w:r>
          </w:p>
        </w:tc>
        <w:tc>
          <w:tcPr>
            <w:tcW w:type="dxa" w:w="8496"/>
            <w:vAlign w:val="top"/>
          </w:tcPr>
          <w:p>
            <w:r>
              <w:rPr>
                <w:sz w:val="16"/>
              </w:rPr>
              <w:t>supplier data pack</w:t>
              <w:br/>
              <w:t>supplier scorecard</w:t>
              <w:br/>
              <w:t>category emissions view</w:t>
              <w:br/>
              <w:t>non-response report</w:t>
              <w:br/>
              <w:t>supplier improvement plan</w:t>
            </w:r>
          </w:p>
        </w:tc>
      </w:tr>
    </w:tbl>
    <w:p>
      <w:pPr>
        <w:pStyle w:val="Heading3"/>
      </w:pPr>
      <w:r>
        <w:t>AI and automation behavior</w:t>
      </w:r>
    </w:p>
    <w:p>
      <w:pPr>
        <w:pStyle w:val="ListBullet"/>
        <w:spacing w:after="20"/>
      </w:pPr>
      <w:r>
        <w:t>supplier segmentation</w:t>
      </w:r>
    </w:p>
    <w:p>
      <w:pPr>
        <w:pStyle w:val="ListBullet"/>
        <w:spacing w:after="20"/>
      </w:pPr>
      <w:r>
        <w:t>automated request drafting</w:t>
      </w:r>
    </w:p>
    <w:p>
      <w:pPr>
        <w:pStyle w:val="ListBullet"/>
        <w:spacing w:after="20"/>
      </w:pPr>
      <w:r>
        <w:t>response-quality scoring</w:t>
      </w:r>
    </w:p>
    <w:p>
      <w:pPr>
        <w:pStyle w:val="ListBullet"/>
        <w:spacing w:after="20"/>
      </w:pPr>
      <w:r>
        <w:t>data-gap and anomaly detection</w:t>
      </w:r>
    </w:p>
    <w:p>
      <w:pPr>
        <w:pStyle w:val="ListBullet"/>
        <w:spacing w:after="20"/>
      </w:pPr>
      <w:r>
        <w:t>supplier help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FY28 Q1</w:t>
            </w:r>
          </w:p>
        </w:tc>
        <w:tc>
          <w:tcPr>
            <w:tcW w:type="dxa" w:w="7776"/>
            <w:vAlign w:val="top"/>
          </w:tcPr>
          <w:p>
            <w:r>
              <w:rPr>
                <w:sz w:val="16"/>
              </w:rPr>
              <w:t>Supplier portal, facility-level data collection, 2 design partners.</w:t>
            </w:r>
          </w:p>
        </w:tc>
      </w:tr>
      <w:tr>
        <w:tc>
          <w:tcPr>
            <w:tcW w:type="dxa" w:w="1872"/>
            <w:vAlign w:val="top"/>
          </w:tcPr>
          <w:p>
            <w:r>
              <w:rPr>
                <w:sz w:val="16"/>
              </w:rPr>
              <w:t>v0.5 Closed Beta</w:t>
            </w:r>
          </w:p>
        </w:tc>
        <w:tc>
          <w:tcPr>
            <w:tcW w:type="dxa" w:w="2304"/>
            <w:vAlign w:val="top"/>
          </w:tcPr>
          <w:p>
            <w:r>
              <w:rPr>
                <w:sz w:val="16"/>
              </w:rPr>
              <w:t>FY28 Q2</w:t>
            </w:r>
          </w:p>
        </w:tc>
        <w:tc>
          <w:tcPr>
            <w:tcW w:type="dxa" w:w="7776"/>
            <w:vAlign w:val="top"/>
          </w:tcPr>
          <w:p>
            <w:r>
              <w:rPr>
                <w:sz w:val="16"/>
              </w:rPr>
              <w:t>Scorecards; tiered campaigns; 10 languages.</w:t>
            </w:r>
          </w:p>
        </w:tc>
      </w:tr>
      <w:tr>
        <w:tc>
          <w:tcPr>
            <w:tcW w:type="dxa" w:w="1872"/>
            <w:vAlign w:val="top"/>
          </w:tcPr>
          <w:p>
            <w:r>
              <w:rPr>
                <w:sz w:val="16"/>
              </w:rPr>
              <w:t>v0.9 Public Beta</w:t>
            </w:r>
          </w:p>
        </w:tc>
        <w:tc>
          <w:tcPr>
            <w:tcW w:type="dxa" w:w="2304"/>
            <w:vAlign w:val="top"/>
          </w:tcPr>
          <w:p>
            <w:r>
              <w:rPr>
                <w:sz w:val="16"/>
              </w:rPr>
              <w:t>FY28 Q3</w:t>
            </w:r>
          </w:p>
        </w:tc>
        <w:tc>
          <w:tcPr>
            <w:tcW w:type="dxa" w:w="7776"/>
            <w:vAlign w:val="top"/>
          </w:tcPr>
          <w:p>
            <w:r>
              <w:rPr>
                <w:sz w:val="16"/>
              </w:rPr>
              <w:t>SBTi module; procurement integrations (Ariba, Coupa).</w:t>
            </w:r>
          </w:p>
        </w:tc>
      </w:tr>
      <w:tr>
        <w:tc>
          <w:tcPr>
            <w:tcW w:type="dxa" w:w="1872"/>
            <w:vAlign w:val="top"/>
          </w:tcPr>
          <w:p>
            <w:r>
              <w:rPr>
                <w:sz w:val="16"/>
              </w:rPr>
              <w:t>v1.0 GA</w:t>
            </w:r>
          </w:p>
        </w:tc>
        <w:tc>
          <w:tcPr>
            <w:tcW w:type="dxa" w:w="2304"/>
            <w:vAlign w:val="top"/>
          </w:tcPr>
          <w:p>
            <w:r>
              <w:rPr>
                <w:sz w:val="16"/>
              </w:rPr>
              <w:t>FY28 Q4</w:t>
            </w:r>
          </w:p>
        </w:tc>
        <w:tc>
          <w:tcPr>
            <w:tcW w:type="dxa" w:w="7776"/>
            <w:vAlign w:val="top"/>
          </w:tcPr>
          <w:p>
            <w:r>
              <w:rPr>
                <w:sz w:val="16"/>
              </w:rPr>
              <w:t>Product-level PCF flow; multi-buyer data reuse.</w:t>
            </w:r>
          </w:p>
        </w:tc>
      </w:tr>
      <w:tr>
        <w:tc>
          <w:tcPr>
            <w:tcW w:type="dxa" w:w="1872"/>
            <w:vAlign w:val="top"/>
          </w:tcPr>
          <w:p>
            <w:r>
              <w:rPr>
                <w:sz w:val="16"/>
              </w:rPr>
              <w:t>v1.5</w:t>
            </w:r>
          </w:p>
        </w:tc>
        <w:tc>
          <w:tcPr>
            <w:tcW w:type="dxa" w:w="2304"/>
            <w:vAlign w:val="top"/>
          </w:tcPr>
          <w:p>
            <w:r>
              <w:rPr>
                <w:sz w:val="16"/>
              </w:rPr>
              <w:t>FY29 Q3</w:t>
            </w:r>
          </w:p>
        </w:tc>
        <w:tc>
          <w:tcPr>
            <w:tcW w:type="dxa" w:w="7776"/>
            <w:vAlign w:val="top"/>
          </w:tcPr>
          <w:p>
            <w:r>
              <w:rPr>
                <w:sz w:val="16"/>
              </w:rPr>
              <w:t>Supplier finance hook - link to green-trade-finance programs.</w:t>
            </w:r>
          </w:p>
        </w:tc>
      </w:tr>
      <w:tr>
        <w:tc>
          <w:tcPr>
            <w:tcW w:type="dxa" w:w="1872"/>
            <w:vAlign w:val="top"/>
          </w:tcPr>
          <w:p>
            <w:r>
              <w:rPr>
                <w:sz w:val="16"/>
              </w:rPr>
              <w:t>v2.0</w:t>
            </w:r>
          </w:p>
        </w:tc>
        <w:tc>
          <w:tcPr>
            <w:tcW w:type="dxa" w:w="2304"/>
            <w:vAlign w:val="top"/>
          </w:tcPr>
          <w:p>
            <w:r>
              <w:rPr>
                <w:sz w:val="16"/>
              </w:rPr>
              <w:t>FY30 Q2</w:t>
            </w:r>
          </w:p>
        </w:tc>
        <w:tc>
          <w:tcPr>
            <w:tcW w:type="dxa" w:w="7776"/>
            <w:vAlign w:val="top"/>
          </w:tcPr>
          <w:p>
            <w:r>
              <w:rPr>
                <w:sz w:val="16"/>
              </w:rPr>
              <w:t>Network-wide supplier intelligence (anonymized benchmarks).</w:t>
            </w:r>
          </w:p>
        </w:tc>
      </w:tr>
      <w:tr>
        <w:tc>
          <w:tcPr>
            <w:tcW w:type="dxa" w:w="1872"/>
            <w:vAlign w:val="top"/>
          </w:tcPr>
          <w:p>
            <w:r>
              <w:rPr>
                <w:sz w:val="16"/>
              </w:rPr>
              <w:t>v2.5</w:t>
            </w:r>
          </w:p>
        </w:tc>
        <w:tc>
          <w:tcPr>
            <w:tcW w:type="dxa" w:w="2304"/>
            <w:vAlign w:val="top"/>
          </w:tcPr>
          <w:p>
            <w:r>
              <w:rPr>
                <w:sz w:val="16"/>
              </w:rPr>
              <w:t>FY30 Q4</w:t>
            </w:r>
          </w:p>
        </w:tc>
        <w:tc>
          <w:tcPr>
            <w:tcW w:type="dxa" w:w="7776"/>
            <w:vAlign w:val="top"/>
          </w:tcPr>
          <w:p>
            <w:r>
              <w:rPr>
                <w:sz w:val="16"/>
              </w:rPr>
              <w:t>Supplier-side SaaS tier (suppliers pay to manage their disclosures across all buyers).</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Two-sided marketplace with take-rate on procurement events where sustainability data shapes outcomes.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GA before at least 2 enterprise buyers have active supplier campaigns</w:t>
      </w:r>
    </w:p>
    <w:p>
      <w:pPr>
        <w:pStyle w:val="ListBullet"/>
        <w:spacing w:after="20"/>
      </w:pPr>
      <w:r>
        <w:t>Portal must be self-serve for suppliers</w:t>
      </w:r>
    </w:p>
    <w:p>
      <w:pPr>
        <w:pStyle w:val="ListBullet"/>
        <w:spacing w:after="20"/>
      </w:pPr>
      <w:r>
        <w:t>Supplier data permissions must be explicit</w:t>
      </w:r>
    </w:p>
    <w:p>
      <w:pPr>
        <w:pStyle w:val="ListBullet"/>
        <w:spacing w:after="20"/>
      </w:pPr>
      <w:r>
        <w:t>GA requires low-friction onboarding and multilingual basics</w:t>
      </w:r>
    </w:p>
    <w:p>
      <w:pPr>
        <w:pStyle w:val="Heading3"/>
      </w:pPr>
      <w:r>
        <w:t>Key risks to actively manage</w:t>
      </w:r>
    </w:p>
    <w:p>
      <w:pPr>
        <w:pStyle w:val="ListBullet"/>
        <w:spacing w:after="20"/>
      </w:pPr>
      <w:r>
        <w:t>supplier fatigue</w:t>
      </w:r>
    </w:p>
    <w:p>
      <w:pPr>
        <w:pStyle w:val="ListBullet"/>
        <w:spacing w:after="20"/>
      </w:pPr>
      <w:r>
        <w:t>low response rates</w:t>
      </w:r>
    </w:p>
    <w:p>
      <w:pPr>
        <w:pStyle w:val="ListBullet"/>
        <w:spacing w:after="20"/>
      </w:pPr>
      <w:r>
        <w:t>poor data quality</w:t>
      </w:r>
    </w:p>
    <w:p>
      <w:pPr>
        <w:pStyle w:val="ListBullet"/>
        <w:spacing w:after="20"/>
      </w:pPr>
      <w:r>
        <w:t>procurement teams not owning sustainability workflow</w:t>
      </w:r>
    </w:p>
    <w:p>
      <w:pPr>
        <w:pStyle w:val="Heading3"/>
      </w:pPr>
      <w:r>
        <w:t>Success metrics</w:t>
      </w:r>
    </w:p>
    <w:p>
      <w:pPr>
        <w:pStyle w:val="ListBullet"/>
        <w:spacing w:after="20"/>
      </w:pPr>
      <w:r>
        <w:t>supplier activation rate</w:t>
      </w:r>
    </w:p>
    <w:p>
      <w:pPr>
        <w:pStyle w:val="ListBullet"/>
        <w:spacing w:after="20"/>
      </w:pPr>
      <w:r>
        <w:t>response completeness</w:t>
      </w:r>
    </w:p>
    <w:p>
      <w:pPr>
        <w:pStyle w:val="ListBullet"/>
        <w:spacing w:after="20"/>
      </w:pPr>
      <w:r>
        <w:t>time-to-first-supplier-data</w:t>
      </w:r>
    </w:p>
    <w:p>
      <w:pPr>
        <w:pStyle w:val="ListBullet"/>
        <w:spacing w:after="20"/>
      </w:pPr>
      <w:r>
        <w:t>data reuse across products</w:t>
      </w:r>
    </w:p>
    <w:p>
      <w:pPr>
        <w:pStyle w:val="ListBullet"/>
        <w:spacing w:after="20"/>
      </w:pPr>
      <w:r>
        <w:t>supplier campaign renewal rate</w:t>
      </w:r>
    </w:p>
    <w:p>
      <w:pPr>
        <w:pStyle w:val="Heading3"/>
      </w:pPr>
      <w:r>
        <w:t>Dependency notes</w:t>
      </w:r>
    </w:p>
    <w:p>
      <w:pPr>
        <w:pStyle w:val="ListBullet"/>
        <w:spacing w:after="20"/>
      </w:pPr>
      <w:r>
        <w:t>Upstream: Entity Graph (supplier entities), Factors, Ledger, Evidence Vault.</w:t>
      </w:r>
    </w:p>
    <w:p>
      <w:pPr>
        <w:pStyle w:val="ListBullet"/>
        <w:spacing w:after="20"/>
      </w:pPr>
      <w:r>
        <w:t>Downstream: Scope Engine, PCF Studio, CBAM, DPP Hub.</w:t>
      </w:r>
    </w:p>
    <w:p>
      <w:r>
        <w:br w:type="page"/>
      </w:r>
    </w:p>
    <w:p>
      <w:pPr>
        <w:pStyle w:val="Heading2"/>
      </w:pPr>
      <w:r>
        <w:t>13. GreenLang PCF Studio</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FY28</w:t>
            </w:r>
          </w:p>
        </w:tc>
      </w:tr>
      <w:tr>
        <w:tc>
          <w:tcPr>
            <w:tcW w:type="dxa" w:w="2448"/>
            <w:vAlign w:val="top"/>
            <w:shd w:fill="EAF2F8"/>
          </w:tcPr>
          <w:p>
            <w:r>
              <w:rPr>
                <w:b/>
                <w:color w:val="1F4E79"/>
                <w:sz w:val="16"/>
              </w:rPr>
              <w:t>Recommended v1.0 GA</w:t>
            </w:r>
          </w:p>
        </w:tc>
        <w:tc>
          <w:tcPr>
            <w:tcW w:type="dxa" w:w="8352"/>
            <w:vAlign w:val="top"/>
          </w:tcPr>
          <w:p>
            <w:r>
              <w:rPr>
                <w:sz w:val="16"/>
              </w:rPr>
              <w:t>FY28 Q4</w:t>
            </w:r>
          </w:p>
        </w:tc>
      </w:tr>
      <w:tr>
        <w:tc>
          <w:tcPr>
            <w:tcW w:type="dxa" w:w="2448"/>
            <w:vAlign w:val="top"/>
            <w:shd w:fill="EAF2F8"/>
          </w:tcPr>
          <w:p>
            <w:r>
              <w:rPr>
                <w:b/>
                <w:color w:val="1F4E79"/>
                <w:sz w:val="16"/>
              </w:rPr>
              <w:t>Cloud / squad</w:t>
            </w:r>
          </w:p>
        </w:tc>
        <w:tc>
          <w:tcPr>
            <w:tcW w:type="dxa" w:w="8352"/>
            <w:vAlign w:val="top"/>
          </w:tcPr>
          <w:p>
            <w:r>
              <w:rPr>
                <w:sz w:val="16"/>
              </w:rPr>
              <w:t>Supply Chain Cloud / Supply Chain &amp; Product Carbon Squad</w:t>
            </w:r>
          </w:p>
        </w:tc>
      </w:tr>
      <w:tr>
        <w:tc>
          <w:tcPr>
            <w:tcW w:type="dxa" w:w="2448"/>
            <w:vAlign w:val="top"/>
            <w:shd w:fill="EAF2F8"/>
          </w:tcPr>
          <w:p>
            <w:r>
              <w:rPr>
                <w:b/>
                <w:color w:val="1F4E79"/>
                <w:sz w:val="16"/>
              </w:rPr>
              <w:t>Primary buyer</w:t>
            </w:r>
          </w:p>
        </w:tc>
        <w:tc>
          <w:tcPr>
            <w:tcW w:type="dxa" w:w="8352"/>
            <w:vAlign w:val="top"/>
          </w:tcPr>
          <w:p>
            <w:r>
              <w:rPr>
                <w:sz w:val="16"/>
              </w:rPr>
              <w:t>Manufacturers, OEMs, product sustainability teams, LCA consultants</w:t>
            </w:r>
          </w:p>
        </w:tc>
      </w:tr>
      <w:tr>
        <w:tc>
          <w:tcPr>
            <w:tcW w:type="dxa" w:w="2448"/>
            <w:vAlign w:val="top"/>
            <w:shd w:fill="EAF2F8"/>
          </w:tcPr>
          <w:p>
            <w:r>
              <w:rPr>
                <w:b/>
                <w:color w:val="1F4E79"/>
                <w:sz w:val="16"/>
              </w:rPr>
              <w:t>Revenue model</w:t>
            </w:r>
          </w:p>
        </w:tc>
        <w:tc>
          <w:tcPr>
            <w:tcW w:type="dxa" w:w="8352"/>
            <w:vAlign w:val="top"/>
          </w:tcPr>
          <w:p>
            <w:r>
              <w:rPr>
                <w:sz w:val="16"/>
              </w:rPr>
              <w:t>Per-SKU + platform</w:t>
            </w:r>
          </w:p>
        </w:tc>
      </w:tr>
      <w:tr>
        <w:tc>
          <w:tcPr>
            <w:tcW w:type="dxa" w:w="2448"/>
            <w:vAlign w:val="top"/>
            <w:shd w:fill="EAF2F8"/>
          </w:tcPr>
          <w:p>
            <w:r>
              <w:rPr>
                <w:b/>
                <w:color w:val="1F4E79"/>
                <w:sz w:val="16"/>
              </w:rPr>
              <w:t>Definition</w:t>
            </w:r>
          </w:p>
        </w:tc>
        <w:tc>
          <w:tcPr>
            <w:tcW w:type="dxa" w:w="8352"/>
            <w:vAlign w:val="top"/>
          </w:tcPr>
          <w:p>
            <w:r>
              <w:rPr>
                <w:sz w:val="16"/>
              </w:rPr>
              <w:t>A product carbon footprint workspace for SKU/BOM-level emissions modeling, primary-data collection, allocation, lifecycle-stage mapping, evidence management, and customer/auditor-ready product footprint declarations.</w:t>
            </w:r>
          </w:p>
        </w:tc>
      </w:tr>
      <w:tr>
        <w:tc>
          <w:tcPr>
            <w:tcW w:type="dxa" w:w="2448"/>
            <w:vAlign w:val="top"/>
            <w:shd w:fill="EAF2F8"/>
          </w:tcPr>
          <w:p>
            <w:r>
              <w:rPr>
                <w:b/>
                <w:color w:val="1F4E79"/>
                <w:sz w:val="16"/>
              </w:rPr>
              <w:t>Strategic role</w:t>
            </w:r>
          </w:p>
        </w:tc>
        <w:tc>
          <w:tcPr>
            <w:tcW w:type="dxa" w:w="8352"/>
            <w:vAlign w:val="top"/>
          </w:tcPr>
          <w:p>
            <w:r>
              <w:rPr>
                <w:sz w:val="16"/>
              </w:rPr>
              <w:t>PCF Studio deepens GreenLang from company-level emissions into product-level data, which is critical for exporters, OEMs, DPP, supplier networks, and carbon-aware procurement.</w:t>
            </w:r>
          </w:p>
        </w:tc>
      </w:tr>
      <w:tr>
        <w:tc>
          <w:tcPr>
            <w:tcW w:type="dxa" w:w="2448"/>
            <w:vAlign w:val="top"/>
            <w:shd w:fill="EAF2F8"/>
          </w:tcPr>
          <w:p>
            <w:r>
              <w:rPr>
                <w:b/>
                <w:color w:val="1F4E79"/>
                <w:sz w:val="16"/>
              </w:rPr>
              <w:t>Pricing / packaging logic</w:t>
            </w:r>
          </w:p>
        </w:tc>
        <w:tc>
          <w:tcPr>
            <w:tcW w:type="dxa" w:w="8352"/>
            <w:vAlign w:val="top"/>
          </w:tcPr>
          <w:p>
            <w:r>
              <w:rPr>
                <w:sz w:val="16"/>
              </w:rPr>
              <w:t>Per-SKU/product family subscription, enterprise platform fee, implementation for complex product models, optional consultant/verifier collaboration seats.</w:t>
            </w:r>
          </w:p>
        </w:tc>
      </w:tr>
    </w:tbl>
    <w:p>
      <w:pPr>
        <w:pStyle w:val="Heading3"/>
      </w:pPr>
      <w:r>
        <w:t>CTO final pathway</w:t>
      </w:r>
    </w:p>
    <w:p>
      <w:pPr>
        <w:spacing w:after="80"/>
      </w:pPr>
      <w:r>
        <w:t>Build GreenLang PCF Studio as a modular product on the shared substrate. The release target is FY28; GA is gated for FY28 Q4. Initial GA only for priority manufacturing segments tied to design partners Footprint methods must be transparent and configurable</w:t>
      </w:r>
    </w:p>
    <w:p>
      <w:pPr>
        <w:pStyle w:val="Heading3"/>
      </w:pPr>
      <w:r>
        <w:t>Why it exists</w:t>
      </w:r>
    </w:p>
    <w:p>
      <w:pPr>
        <w:spacing w:after="80"/>
      </w:pPr>
      <w:r>
        <w:t>Product carbon footprints are moving from 'one-off consulting project' to 'required on every SKU' (DPP, customer mandates, CBAM, retailer requirements). Traditional LCA software costs $$$ per study and takes months; customers need PCFs at scale and with methodology-conformance guarantees.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product sustainability teams</w:t>
              <w:br/>
              <w:t>manufacturing engineers</w:t>
              <w:br/>
              <w:t>procurement teams</w:t>
              <w:br/>
              <w:t>LCA consultants</w:t>
              <w:br/>
              <w:t>sales teams responding to customer PCF requests</w:t>
              <w:br/>
              <w:t>auditors</w:t>
            </w:r>
          </w:p>
        </w:tc>
      </w:tr>
      <w:tr>
        <w:tc>
          <w:tcPr>
            <w:tcW w:type="dxa" w:w="3024"/>
            <w:vAlign w:val="top"/>
          </w:tcPr>
          <w:p>
            <w:r>
              <w:rPr>
                <w:sz w:val="16"/>
              </w:rPr>
              <w:t>Jobs to be done</w:t>
            </w:r>
          </w:p>
        </w:tc>
        <w:tc>
          <w:tcPr>
            <w:tcW w:type="dxa" w:w="8640"/>
            <w:vAlign w:val="top"/>
          </w:tcPr>
          <w:p>
            <w:r>
              <w:rPr>
                <w:sz w:val="16"/>
              </w:rPr>
              <w:t>Build product footprint models from BOM, process, energy, logistics, and supplier data</w:t>
              <w:br/>
              <w:t>Allocate facility emissions to products</w:t>
              <w:br/>
              <w:t>Manage primary vs secondary data quality</w:t>
              <w:br/>
              <w:t>Generate customer-ready PCF declarations</w:t>
              <w:br/>
              <w:t>Update footprints as suppliers/processes change</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Product modeling: BOM ingestion, process modeling, allocation rules.</w:t>
              <w:br/>
              <w:t>Methodology conformance: ISO 14040/44/67, PACT Framework, Together for Sustainability (TfS), PEF where applicable.</w:t>
              <w:br/>
              <w:t>Factor selection via Factors product, with supplier-specific overrides from SupplierOS.</w:t>
              <w:br/>
              <w:t>Variant modeling (same product, different formulations).</w:t>
              <w:br/>
              <w:t>PCF library with reuse and inheritance across SKUs.</w:t>
              <w:br/>
              <w:t>Data exchange: PACT Network conformance, TfS PCF exchange, Catena-X (auto).</w:t>
              <w:br/>
              <w:t>PCF-to-DPP pipeline.</w:t>
              <w:br/>
              <w:t>Sensitivity/what-if: 'what if we switch supplier? What if we switch materials?'</w:t>
            </w:r>
          </w:p>
        </w:tc>
      </w:tr>
      <w:tr>
        <w:tc>
          <w:tcPr>
            <w:tcW w:type="dxa" w:w="3456"/>
            <w:vAlign w:val="top"/>
          </w:tcPr>
          <w:p>
            <w:r>
              <w:rPr>
                <w:sz w:val="16"/>
              </w:rPr>
              <w:t>In-scope product modules</w:t>
            </w:r>
          </w:p>
        </w:tc>
        <w:tc>
          <w:tcPr>
            <w:tcW w:type="dxa" w:w="8352"/>
            <w:vAlign w:val="top"/>
          </w:tcPr>
          <w:p>
            <w:r>
              <w:rPr>
                <w:sz w:val="16"/>
              </w:rPr>
              <w:t>product/BOM model</w:t>
              <w:br/>
              <w:t>lifecycle-stage workflow</w:t>
              <w:br/>
              <w:t>allocation engine</w:t>
              <w:br/>
              <w:t>supplier data ingestion</w:t>
              <w:br/>
              <w:t>data-quality scoring</w:t>
              <w:br/>
              <w:t>footprint declaration pack</w:t>
              <w:br/>
              <w:t>scenario comparison</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SKU/BOM</w:t>
              <w:br/>
              <w:t>materials</w:t>
              <w:br/>
              <w:t>process steps</w:t>
              <w:br/>
              <w:t>energy use</w:t>
              <w:br/>
              <w:t>production volumes</w:t>
              <w:br/>
              <w:t>supplier factors/data</w:t>
              <w:br/>
              <w:t>logistics legs</w:t>
              <w:br/>
              <w:t>allocation rules</w:t>
              <w:br/>
              <w:t>evidence</w:t>
              <w:br/>
              <w:t>factor versions</w:t>
            </w:r>
          </w:p>
        </w:tc>
      </w:tr>
      <w:tr>
        <w:tc>
          <w:tcPr>
            <w:tcW w:type="dxa" w:w="3384"/>
            <w:vAlign w:val="top"/>
          </w:tcPr>
          <w:p>
            <w:r>
              <w:rPr>
                <w:sz w:val="16"/>
              </w:rPr>
              <w:t>External/product integrations</w:t>
            </w:r>
          </w:p>
        </w:tc>
        <w:tc>
          <w:tcPr>
            <w:tcW w:type="dxa" w:w="8496"/>
            <w:vAlign w:val="top"/>
          </w:tcPr>
          <w:p>
            <w:r>
              <w:rPr>
                <w:sz w:val="16"/>
              </w:rPr>
              <w:t>SupplierOS; DPP Hub; CBAM; Scope Engine; PlantOS; Connect; Factors; Evidence Vault; ERP/PLM/MES systems</w:t>
            </w:r>
          </w:p>
        </w:tc>
      </w:tr>
      <w:tr>
        <w:tc>
          <w:tcPr>
            <w:tcW w:type="dxa" w:w="3384"/>
            <w:vAlign w:val="top"/>
          </w:tcPr>
          <w:p>
            <w:r>
              <w:rPr>
                <w:sz w:val="16"/>
              </w:rPr>
              <w:t>GreenLang dependencies</w:t>
            </w:r>
          </w:p>
        </w:tc>
        <w:tc>
          <w:tcPr>
            <w:tcW w:type="dxa" w:w="8496"/>
            <w:vAlign w:val="top"/>
          </w:tcPr>
          <w:p>
            <w:r>
              <w:rPr>
                <w:sz w:val="16"/>
              </w:rPr>
              <w:t>Factors; SupplierOS; Connect; Climate Ledger; Evidence Vault; Entity Graph</w:t>
            </w:r>
          </w:p>
        </w:tc>
      </w:tr>
      <w:tr>
        <w:tc>
          <w:tcPr>
            <w:tcW w:type="dxa" w:w="3384"/>
            <w:vAlign w:val="top"/>
          </w:tcPr>
          <w:p>
            <w:r>
              <w:rPr>
                <w:sz w:val="16"/>
              </w:rPr>
              <w:t>Customer outputs and deliverables</w:t>
            </w:r>
          </w:p>
        </w:tc>
        <w:tc>
          <w:tcPr>
            <w:tcW w:type="dxa" w:w="8496"/>
            <w:vAlign w:val="top"/>
          </w:tcPr>
          <w:p>
            <w:r>
              <w:rPr>
                <w:sz w:val="16"/>
              </w:rPr>
              <w:t>PCF result</w:t>
              <w:br/>
              <w:t>data-quality rating</w:t>
              <w:br/>
              <w:t>customer declaration</w:t>
              <w:br/>
              <w:t>methodology pack</w:t>
              <w:br/>
              <w:t>scenario comparison</w:t>
              <w:br/>
              <w:t>API-accessible product footprint</w:t>
            </w:r>
          </w:p>
        </w:tc>
      </w:tr>
    </w:tbl>
    <w:p>
      <w:pPr>
        <w:pStyle w:val="Heading3"/>
      </w:pPr>
      <w:r>
        <w:t>AI and automation behavior</w:t>
      </w:r>
    </w:p>
    <w:p>
      <w:pPr>
        <w:pStyle w:val="ListBullet"/>
        <w:spacing w:after="20"/>
      </w:pPr>
      <w:r>
        <w:t>BOM-to-factor mapping</w:t>
      </w:r>
    </w:p>
    <w:p>
      <w:pPr>
        <w:pStyle w:val="ListBullet"/>
        <w:spacing w:after="20"/>
      </w:pPr>
      <w:r>
        <w:t>allocation-rule suggestion</w:t>
      </w:r>
    </w:p>
    <w:p>
      <w:pPr>
        <w:pStyle w:val="ListBullet"/>
        <w:spacing w:after="20"/>
      </w:pPr>
      <w:r>
        <w:t>primary-data gap detection</w:t>
      </w:r>
    </w:p>
    <w:p>
      <w:pPr>
        <w:pStyle w:val="ListBullet"/>
        <w:spacing w:after="20"/>
      </w:pPr>
      <w:r>
        <w:t>explanation generator for customers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FY28 Q1</w:t>
            </w:r>
          </w:p>
        </w:tc>
        <w:tc>
          <w:tcPr>
            <w:tcW w:type="dxa" w:w="7776"/>
            <w:vAlign w:val="top"/>
          </w:tcPr>
          <w:p>
            <w:r>
              <w:rPr>
                <w:sz w:val="16"/>
              </w:rPr>
              <w:t>Cradle-to-gate PCF for simple SKUs; ISO 14067 alignment; 2 design partners.</w:t>
            </w:r>
          </w:p>
        </w:tc>
      </w:tr>
      <w:tr>
        <w:tc>
          <w:tcPr>
            <w:tcW w:type="dxa" w:w="1872"/>
            <w:vAlign w:val="top"/>
          </w:tcPr>
          <w:p>
            <w:r>
              <w:rPr>
                <w:sz w:val="16"/>
              </w:rPr>
              <w:t>v0.5 Closed Beta</w:t>
            </w:r>
          </w:p>
        </w:tc>
        <w:tc>
          <w:tcPr>
            <w:tcW w:type="dxa" w:w="2304"/>
            <w:vAlign w:val="top"/>
          </w:tcPr>
          <w:p>
            <w:r>
              <w:rPr>
                <w:sz w:val="16"/>
              </w:rPr>
              <w:t>FY28 Q2</w:t>
            </w:r>
          </w:p>
        </w:tc>
        <w:tc>
          <w:tcPr>
            <w:tcW w:type="dxa" w:w="7776"/>
            <w:vAlign w:val="top"/>
          </w:tcPr>
          <w:p>
            <w:r>
              <w:rPr>
                <w:sz w:val="16"/>
              </w:rPr>
              <w:t>Allocation rules, variant modeling, PACT conformance.</w:t>
            </w:r>
          </w:p>
        </w:tc>
      </w:tr>
      <w:tr>
        <w:tc>
          <w:tcPr>
            <w:tcW w:type="dxa" w:w="1872"/>
            <w:vAlign w:val="top"/>
          </w:tcPr>
          <w:p>
            <w:r>
              <w:rPr>
                <w:sz w:val="16"/>
              </w:rPr>
              <w:t>v0.9 Public Beta</w:t>
            </w:r>
          </w:p>
        </w:tc>
        <w:tc>
          <w:tcPr>
            <w:tcW w:type="dxa" w:w="2304"/>
            <w:vAlign w:val="top"/>
          </w:tcPr>
          <w:p>
            <w:r>
              <w:rPr>
                <w:sz w:val="16"/>
              </w:rPr>
              <w:t>FY28 Q3</w:t>
            </w:r>
          </w:p>
        </w:tc>
        <w:tc>
          <w:tcPr>
            <w:tcW w:type="dxa" w:w="7776"/>
            <w:vAlign w:val="top"/>
          </w:tcPr>
          <w:p>
            <w:r>
              <w:rPr>
                <w:sz w:val="16"/>
              </w:rPr>
              <w:t>TfS exchange; PCF library with inheritance.</w:t>
            </w:r>
          </w:p>
        </w:tc>
      </w:tr>
      <w:tr>
        <w:tc>
          <w:tcPr>
            <w:tcW w:type="dxa" w:w="1872"/>
            <w:vAlign w:val="top"/>
          </w:tcPr>
          <w:p>
            <w:r>
              <w:rPr>
                <w:sz w:val="16"/>
              </w:rPr>
              <w:t>v1.0 GA</w:t>
            </w:r>
          </w:p>
        </w:tc>
        <w:tc>
          <w:tcPr>
            <w:tcW w:type="dxa" w:w="2304"/>
            <w:vAlign w:val="top"/>
          </w:tcPr>
          <w:p>
            <w:r>
              <w:rPr>
                <w:sz w:val="16"/>
              </w:rPr>
              <w:t>FY28 Q4</w:t>
            </w:r>
          </w:p>
        </w:tc>
        <w:tc>
          <w:tcPr>
            <w:tcW w:type="dxa" w:w="7776"/>
            <w:vAlign w:val="top"/>
          </w:tcPr>
          <w:p>
            <w:r>
              <w:rPr>
                <w:sz w:val="16"/>
              </w:rPr>
              <w:t>Cradle-to-grave option; first audited PCF (third-party verified).</w:t>
            </w:r>
          </w:p>
        </w:tc>
      </w:tr>
      <w:tr>
        <w:tc>
          <w:tcPr>
            <w:tcW w:type="dxa" w:w="1872"/>
            <w:vAlign w:val="top"/>
          </w:tcPr>
          <w:p>
            <w:r>
              <w:rPr>
                <w:sz w:val="16"/>
              </w:rPr>
              <w:t>v1.5</w:t>
            </w:r>
          </w:p>
        </w:tc>
        <w:tc>
          <w:tcPr>
            <w:tcW w:type="dxa" w:w="2304"/>
            <w:vAlign w:val="top"/>
          </w:tcPr>
          <w:p>
            <w:r>
              <w:rPr>
                <w:sz w:val="16"/>
              </w:rPr>
              <w:t>FY29 Q3</w:t>
            </w:r>
          </w:p>
        </w:tc>
        <w:tc>
          <w:tcPr>
            <w:tcW w:type="dxa" w:w="7776"/>
            <w:vAlign w:val="top"/>
          </w:tcPr>
          <w:p>
            <w:r>
              <w:rPr>
                <w:sz w:val="16"/>
              </w:rPr>
              <w:t>Catena-X integration for automotive.</w:t>
            </w:r>
          </w:p>
        </w:tc>
      </w:tr>
      <w:tr>
        <w:tc>
          <w:tcPr>
            <w:tcW w:type="dxa" w:w="1872"/>
            <w:vAlign w:val="top"/>
          </w:tcPr>
          <w:p>
            <w:r>
              <w:rPr>
                <w:sz w:val="16"/>
              </w:rPr>
              <w:t>v2.0</w:t>
            </w:r>
          </w:p>
        </w:tc>
        <w:tc>
          <w:tcPr>
            <w:tcW w:type="dxa" w:w="2304"/>
            <w:vAlign w:val="top"/>
          </w:tcPr>
          <w:p>
            <w:r>
              <w:rPr>
                <w:sz w:val="16"/>
              </w:rPr>
              <w:t>FY30 Q2</w:t>
            </w:r>
          </w:p>
        </w:tc>
        <w:tc>
          <w:tcPr>
            <w:tcW w:type="dxa" w:w="7776"/>
            <w:vAlign w:val="top"/>
          </w:tcPr>
          <w:p>
            <w:r>
              <w:rPr>
                <w:sz w:val="16"/>
              </w:rPr>
              <w:t>High-volume API for retailer mandates (1M+ SKUs); bulk import from ERP product master.</w:t>
            </w:r>
          </w:p>
        </w:tc>
      </w:tr>
      <w:tr>
        <w:tc>
          <w:tcPr>
            <w:tcW w:type="dxa" w:w="1872"/>
            <w:vAlign w:val="top"/>
          </w:tcPr>
          <w:p>
            <w:r>
              <w:rPr>
                <w:sz w:val="16"/>
              </w:rPr>
              <w:t>v2.5</w:t>
            </w:r>
          </w:p>
        </w:tc>
        <w:tc>
          <w:tcPr>
            <w:tcW w:type="dxa" w:w="2304"/>
            <w:vAlign w:val="top"/>
          </w:tcPr>
          <w:p>
            <w:r>
              <w:rPr>
                <w:sz w:val="16"/>
              </w:rPr>
              <w:t>FY30 Q4</w:t>
            </w:r>
          </w:p>
        </w:tc>
        <w:tc>
          <w:tcPr>
            <w:tcW w:type="dxa" w:w="7776"/>
            <w:vAlign w:val="top"/>
          </w:tcPr>
          <w:p>
            <w:r>
              <w:rPr>
                <w:sz w:val="16"/>
              </w:rPr>
              <w:t>PCF benchmarks and peer comparison across anonymized network.</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AI-generated draft PCFs (reviewed by humans) from BOM + factor library.</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Initial GA only for priority manufacturing segments tied to design partners</w:t>
      </w:r>
    </w:p>
    <w:p>
      <w:pPr>
        <w:pStyle w:val="ListBullet"/>
        <w:spacing w:after="20"/>
      </w:pPr>
      <w:r>
        <w:t>Footprint methods must be transparent and configurable</w:t>
      </w:r>
    </w:p>
    <w:p>
      <w:pPr>
        <w:pStyle w:val="ListBullet"/>
        <w:spacing w:after="20"/>
      </w:pPr>
      <w:r>
        <w:t>GA requires product-level evidence trail</w:t>
      </w:r>
    </w:p>
    <w:p>
      <w:pPr>
        <w:pStyle w:val="ListBullet"/>
        <w:spacing w:after="20"/>
      </w:pPr>
      <w:r>
        <w:t>Avoid deep LCA consulting dependence by standardizing templates</w:t>
      </w:r>
    </w:p>
    <w:p>
      <w:pPr>
        <w:pStyle w:val="Heading3"/>
      </w:pPr>
      <w:r>
        <w:t>Key risks to actively manage</w:t>
      </w:r>
    </w:p>
    <w:p>
      <w:pPr>
        <w:pStyle w:val="ListBullet"/>
        <w:spacing w:after="20"/>
      </w:pPr>
      <w:r>
        <w:t>methodology disputes</w:t>
      </w:r>
    </w:p>
    <w:p>
      <w:pPr>
        <w:pStyle w:val="ListBullet"/>
        <w:spacing w:after="20"/>
      </w:pPr>
      <w:r>
        <w:t>BOM data sensitivity</w:t>
      </w:r>
    </w:p>
    <w:p>
      <w:pPr>
        <w:pStyle w:val="ListBullet"/>
        <w:spacing w:after="20"/>
      </w:pPr>
      <w:r>
        <w:t>complex allocation rules</w:t>
      </w:r>
    </w:p>
    <w:p>
      <w:pPr>
        <w:pStyle w:val="ListBullet"/>
        <w:spacing w:after="20"/>
      </w:pPr>
      <w:r>
        <w:t>insufficient primary supplier data</w:t>
      </w:r>
    </w:p>
    <w:p>
      <w:pPr>
        <w:pStyle w:val="Heading3"/>
      </w:pPr>
      <w:r>
        <w:t>Success metrics</w:t>
      </w:r>
    </w:p>
    <w:p>
      <w:pPr>
        <w:pStyle w:val="ListBullet"/>
        <w:spacing w:after="20"/>
      </w:pPr>
      <w:r>
        <w:t>number of active SKUs</w:t>
      </w:r>
    </w:p>
    <w:p>
      <w:pPr>
        <w:pStyle w:val="ListBullet"/>
        <w:spacing w:after="20"/>
      </w:pPr>
      <w:r>
        <w:t>percentage primary data</w:t>
      </w:r>
    </w:p>
    <w:p>
      <w:pPr>
        <w:pStyle w:val="ListBullet"/>
        <w:spacing w:after="20"/>
      </w:pPr>
      <w:r>
        <w:t>time to create/update PCF</w:t>
      </w:r>
    </w:p>
    <w:p>
      <w:pPr>
        <w:pStyle w:val="ListBullet"/>
        <w:spacing w:after="20"/>
      </w:pPr>
      <w:r>
        <w:t>customer acceptance rate</w:t>
      </w:r>
    </w:p>
    <w:p>
      <w:pPr>
        <w:pStyle w:val="ListBullet"/>
        <w:spacing w:after="20"/>
      </w:pPr>
      <w:r>
        <w:t>data-quality score improvement</w:t>
      </w:r>
    </w:p>
    <w:p>
      <w:pPr>
        <w:pStyle w:val="Heading3"/>
      </w:pPr>
      <w:r>
        <w:t>Dependency notes</w:t>
      </w:r>
    </w:p>
    <w:p>
      <w:pPr>
        <w:pStyle w:val="ListBullet"/>
        <w:spacing w:after="20"/>
      </w:pPr>
      <w:r>
        <w:t>Upstream: Factors, Ledger, Entity Graph, SupplierOS.</w:t>
      </w:r>
    </w:p>
    <w:p>
      <w:pPr>
        <w:pStyle w:val="ListBullet"/>
        <w:spacing w:after="20"/>
      </w:pPr>
      <w:r>
        <w:t>Downstream: DPP Hub, CBAM, Comply (Scope 3 C1/C11/C12).</w:t>
      </w:r>
    </w:p>
    <w:p>
      <w:r>
        <w:br w:type="page"/>
      </w:r>
    </w:p>
    <w:p>
      <w:pPr>
        <w:pStyle w:val="Heading2"/>
      </w:pPr>
      <w:r>
        <w:t>14. GreenLang DPP Hub</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FY28</w:t>
            </w:r>
          </w:p>
        </w:tc>
      </w:tr>
      <w:tr>
        <w:tc>
          <w:tcPr>
            <w:tcW w:type="dxa" w:w="2448"/>
            <w:vAlign w:val="top"/>
            <w:shd w:fill="EAF2F8"/>
          </w:tcPr>
          <w:p>
            <w:r>
              <w:rPr>
                <w:b/>
                <w:color w:val="1F4E79"/>
                <w:sz w:val="16"/>
              </w:rPr>
              <w:t>Recommended v1.0 GA</w:t>
            </w:r>
          </w:p>
        </w:tc>
        <w:tc>
          <w:tcPr>
            <w:tcW w:type="dxa" w:w="8352"/>
            <w:vAlign w:val="top"/>
          </w:tcPr>
          <w:p>
            <w:r>
              <w:rPr>
                <w:sz w:val="16"/>
              </w:rPr>
              <w:t>FY29 Q2</w:t>
            </w:r>
          </w:p>
        </w:tc>
      </w:tr>
      <w:tr>
        <w:tc>
          <w:tcPr>
            <w:tcW w:type="dxa" w:w="2448"/>
            <w:vAlign w:val="top"/>
            <w:shd w:fill="EAF2F8"/>
          </w:tcPr>
          <w:p>
            <w:r>
              <w:rPr>
                <w:b/>
                <w:color w:val="1F4E79"/>
                <w:sz w:val="16"/>
              </w:rPr>
              <w:t>Cloud / squad</w:t>
            </w:r>
          </w:p>
        </w:tc>
        <w:tc>
          <w:tcPr>
            <w:tcW w:type="dxa" w:w="8352"/>
            <w:vAlign w:val="top"/>
          </w:tcPr>
          <w:p>
            <w:r>
              <w:rPr>
                <w:sz w:val="16"/>
              </w:rPr>
              <w:t>Supply Chain Cloud / Supply Chain &amp; Product Carbon Squad</w:t>
            </w:r>
          </w:p>
        </w:tc>
      </w:tr>
      <w:tr>
        <w:tc>
          <w:tcPr>
            <w:tcW w:type="dxa" w:w="2448"/>
            <w:vAlign w:val="top"/>
            <w:shd w:fill="EAF2F8"/>
          </w:tcPr>
          <w:p>
            <w:r>
              <w:rPr>
                <w:b/>
                <w:color w:val="1F4E79"/>
                <w:sz w:val="16"/>
              </w:rPr>
              <w:t>Primary buyer</w:t>
            </w:r>
          </w:p>
        </w:tc>
        <w:tc>
          <w:tcPr>
            <w:tcW w:type="dxa" w:w="8352"/>
            <w:vAlign w:val="top"/>
          </w:tcPr>
          <w:p>
            <w:r>
              <w:rPr>
                <w:sz w:val="16"/>
              </w:rPr>
              <w:t>OEMs, importers, product compliance teams, circularity teams</w:t>
            </w:r>
          </w:p>
        </w:tc>
      </w:tr>
      <w:tr>
        <w:tc>
          <w:tcPr>
            <w:tcW w:type="dxa" w:w="2448"/>
            <w:vAlign w:val="top"/>
            <w:shd w:fill="EAF2F8"/>
          </w:tcPr>
          <w:p>
            <w:r>
              <w:rPr>
                <w:b/>
                <w:color w:val="1F4E79"/>
                <w:sz w:val="16"/>
              </w:rPr>
              <w:t>Revenue model</w:t>
            </w:r>
          </w:p>
        </w:tc>
        <w:tc>
          <w:tcPr>
            <w:tcW w:type="dxa" w:w="8352"/>
            <w:vAlign w:val="top"/>
          </w:tcPr>
          <w:p>
            <w:r>
              <w:rPr>
                <w:sz w:val="16"/>
              </w:rPr>
              <w:t>Per-DPP + platform</w:t>
            </w:r>
          </w:p>
        </w:tc>
      </w:tr>
      <w:tr>
        <w:tc>
          <w:tcPr>
            <w:tcW w:type="dxa" w:w="2448"/>
            <w:vAlign w:val="top"/>
            <w:shd w:fill="EAF2F8"/>
          </w:tcPr>
          <w:p>
            <w:r>
              <w:rPr>
                <w:b/>
                <w:color w:val="1F4E79"/>
                <w:sz w:val="16"/>
              </w:rPr>
              <w:t>Definition</w:t>
            </w:r>
          </w:p>
        </w:tc>
        <w:tc>
          <w:tcPr>
            <w:tcW w:type="dxa" w:w="8352"/>
            <w:vAlign w:val="top"/>
          </w:tcPr>
          <w:p>
            <w:r>
              <w:rPr>
                <w:sz w:val="16"/>
              </w:rPr>
              <w:t>A Digital Product Passport orchestration hub for assembling product identity, materials, carbon, durability, repairability, compliance, traceability, and evidence data into shareable product records and APIs.</w:t>
            </w:r>
          </w:p>
        </w:tc>
      </w:tr>
      <w:tr>
        <w:tc>
          <w:tcPr>
            <w:tcW w:type="dxa" w:w="2448"/>
            <w:vAlign w:val="top"/>
            <w:shd w:fill="EAF2F8"/>
          </w:tcPr>
          <w:p>
            <w:r>
              <w:rPr>
                <w:b/>
                <w:color w:val="1F4E79"/>
                <w:sz w:val="16"/>
              </w:rPr>
              <w:t>Strategic role</w:t>
            </w:r>
          </w:p>
        </w:tc>
        <w:tc>
          <w:tcPr>
            <w:tcW w:type="dxa" w:w="8352"/>
            <w:vAlign w:val="top"/>
          </w:tcPr>
          <w:p>
            <w:r>
              <w:rPr>
                <w:sz w:val="16"/>
              </w:rPr>
              <w:t>DPP Hub positions GreenLang for product-regulation and circularity workflows while reusing supplier, PCF, evidence, and entity data already collected through the platform.</w:t>
            </w:r>
          </w:p>
        </w:tc>
      </w:tr>
      <w:tr>
        <w:tc>
          <w:tcPr>
            <w:tcW w:type="dxa" w:w="2448"/>
            <w:vAlign w:val="top"/>
            <w:shd w:fill="EAF2F8"/>
          </w:tcPr>
          <w:p>
            <w:r>
              <w:rPr>
                <w:b/>
                <w:color w:val="1F4E79"/>
                <w:sz w:val="16"/>
              </w:rPr>
              <w:t>Pricing / packaging logic</w:t>
            </w:r>
          </w:p>
        </w:tc>
        <w:tc>
          <w:tcPr>
            <w:tcW w:type="dxa" w:w="8352"/>
            <w:vAlign w:val="top"/>
          </w:tcPr>
          <w:p>
            <w:r>
              <w:rPr>
                <w:sz w:val="16"/>
              </w:rPr>
              <w:t>Per-DPP or product-family pricing plus platform subscription; higher tiers for API volume, white-label views, and verifier collaboration.</w:t>
            </w:r>
          </w:p>
        </w:tc>
      </w:tr>
    </w:tbl>
    <w:p>
      <w:pPr>
        <w:pStyle w:val="Heading3"/>
      </w:pPr>
      <w:r>
        <w:t>CTO final pathway</w:t>
      </w:r>
    </w:p>
    <w:p>
      <w:pPr>
        <w:spacing w:after="80"/>
      </w:pPr>
      <w:r>
        <w:t>Build GreenLang DPP Hub as a modular product on the shared substrate. The release target is FY28; GA is gated for FY29 Q2. Do not overbuild until product categories and buyer obligations are clear GA requires stable product data schema and permission model</w:t>
      </w:r>
    </w:p>
    <w:p>
      <w:pPr>
        <w:pStyle w:val="Heading3"/>
      </w:pPr>
      <w:r>
        <w:t>Why it exists</w:t>
      </w:r>
    </w:p>
    <w:p>
      <w:pPr>
        <w:spacing w:after="80"/>
      </w:pPr>
      <w:r>
        <w:t>The EU DPP regulation (ESPR) is coming into force sector by sector from 2027 onward: batteries first, then textiles, electronics, construction products, plastics, and more. Every product needs a verifiable digital record covering origin, composition, repairability, recyclability, and carbon.</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product compliance managers</w:t>
              <w:br/>
              <w:t>OEM sustainability teams</w:t>
              <w:br/>
              <w:t>supply-chain data owners</w:t>
              <w:br/>
              <w:t>consumer goods teams</w:t>
              <w:br/>
              <w:t>auditors/verifiers</w:t>
              <w:br/>
              <w:t>digital product teams</w:t>
            </w:r>
          </w:p>
        </w:tc>
      </w:tr>
      <w:tr>
        <w:tc>
          <w:tcPr>
            <w:tcW w:type="dxa" w:w="3024"/>
            <w:vAlign w:val="top"/>
          </w:tcPr>
          <w:p>
            <w:r>
              <w:rPr>
                <w:sz w:val="16"/>
              </w:rPr>
              <w:t>Jobs to be done</w:t>
            </w:r>
          </w:p>
        </w:tc>
        <w:tc>
          <w:tcPr>
            <w:tcW w:type="dxa" w:w="8640"/>
            <w:vAlign w:val="top"/>
          </w:tcPr>
          <w:p>
            <w:r>
              <w:rPr>
                <w:sz w:val="16"/>
              </w:rPr>
              <w:t>Create and maintain product passport records</w:t>
              <w:br/>
              <w:t>Link PCF, material, supplier, and compliance evidence</w:t>
              <w:br/>
              <w:t>Expose product data to customers, regulators, and partners</w:t>
              <w:br/>
              <w:t>Manage product data updates over lifecycle</w:t>
              <w:br/>
              <w:t>Support circularity and repair/recycling data 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DPP schema per sector, aligned to ESPR delegated acts.</w:t>
              <w:br/>
              <w:t>Product identifier issuance (GS1 Digital Link, QR, NFC, RFID integration).</w:t>
              <w:br/>
              <w:t>Passport content: PCF, material composition, origin, repairability, recyclability, certificates.</w:t>
              <w:br/>
              <w:t>Verifier workflow.</w:t>
              <w:br/>
              <w:t>Consumer-facing DPP pages (white-labeled).</w:t>
              <w:br/>
              <w:t>API for retailer/regulator ingestion.</w:t>
              <w:br/>
              <w:t>Update lineage and change-history for the lifetime of the product.</w:t>
            </w:r>
          </w:p>
        </w:tc>
      </w:tr>
      <w:tr>
        <w:tc>
          <w:tcPr>
            <w:tcW w:type="dxa" w:w="3456"/>
            <w:vAlign w:val="top"/>
          </w:tcPr>
          <w:p>
            <w:r>
              <w:rPr>
                <w:sz w:val="16"/>
              </w:rPr>
              <w:t>In-scope product modules</w:t>
            </w:r>
          </w:p>
        </w:tc>
        <w:tc>
          <w:tcPr>
            <w:tcW w:type="dxa" w:w="8352"/>
            <w:vAlign w:val="top"/>
          </w:tcPr>
          <w:p>
            <w:r>
              <w:rPr>
                <w:sz w:val="16"/>
              </w:rPr>
              <w:t>product passport registry</w:t>
              <w:br/>
              <w:t>attribute schema manager</w:t>
              <w:br/>
              <w:t>QR/API access layer</w:t>
              <w:br/>
              <w:t>PCF and supplier links</w:t>
              <w:br/>
              <w:t>evidence binding</w:t>
              <w:br/>
              <w:t>versioned product record</w:t>
              <w:br/>
              <w:t>permissioned sharing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product identity</w:t>
              <w:br/>
              <w:t>SKU/model data</w:t>
              <w:br/>
              <w:t>materials</w:t>
              <w:br/>
              <w:t>PCF</w:t>
              <w:br/>
              <w:t>supplier provenance</w:t>
              <w:br/>
              <w:t>certifications</w:t>
              <w:br/>
              <w:t>repair/recycling attributes</w:t>
              <w:br/>
              <w:t>compliance claims</w:t>
              <w:br/>
              <w:t>evidence</w:t>
              <w:br/>
              <w:t>version history</w:t>
            </w:r>
          </w:p>
        </w:tc>
      </w:tr>
      <w:tr>
        <w:tc>
          <w:tcPr>
            <w:tcW w:type="dxa" w:w="3384"/>
            <w:vAlign w:val="top"/>
          </w:tcPr>
          <w:p>
            <w:r>
              <w:rPr>
                <w:sz w:val="16"/>
              </w:rPr>
              <w:t>External/product integrations</w:t>
            </w:r>
          </w:p>
        </w:tc>
        <w:tc>
          <w:tcPr>
            <w:tcW w:type="dxa" w:w="8496"/>
            <w:vAlign w:val="top"/>
          </w:tcPr>
          <w:p>
            <w:r>
              <w:rPr>
                <w:sz w:val="16"/>
              </w:rPr>
              <w:t>PCF Studio; SupplierOS; Evidence Vault; Climate Ledger; Circularity Hub; PLM/ERP/e-commerce systems; QR/API services</w:t>
            </w:r>
          </w:p>
        </w:tc>
      </w:tr>
      <w:tr>
        <w:tc>
          <w:tcPr>
            <w:tcW w:type="dxa" w:w="3384"/>
            <w:vAlign w:val="top"/>
          </w:tcPr>
          <w:p>
            <w:r>
              <w:rPr>
                <w:sz w:val="16"/>
              </w:rPr>
              <w:t>GreenLang dependencies</w:t>
            </w:r>
          </w:p>
        </w:tc>
        <w:tc>
          <w:tcPr>
            <w:tcW w:type="dxa" w:w="8496"/>
            <w:vAlign w:val="top"/>
          </w:tcPr>
          <w:p>
            <w:r>
              <w:rPr>
                <w:sz w:val="16"/>
              </w:rPr>
              <w:t>PCF Studio; SupplierOS; Entity Graph; Evidence Vault; SDK/API/CLI</w:t>
            </w:r>
          </w:p>
        </w:tc>
      </w:tr>
      <w:tr>
        <w:tc>
          <w:tcPr>
            <w:tcW w:type="dxa" w:w="3384"/>
            <w:vAlign w:val="top"/>
          </w:tcPr>
          <w:p>
            <w:r>
              <w:rPr>
                <w:sz w:val="16"/>
              </w:rPr>
              <w:t>Customer outputs and deliverables</w:t>
            </w:r>
          </w:p>
        </w:tc>
        <w:tc>
          <w:tcPr>
            <w:tcW w:type="dxa" w:w="8496"/>
            <w:vAlign w:val="top"/>
          </w:tcPr>
          <w:p>
            <w:r>
              <w:rPr>
                <w:sz w:val="16"/>
              </w:rPr>
              <w:t>digital product passport</w:t>
              <w:br/>
              <w:t>QR-linked product record</w:t>
              <w:br/>
              <w:t>API record</w:t>
              <w:br/>
              <w:t>compliance evidence pack</w:t>
              <w:br/>
              <w:t>product data change log</w:t>
            </w:r>
          </w:p>
        </w:tc>
      </w:tr>
    </w:tbl>
    <w:p>
      <w:pPr>
        <w:pStyle w:val="Heading3"/>
      </w:pPr>
      <w:r>
        <w:t>AI and automation behavior</w:t>
      </w:r>
    </w:p>
    <w:p>
      <w:pPr>
        <w:pStyle w:val="ListBullet"/>
        <w:spacing w:after="20"/>
      </w:pPr>
      <w:r>
        <w:t>attribute extraction from product docs</w:t>
      </w:r>
    </w:p>
    <w:p>
      <w:pPr>
        <w:pStyle w:val="ListBullet"/>
        <w:spacing w:after="20"/>
      </w:pPr>
      <w:r>
        <w:t>data-gap assistant</w:t>
      </w:r>
    </w:p>
    <w:p>
      <w:pPr>
        <w:pStyle w:val="ListBullet"/>
        <w:spacing w:after="20"/>
      </w:pPr>
      <w:r>
        <w:t>passport completeness scoring</w:t>
      </w:r>
    </w:p>
    <w:p>
      <w:pPr>
        <w:pStyle w:val="ListBullet"/>
        <w:spacing w:after="20"/>
      </w:pPr>
      <w:r>
        <w:t>customer/regulator response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FY28 Q2</w:t>
            </w:r>
          </w:p>
        </w:tc>
        <w:tc>
          <w:tcPr>
            <w:tcW w:type="dxa" w:w="7776"/>
            <w:vAlign w:val="top"/>
          </w:tcPr>
          <w:p>
            <w:r>
              <w:rPr>
                <w:sz w:val="16"/>
              </w:rPr>
              <w:t>Battery DPP; 2 design partners; QR + GS1 DL.</w:t>
            </w:r>
          </w:p>
        </w:tc>
      </w:tr>
      <w:tr>
        <w:tc>
          <w:tcPr>
            <w:tcW w:type="dxa" w:w="1872"/>
            <w:vAlign w:val="top"/>
          </w:tcPr>
          <w:p>
            <w:r>
              <w:rPr>
                <w:sz w:val="16"/>
              </w:rPr>
              <w:t>v0.5 Closed Beta</w:t>
            </w:r>
          </w:p>
        </w:tc>
        <w:tc>
          <w:tcPr>
            <w:tcW w:type="dxa" w:w="2304"/>
            <w:vAlign w:val="top"/>
          </w:tcPr>
          <w:p>
            <w:r>
              <w:rPr>
                <w:sz w:val="16"/>
              </w:rPr>
              <w:t>FY28 Q3</w:t>
            </w:r>
          </w:p>
        </w:tc>
        <w:tc>
          <w:tcPr>
            <w:tcW w:type="dxa" w:w="7776"/>
            <w:vAlign w:val="top"/>
          </w:tcPr>
          <w:p>
            <w:r>
              <w:rPr>
                <w:sz w:val="16"/>
              </w:rPr>
              <w:t>Textiles + electronics schemas.</w:t>
            </w:r>
          </w:p>
        </w:tc>
      </w:tr>
      <w:tr>
        <w:tc>
          <w:tcPr>
            <w:tcW w:type="dxa" w:w="1872"/>
            <w:vAlign w:val="top"/>
          </w:tcPr>
          <w:p>
            <w:r>
              <w:rPr>
                <w:sz w:val="16"/>
              </w:rPr>
              <w:t>v0.9 Public Beta</w:t>
            </w:r>
          </w:p>
        </w:tc>
        <w:tc>
          <w:tcPr>
            <w:tcW w:type="dxa" w:w="2304"/>
            <w:vAlign w:val="top"/>
          </w:tcPr>
          <w:p>
            <w:r>
              <w:rPr>
                <w:sz w:val="16"/>
              </w:rPr>
              <w:t>FY28 Q4</w:t>
            </w:r>
          </w:p>
        </w:tc>
        <w:tc>
          <w:tcPr>
            <w:tcW w:type="dxa" w:w="7776"/>
            <w:vAlign w:val="top"/>
          </w:tcPr>
          <w:p>
            <w:r>
              <w:rPr>
                <w:sz w:val="16"/>
              </w:rPr>
              <w:t>Consumer-facing pages; verifier workflow.</w:t>
            </w:r>
          </w:p>
        </w:tc>
      </w:tr>
      <w:tr>
        <w:tc>
          <w:tcPr>
            <w:tcW w:type="dxa" w:w="1872"/>
            <w:vAlign w:val="top"/>
          </w:tcPr>
          <w:p>
            <w:r>
              <w:rPr>
                <w:sz w:val="16"/>
              </w:rPr>
              <w:t>v1.0 GA</w:t>
            </w:r>
          </w:p>
        </w:tc>
        <w:tc>
          <w:tcPr>
            <w:tcW w:type="dxa" w:w="2304"/>
            <w:vAlign w:val="top"/>
          </w:tcPr>
          <w:p>
            <w:r>
              <w:rPr>
                <w:sz w:val="16"/>
              </w:rPr>
              <w:t>FY29 Q2</w:t>
            </w:r>
          </w:p>
        </w:tc>
        <w:tc>
          <w:tcPr>
            <w:tcW w:type="dxa" w:w="7776"/>
            <w:vAlign w:val="top"/>
          </w:tcPr>
          <w:p>
            <w:r>
              <w:rPr>
                <w:sz w:val="16"/>
              </w:rPr>
              <w:t>Construction products + plastics; first regulator-accepted submission.</w:t>
            </w:r>
          </w:p>
        </w:tc>
      </w:tr>
      <w:tr>
        <w:tc>
          <w:tcPr>
            <w:tcW w:type="dxa" w:w="1872"/>
            <w:vAlign w:val="top"/>
          </w:tcPr>
          <w:p>
            <w:r>
              <w:rPr>
                <w:sz w:val="16"/>
              </w:rPr>
              <w:t>v1.5</w:t>
            </w:r>
          </w:p>
        </w:tc>
        <w:tc>
          <w:tcPr>
            <w:tcW w:type="dxa" w:w="2304"/>
            <w:vAlign w:val="top"/>
          </w:tcPr>
          <w:p>
            <w:r>
              <w:rPr>
                <w:sz w:val="16"/>
              </w:rPr>
              <w:t>FY29 Q4</w:t>
            </w:r>
          </w:p>
        </w:tc>
        <w:tc>
          <w:tcPr>
            <w:tcW w:type="dxa" w:w="7776"/>
            <w:vAlign w:val="top"/>
          </w:tcPr>
          <w:p>
            <w:r>
              <w:rPr>
                <w:sz w:val="16"/>
              </w:rPr>
              <w:t>NFC/RFID integration; offline-first consumer app SDK.</w:t>
            </w:r>
          </w:p>
        </w:tc>
      </w:tr>
      <w:tr>
        <w:tc>
          <w:tcPr>
            <w:tcW w:type="dxa" w:w="1872"/>
            <w:vAlign w:val="top"/>
          </w:tcPr>
          <w:p>
            <w:r>
              <w:rPr>
                <w:sz w:val="16"/>
              </w:rPr>
              <w:t>v2.0</w:t>
            </w:r>
          </w:p>
        </w:tc>
        <w:tc>
          <w:tcPr>
            <w:tcW w:type="dxa" w:w="2304"/>
            <w:vAlign w:val="top"/>
          </w:tcPr>
          <w:p>
            <w:r>
              <w:rPr>
                <w:sz w:val="16"/>
              </w:rPr>
              <w:t>FY30 Q3</w:t>
            </w:r>
          </w:p>
        </w:tc>
        <w:tc>
          <w:tcPr>
            <w:tcW w:type="dxa" w:w="7776"/>
            <w:vAlign w:val="top"/>
          </w:tcPr>
          <w:p>
            <w:r>
              <w:rPr>
                <w:sz w:val="16"/>
              </w:rPr>
              <w:t>Circularity Hub integration (repair, resale, recycling loops).</w:t>
            </w:r>
          </w:p>
        </w:tc>
      </w:tr>
      <w:tr>
        <w:tc>
          <w:tcPr>
            <w:tcW w:type="dxa" w:w="1872"/>
            <w:vAlign w:val="top"/>
          </w:tcPr>
          <w:p>
            <w:r>
              <w:rPr>
                <w:sz w:val="16"/>
              </w:rPr>
              <w:t>v2.5</w:t>
            </w:r>
          </w:p>
        </w:tc>
        <w:tc>
          <w:tcPr>
            <w:tcW w:type="dxa" w:w="2304"/>
            <w:vAlign w:val="top"/>
          </w:tcPr>
          <w:p>
            <w:r>
              <w:rPr>
                <w:sz w:val="16"/>
              </w:rPr>
              <w:t>FY31 Q1</w:t>
            </w:r>
          </w:p>
        </w:tc>
        <w:tc>
          <w:tcPr>
            <w:tcW w:type="dxa" w:w="7776"/>
            <w:vAlign w:val="top"/>
          </w:tcPr>
          <w:p>
            <w:r>
              <w:rPr>
                <w:sz w:val="16"/>
              </w:rPr>
              <w:t>Cross-border DPP (UK, Japan, Korea, as/when regulations appear).</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Tokenized/verifiable-credential DPPs with portability across retailers and second-life marketplaces.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overbuild until product categories and buyer obligations are clear</w:t>
      </w:r>
    </w:p>
    <w:p>
      <w:pPr>
        <w:pStyle w:val="ListBullet"/>
        <w:spacing w:after="20"/>
      </w:pPr>
      <w:r>
        <w:t>GA requires stable product data schema and permission model</w:t>
      </w:r>
    </w:p>
    <w:p>
      <w:pPr>
        <w:pStyle w:val="ListBullet"/>
        <w:spacing w:after="20"/>
      </w:pPr>
      <w:r>
        <w:t>Passport outputs must separate verified from self-declared attributes</w:t>
      </w:r>
    </w:p>
    <w:p>
      <w:pPr>
        <w:pStyle w:val="ListBullet"/>
        <w:spacing w:after="20"/>
      </w:pPr>
      <w:r>
        <w:t>API and QR flows must handle product versioning</w:t>
      </w:r>
    </w:p>
    <w:p>
      <w:pPr>
        <w:pStyle w:val="Heading3"/>
      </w:pPr>
      <w:r>
        <w:t>Key risks to actively manage</w:t>
      </w:r>
    </w:p>
    <w:p>
      <w:pPr>
        <w:pStyle w:val="ListBullet"/>
        <w:spacing w:after="20"/>
      </w:pPr>
      <w:r>
        <w:t>evolving DPP requirements</w:t>
      </w:r>
    </w:p>
    <w:p>
      <w:pPr>
        <w:pStyle w:val="ListBullet"/>
        <w:spacing w:after="20"/>
      </w:pPr>
      <w:r>
        <w:t>customer product-data sensitivity</w:t>
      </w:r>
    </w:p>
    <w:p>
      <w:pPr>
        <w:pStyle w:val="ListBullet"/>
        <w:spacing w:after="20"/>
      </w:pPr>
      <w:r>
        <w:t>category-specific complexity</w:t>
      </w:r>
    </w:p>
    <w:p>
      <w:pPr>
        <w:pStyle w:val="ListBullet"/>
        <w:spacing w:after="20"/>
      </w:pPr>
      <w:r>
        <w:t>false impression of verified claims</w:t>
      </w:r>
    </w:p>
    <w:p>
      <w:pPr>
        <w:pStyle w:val="Heading3"/>
      </w:pPr>
      <w:r>
        <w:t>Success metrics</w:t>
      </w:r>
    </w:p>
    <w:p>
      <w:pPr>
        <w:pStyle w:val="ListBullet"/>
        <w:spacing w:after="20"/>
      </w:pPr>
      <w:r>
        <w:t>passports created</w:t>
      </w:r>
    </w:p>
    <w:p>
      <w:pPr>
        <w:pStyle w:val="ListBullet"/>
        <w:spacing w:after="20"/>
      </w:pPr>
      <w:r>
        <w:t>passport completeness</w:t>
      </w:r>
    </w:p>
    <w:p>
      <w:pPr>
        <w:pStyle w:val="ListBullet"/>
        <w:spacing w:after="20"/>
      </w:pPr>
      <w:r>
        <w:t>product-data update latency</w:t>
      </w:r>
    </w:p>
    <w:p>
      <w:pPr>
        <w:pStyle w:val="ListBullet"/>
        <w:spacing w:after="20"/>
      </w:pPr>
      <w:r>
        <w:t>API/QR access volume</w:t>
      </w:r>
    </w:p>
    <w:p>
      <w:pPr>
        <w:pStyle w:val="ListBullet"/>
        <w:spacing w:after="20"/>
      </w:pPr>
      <w:r>
        <w:t>percentage verified attributes</w:t>
      </w:r>
    </w:p>
    <w:p>
      <w:pPr>
        <w:pStyle w:val="Heading3"/>
      </w:pPr>
      <w:r>
        <w:t>Dependency notes</w:t>
      </w:r>
    </w:p>
    <w:p>
      <w:pPr>
        <w:pStyle w:val="ListBullet"/>
        <w:spacing w:after="20"/>
      </w:pPr>
      <w:r>
        <w:t>Upstream: PCF Studio, SupplierOS, Factors, Ledger, Evidence Vault.</w:t>
      </w:r>
    </w:p>
    <w:p>
      <w:pPr>
        <w:pStyle w:val="ListBullet"/>
        <w:spacing w:after="20"/>
      </w:pPr>
      <w:r>
        <w:t>Downstream: Circularity Hub, regulator integrations.</w:t>
      </w:r>
    </w:p>
    <w:p>
      <w:r>
        <w:br w:type="page"/>
      </w:r>
    </w:p>
    <w:p>
      <w:pPr>
        <w:pStyle w:val="Heading2"/>
      </w:pPr>
      <w:r>
        <w:t>15. GreenLang Proof Hub</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Supply Chain Cloud / Supply Chain &amp; Product Carbon Squad</w:t>
            </w:r>
          </w:p>
        </w:tc>
      </w:tr>
      <w:tr>
        <w:tc>
          <w:tcPr>
            <w:tcW w:type="dxa" w:w="2448"/>
            <w:vAlign w:val="top"/>
            <w:shd w:fill="EAF2F8"/>
          </w:tcPr>
          <w:p>
            <w:r>
              <w:rPr>
                <w:b/>
                <w:color w:val="1F4E79"/>
                <w:sz w:val="16"/>
              </w:rPr>
              <w:t>Primary buyer</w:t>
            </w:r>
          </w:p>
        </w:tc>
        <w:tc>
          <w:tcPr>
            <w:tcW w:type="dxa" w:w="8352"/>
            <w:vAlign w:val="top"/>
          </w:tcPr>
          <w:p>
            <w:r>
              <w:rPr>
                <w:sz w:val="16"/>
              </w:rPr>
              <w:t>Auditors, verifiers, enterprises, suppliers, customers requiring assurance</w:t>
            </w:r>
          </w:p>
        </w:tc>
      </w:tr>
      <w:tr>
        <w:tc>
          <w:tcPr>
            <w:tcW w:type="dxa" w:w="2448"/>
            <w:vAlign w:val="top"/>
            <w:shd w:fill="EAF2F8"/>
          </w:tcPr>
          <w:p>
            <w:r>
              <w:rPr>
                <w:b/>
                <w:color w:val="1F4E79"/>
                <w:sz w:val="16"/>
              </w:rPr>
              <w:t>Revenue model</w:t>
            </w:r>
          </w:p>
        </w:tc>
        <w:tc>
          <w:tcPr>
            <w:tcW w:type="dxa" w:w="8352"/>
            <w:vAlign w:val="top"/>
          </w:tcPr>
          <w:p>
            <w:r>
              <w:rPr>
                <w:sz w:val="16"/>
              </w:rPr>
              <w:t>Seat + platform</w:t>
            </w:r>
          </w:p>
        </w:tc>
      </w:tr>
      <w:tr>
        <w:tc>
          <w:tcPr>
            <w:tcW w:type="dxa" w:w="2448"/>
            <w:vAlign w:val="top"/>
            <w:shd w:fill="EAF2F8"/>
          </w:tcPr>
          <w:p>
            <w:r>
              <w:rPr>
                <w:b/>
                <w:color w:val="1F4E79"/>
                <w:sz w:val="16"/>
              </w:rPr>
              <w:t>Definition</w:t>
            </w:r>
          </w:p>
        </w:tc>
        <w:tc>
          <w:tcPr>
            <w:tcW w:type="dxa" w:w="8352"/>
            <w:vAlign w:val="top"/>
          </w:tcPr>
          <w:p>
            <w:r>
              <w:rPr>
                <w:sz w:val="16"/>
              </w:rPr>
              <w:t>A collaboration and assurance workflow layer for reviewing, challenging, approving, and issuing proof around GreenLang climate claims, supplier declarations, product footprints, MRV results, and compliance outputs.</w:t>
            </w:r>
          </w:p>
        </w:tc>
      </w:tr>
      <w:tr>
        <w:tc>
          <w:tcPr>
            <w:tcW w:type="dxa" w:w="2448"/>
            <w:vAlign w:val="top"/>
            <w:shd w:fill="EAF2F8"/>
          </w:tcPr>
          <w:p>
            <w:r>
              <w:rPr>
                <w:b/>
                <w:color w:val="1F4E79"/>
                <w:sz w:val="16"/>
              </w:rPr>
              <w:t>Strategic role</w:t>
            </w:r>
          </w:p>
        </w:tc>
        <w:tc>
          <w:tcPr>
            <w:tcW w:type="dxa" w:w="8352"/>
            <w:vAlign w:val="top"/>
          </w:tcPr>
          <w:p>
            <w:r>
              <w:rPr>
                <w:sz w:val="16"/>
              </w:rPr>
              <w:t>Proof Hub upgrades evidence storage into a trust workflow. It increases defensibility, supports third-party assurance, and makes GreenLang useful to auditors and verifiers instead of merely being audited by them.</w:t>
            </w:r>
          </w:p>
        </w:tc>
      </w:tr>
      <w:tr>
        <w:tc>
          <w:tcPr>
            <w:tcW w:type="dxa" w:w="2448"/>
            <w:vAlign w:val="top"/>
            <w:shd w:fill="EAF2F8"/>
          </w:tcPr>
          <w:p>
            <w:r>
              <w:rPr>
                <w:b/>
                <w:color w:val="1F4E79"/>
                <w:sz w:val="16"/>
              </w:rPr>
              <w:t>Pricing / packaging logic</w:t>
            </w:r>
          </w:p>
        </w:tc>
        <w:tc>
          <w:tcPr>
            <w:tcW w:type="dxa" w:w="8352"/>
            <w:vAlign w:val="top"/>
          </w:tcPr>
          <w:p>
            <w:r>
              <w:rPr>
                <w:sz w:val="16"/>
              </w:rPr>
              <w:t>Seat-based pricing for reviewers/verifiers plus enterprise platform fee; premium proof certificates and customer-facing trust pages as add-ons.</w:t>
            </w:r>
          </w:p>
        </w:tc>
      </w:tr>
    </w:tbl>
    <w:p>
      <w:pPr>
        <w:pStyle w:val="Heading3"/>
      </w:pPr>
      <w:r>
        <w:t>CTO final pathway</w:t>
      </w:r>
    </w:p>
    <w:p>
      <w:pPr>
        <w:spacing w:after="80"/>
      </w:pPr>
      <w:r>
        <w:t>Build GreenLang Proof Hub as a modular product on the shared substrate. The release target is FY29; GA is gated for FY29 Q4. Launch only after enough evidence-rich workflows exist GA requires reviewer permissions and independence controls</w:t>
      </w:r>
    </w:p>
    <w:p>
      <w:pPr>
        <w:pStyle w:val="Heading3"/>
      </w:pPr>
      <w:r>
        <w:t>Why it exists</w:t>
      </w:r>
    </w:p>
    <w:p>
      <w:pPr>
        <w:spacing w:after="80"/>
      </w:pPr>
      <w:r>
        <w:t>Auditors currently work in PDFs, Excel, and email. As limited/reasonable assurance becomes mandatory under CSRD and CBAM, the assurance market is about to 5x in workload. Firms need a workbench; enterprises need lower cost of audit.</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auditors</w:t>
              <w:br/>
              <w:t>verifiers</w:t>
              <w:br/>
              <w:t>enterprise assurance teams</w:t>
              <w:br/>
              <w:t>supplier reviewers</w:t>
              <w:br/>
              <w:t>customer sustainability teams</w:t>
              <w:br/>
              <w:t>legal/compliance owners</w:t>
            </w:r>
          </w:p>
        </w:tc>
      </w:tr>
      <w:tr>
        <w:tc>
          <w:tcPr>
            <w:tcW w:type="dxa" w:w="3024"/>
            <w:vAlign w:val="top"/>
          </w:tcPr>
          <w:p>
            <w:r>
              <w:rPr>
                <w:sz w:val="16"/>
              </w:rPr>
              <w:t>Jobs to be done</w:t>
            </w:r>
          </w:p>
        </w:tc>
        <w:tc>
          <w:tcPr>
            <w:tcW w:type="dxa" w:w="8640"/>
            <w:vAlign w:val="top"/>
          </w:tcPr>
          <w:p>
            <w:r>
              <w:rPr>
                <w:sz w:val="16"/>
              </w:rPr>
              <w:t>Assign evidence and calculation review tasks</w:t>
              <w:br/>
              <w:t>Request clarifications from data owners</w:t>
              <w:br/>
              <w:t>Track assurance findings and remediation</w:t>
              <w:br/>
              <w:t>Issue claim-level proof status</w:t>
              <w:br/>
              <w:t>Maintain reviewer independence and conflict logs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Engagement workspace per client with Ledger read access.</w:t>
              <w:br/>
              <w:t>Sample selection tools (stratified, risk-based).</w:t>
              <w:br/>
              <w:t>Testing templates: controls testing, substantive testing, analytical procedures.</w:t>
              <w:br/>
              <w:t>Assertion-level workflow aligned to ISAE 3410 / ISAE 3000.</w:t>
              <w:br/>
              <w:t>Evidence review with annotation and sign-off.</w:t>
              <w:br/>
              <w:t>Draft report generation.</w:t>
              <w:br/>
              <w:t>Multi-engagement dashboard for partners.</w:t>
              <w:br/>
              <w:t>Independence and conflict-of-interest checks.</w:t>
            </w:r>
          </w:p>
        </w:tc>
      </w:tr>
      <w:tr>
        <w:tc>
          <w:tcPr>
            <w:tcW w:type="dxa" w:w="3456"/>
            <w:vAlign w:val="top"/>
          </w:tcPr>
          <w:p>
            <w:r>
              <w:rPr>
                <w:sz w:val="16"/>
              </w:rPr>
              <w:t>In-scope product modules</w:t>
            </w:r>
          </w:p>
        </w:tc>
        <w:tc>
          <w:tcPr>
            <w:tcW w:type="dxa" w:w="8352"/>
            <w:vAlign w:val="top"/>
          </w:tcPr>
          <w:p>
            <w:r>
              <w:rPr>
                <w:sz w:val="16"/>
              </w:rPr>
              <w:t>review workspace</w:t>
              <w:br/>
              <w:t>claim-level proof status</w:t>
              <w:br/>
              <w:t>auditor/verifier portal</w:t>
              <w:br/>
              <w:t>finding and remediation workflow</w:t>
              <w:br/>
              <w:t>sampling tools</w:t>
              <w:br/>
              <w:t>proof certificate templates</w:t>
              <w:br/>
              <w:t>independence and access controls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claims</w:t>
              <w:br/>
              <w:t>ledger entries</w:t>
              <w:br/>
              <w:t>evidence packets</w:t>
              <w:br/>
              <w:t>review comments</w:t>
              <w:br/>
              <w:t>findings</w:t>
              <w:br/>
              <w:t>approvals</w:t>
              <w:br/>
              <w:t>sampling rules</w:t>
              <w:br/>
              <w:t>verifier credentials</w:t>
              <w:br/>
              <w:t>conflict declarations</w:t>
            </w:r>
          </w:p>
        </w:tc>
      </w:tr>
      <w:tr>
        <w:tc>
          <w:tcPr>
            <w:tcW w:type="dxa" w:w="3384"/>
            <w:vAlign w:val="top"/>
          </w:tcPr>
          <w:p>
            <w:r>
              <w:rPr>
                <w:sz w:val="16"/>
              </w:rPr>
              <w:t>External/product integrations</w:t>
            </w:r>
          </w:p>
        </w:tc>
        <w:tc>
          <w:tcPr>
            <w:tcW w:type="dxa" w:w="8496"/>
            <w:vAlign w:val="top"/>
          </w:tcPr>
          <w:p>
            <w:r>
              <w:rPr>
                <w:sz w:val="16"/>
              </w:rPr>
              <w:t>Evidence Vault; Climate Ledger; PCF Studio; Comply; MRV Studio; DPP Hub; SupplierOS</w:t>
            </w:r>
          </w:p>
        </w:tc>
      </w:tr>
      <w:tr>
        <w:tc>
          <w:tcPr>
            <w:tcW w:type="dxa" w:w="3384"/>
            <w:vAlign w:val="top"/>
          </w:tcPr>
          <w:p>
            <w:r>
              <w:rPr>
                <w:sz w:val="16"/>
              </w:rPr>
              <w:t>GreenLang dependencies</w:t>
            </w:r>
          </w:p>
        </w:tc>
        <w:tc>
          <w:tcPr>
            <w:tcW w:type="dxa" w:w="8496"/>
            <w:vAlign w:val="top"/>
          </w:tcPr>
          <w:p>
            <w:r>
              <w:rPr>
                <w:sz w:val="16"/>
              </w:rPr>
              <w:t>Evidence Vault; Climate Ledger; Policy Graph; PCF Studio or Comply demand</w:t>
            </w:r>
          </w:p>
        </w:tc>
      </w:tr>
      <w:tr>
        <w:tc>
          <w:tcPr>
            <w:tcW w:type="dxa" w:w="3384"/>
            <w:vAlign w:val="top"/>
          </w:tcPr>
          <w:p>
            <w:r>
              <w:rPr>
                <w:sz w:val="16"/>
              </w:rPr>
              <w:t>Customer outputs and deliverables</w:t>
            </w:r>
          </w:p>
        </w:tc>
        <w:tc>
          <w:tcPr>
            <w:tcW w:type="dxa" w:w="8496"/>
            <w:vAlign w:val="top"/>
          </w:tcPr>
          <w:p>
            <w:r>
              <w:rPr>
                <w:sz w:val="16"/>
              </w:rPr>
              <w:t>proof status</w:t>
              <w:br/>
              <w:t>assurance review pack</w:t>
              <w:br/>
              <w:t>finding log</w:t>
              <w:br/>
              <w:t>remediation tracker</w:t>
              <w:br/>
              <w:t>claim proof certificate</w:t>
              <w:br/>
              <w:t>customer-facing verification summary</w:t>
            </w:r>
          </w:p>
        </w:tc>
      </w:tr>
    </w:tbl>
    <w:p>
      <w:pPr>
        <w:pStyle w:val="Heading3"/>
      </w:pPr>
      <w:r>
        <w:t>AI and automation behavior</w:t>
      </w:r>
    </w:p>
    <w:p>
      <w:pPr>
        <w:pStyle w:val="ListBullet"/>
        <w:spacing w:after="20"/>
      </w:pPr>
      <w:r>
        <w:t>evidence sufficiency triage</w:t>
      </w:r>
    </w:p>
    <w:p>
      <w:pPr>
        <w:pStyle w:val="ListBullet"/>
        <w:spacing w:after="20"/>
      </w:pPr>
      <w:r>
        <w:t>finding categorization</w:t>
      </w:r>
    </w:p>
    <w:p>
      <w:pPr>
        <w:pStyle w:val="ListBullet"/>
        <w:spacing w:after="20"/>
      </w:pPr>
      <w:r>
        <w:t>review-question drafting</w:t>
      </w:r>
    </w:p>
    <w:p>
      <w:pPr>
        <w:pStyle w:val="ListBullet"/>
        <w:spacing w:after="20"/>
      </w:pPr>
      <w:r>
        <w:t>sample selection support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Engagement workspace + sample selection; 1 design-partner firm.</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Testing templates; ISAE 3410 alignment.</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Draft report generation; partner dashboard.</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First successful independent assurance report issued via Proof Hub.</w:t>
            </w:r>
          </w:p>
        </w:tc>
      </w:tr>
      <w:tr>
        <w:tc>
          <w:tcPr>
            <w:tcW w:type="dxa" w:w="1872"/>
            <w:vAlign w:val="top"/>
          </w:tcPr>
          <w:p>
            <w:r>
              <w:rPr>
                <w:sz w:val="16"/>
              </w:rPr>
              <w:t>v1.5</w:t>
            </w:r>
          </w:p>
        </w:tc>
        <w:tc>
          <w:tcPr>
            <w:tcW w:type="dxa" w:w="2304"/>
            <w:vAlign w:val="top"/>
          </w:tcPr>
          <w:p>
            <w:r>
              <w:rPr>
                <w:sz w:val="16"/>
              </w:rPr>
              <w:t>FY30 Q3</w:t>
            </w:r>
          </w:p>
        </w:tc>
        <w:tc>
          <w:tcPr>
            <w:tcW w:type="dxa" w:w="7776"/>
            <w:vAlign w:val="top"/>
          </w:tcPr>
          <w:p>
            <w:r>
              <w:rPr>
                <w:sz w:val="16"/>
              </w:rPr>
              <w:t>CBAM-specific verifier workflow.</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DPP verification; MRV-project verification.</w:t>
            </w:r>
          </w:p>
        </w:tc>
      </w:tr>
      <w:tr>
        <w:tc>
          <w:tcPr>
            <w:tcW w:type="dxa" w:w="1872"/>
            <w:vAlign w:val="top"/>
          </w:tcPr>
          <w:p>
            <w:r>
              <w:rPr>
                <w:sz w:val="16"/>
              </w:rPr>
              <w:t>v2.5</w:t>
            </w:r>
          </w:p>
        </w:tc>
        <w:tc>
          <w:tcPr>
            <w:tcW w:type="dxa" w:w="2304"/>
            <w:vAlign w:val="top"/>
          </w:tcPr>
          <w:p>
            <w:r>
              <w:rPr>
                <w:sz w:val="16"/>
              </w:rPr>
              <w:t>FY31 Q3</w:t>
            </w:r>
          </w:p>
        </w:tc>
        <w:tc>
          <w:tcPr>
            <w:tcW w:type="dxa" w:w="7776"/>
            <w:vAlign w:val="top"/>
          </w:tcPr>
          <w:p>
            <w:r>
              <w:rPr>
                <w:sz w:val="16"/>
              </w:rPr>
              <w:t>Continuous assurance mode (tied to Comply v3.0).</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only after enough evidence-rich workflows exist</w:t>
      </w:r>
    </w:p>
    <w:p>
      <w:pPr>
        <w:pStyle w:val="ListBullet"/>
        <w:spacing w:after="20"/>
      </w:pPr>
      <w:r>
        <w:t>GA requires reviewer permissions and independence controls</w:t>
      </w:r>
    </w:p>
    <w:p>
      <w:pPr>
        <w:pStyle w:val="ListBullet"/>
        <w:spacing w:after="20"/>
      </w:pPr>
      <w:r>
        <w:t>No claim should appear verified unless review status is explicit</w:t>
      </w:r>
    </w:p>
    <w:p>
      <w:pPr>
        <w:pStyle w:val="ListBullet"/>
        <w:spacing w:after="20"/>
      </w:pPr>
      <w:r>
        <w:t>External verifier partnerships must be established</w:t>
      </w:r>
    </w:p>
    <w:p>
      <w:pPr>
        <w:pStyle w:val="Heading3"/>
      </w:pPr>
      <w:r>
        <w:t>Key risks to actively manage</w:t>
      </w:r>
    </w:p>
    <w:p>
      <w:pPr>
        <w:pStyle w:val="ListBullet"/>
        <w:spacing w:after="20"/>
      </w:pPr>
      <w:r>
        <w:t>liability around verification claims</w:t>
      </w:r>
    </w:p>
    <w:p>
      <w:pPr>
        <w:pStyle w:val="ListBullet"/>
        <w:spacing w:after="20"/>
      </w:pPr>
      <w:r>
        <w:t>auditor adoption friction</w:t>
      </w:r>
    </w:p>
    <w:p>
      <w:pPr>
        <w:pStyle w:val="ListBullet"/>
        <w:spacing w:after="20"/>
      </w:pPr>
      <w:r>
        <w:t>conflict-of-interest concerns</w:t>
      </w:r>
    </w:p>
    <w:p>
      <w:pPr>
        <w:pStyle w:val="ListBullet"/>
        <w:spacing w:after="20"/>
      </w:pPr>
      <w:r>
        <w:t>unclear proof terminology</w:t>
      </w:r>
    </w:p>
    <w:p>
      <w:pPr>
        <w:pStyle w:val="Heading3"/>
      </w:pPr>
      <w:r>
        <w:t>Success metrics</w:t>
      </w:r>
    </w:p>
    <w:p>
      <w:pPr>
        <w:pStyle w:val="ListBullet"/>
        <w:spacing w:after="20"/>
      </w:pPr>
      <w:r>
        <w:t>review cycle time</w:t>
      </w:r>
    </w:p>
    <w:p>
      <w:pPr>
        <w:pStyle w:val="ListBullet"/>
        <w:spacing w:after="20"/>
      </w:pPr>
      <w:r>
        <w:t>finding closure rate</w:t>
      </w:r>
    </w:p>
    <w:p>
      <w:pPr>
        <w:pStyle w:val="ListBullet"/>
        <w:spacing w:after="20"/>
      </w:pPr>
      <w:r>
        <w:t>proof status coverage</w:t>
      </w:r>
    </w:p>
    <w:p>
      <w:pPr>
        <w:pStyle w:val="ListBullet"/>
        <w:spacing w:after="20"/>
      </w:pPr>
      <w:r>
        <w:t>verifier seat adoption</w:t>
      </w:r>
    </w:p>
    <w:p>
      <w:pPr>
        <w:pStyle w:val="ListBullet"/>
        <w:spacing w:after="20"/>
      </w:pPr>
      <w:r>
        <w:t>claim challenge rate</w:t>
      </w:r>
    </w:p>
    <w:p>
      <w:pPr>
        <w:pStyle w:val="ListBullet"/>
        <w:spacing w:after="20"/>
      </w:pPr>
      <w:r>
        <w:t>Operations Cloud</w:t>
      </w:r>
    </w:p>
    <w:p>
      <w:pPr>
        <w:pStyle w:val="Heading3"/>
      </w:pPr>
      <w:r>
        <w:t>Dependency notes</w:t>
      </w:r>
    </w:p>
    <w:p>
      <w:pPr>
        <w:pStyle w:val="ListBullet"/>
        <w:spacing w:after="20"/>
      </w:pPr>
      <w:r>
        <w:t>Upstream: Ledger, Evidence Vault, Comply, Scope Engine.</w:t>
      </w:r>
    </w:p>
    <w:p>
      <w:pPr>
        <w:pStyle w:val="ListBullet"/>
        <w:spacing w:after="20"/>
      </w:pPr>
      <w:r>
        <w:t>Downstream: closes the trust loop on every reporting claim.</w:t>
      </w:r>
    </w:p>
    <w:p>
      <w:pPr>
        <w:pStyle w:val="ListBullet"/>
        <w:spacing w:after="20"/>
      </w:pPr>
      <w:r>
        <w:t>6. Operations Cloud</w:t>
      </w:r>
    </w:p>
    <w:p>
      <w:pPr>
        <w:pStyle w:val="ListBullet"/>
        <w:spacing w:after="20"/>
      </w:pPr>
      <w:r>
        <w:t>This chapter covers 6 products in the Operations Cloud. Each product is specified at PRD-lite depth: definition, buyer, core capabilities, data/integrations, revenue model, full version roadmap, success KPIs, and upstream/downstream dependencies.</w:t>
      </w:r>
    </w:p>
    <w:p>
      <w:r>
        <w:br w:type="page"/>
      </w:r>
    </w:p>
    <w:p>
      <w:pPr>
        <w:pStyle w:val="Heading1"/>
      </w:pPr>
      <w:r>
        <w:t>Operations Cloud</w:t>
      </w:r>
    </w:p>
    <w:p>
      <w:pPr>
        <w:spacing w:after="80"/>
      </w:pPr>
      <w:r>
        <w:t>Proceed only where operational data is available and the customer can quantify savings. These products must create CFO-grade ROI; delay any module that behaves like bespoke consulting rather than repeatable software.</w:t>
      </w:r>
    </w:p>
    <w:p>
      <w:r>
        <w:br w:type="page"/>
      </w:r>
    </w:p>
    <w:p>
      <w:pPr>
        <w:pStyle w:val="Heading2"/>
      </w:pPr>
      <w:r>
        <w:t>16. GreenLang PlantOS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FY28</w:t>
            </w:r>
          </w:p>
        </w:tc>
      </w:tr>
      <w:tr>
        <w:tc>
          <w:tcPr>
            <w:tcW w:type="dxa" w:w="2448"/>
            <w:vAlign w:val="top"/>
            <w:shd w:fill="EAF2F8"/>
          </w:tcPr>
          <w:p>
            <w:r>
              <w:rPr>
                <w:b/>
                <w:color w:val="1F4E79"/>
                <w:sz w:val="16"/>
              </w:rPr>
              <w:t>Recommended v1.0 GA</w:t>
            </w:r>
          </w:p>
        </w:tc>
        <w:tc>
          <w:tcPr>
            <w:tcW w:type="dxa" w:w="8352"/>
            <w:vAlign w:val="top"/>
          </w:tcPr>
          <w:p>
            <w:r>
              <w:rPr>
                <w:sz w:val="16"/>
              </w:rPr>
              <w:t>FY28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Manufacturing plants, industrial groups, operations and energy teams</w:t>
            </w:r>
          </w:p>
        </w:tc>
      </w:tr>
      <w:tr>
        <w:tc>
          <w:tcPr>
            <w:tcW w:type="dxa" w:w="2448"/>
            <w:vAlign w:val="top"/>
            <w:shd w:fill="EAF2F8"/>
          </w:tcPr>
          <w:p>
            <w:r>
              <w:rPr>
                <w:b/>
                <w:color w:val="1F4E79"/>
                <w:sz w:val="16"/>
              </w:rPr>
              <w:t>Revenue model</w:t>
            </w:r>
          </w:p>
        </w:tc>
        <w:tc>
          <w:tcPr>
            <w:tcW w:type="dxa" w:w="8352"/>
            <w:vAlign w:val="top"/>
          </w:tcPr>
          <w:p>
            <w:r>
              <w:rPr>
                <w:sz w:val="16"/>
              </w:rPr>
              <w:t>Outcome + subscription</w:t>
            </w:r>
          </w:p>
        </w:tc>
      </w:tr>
      <w:tr>
        <w:tc>
          <w:tcPr>
            <w:tcW w:type="dxa" w:w="2448"/>
            <w:vAlign w:val="top"/>
            <w:shd w:fill="EAF2F8"/>
          </w:tcPr>
          <w:p>
            <w:r>
              <w:rPr>
                <w:b/>
                <w:color w:val="1F4E79"/>
                <w:sz w:val="16"/>
              </w:rPr>
              <w:t>Definition</w:t>
            </w:r>
          </w:p>
        </w:tc>
        <w:tc>
          <w:tcPr>
            <w:tcW w:type="dxa" w:w="8352"/>
            <w:vAlign w:val="top"/>
          </w:tcPr>
          <w:p>
            <w:r>
              <w:rPr>
                <w:sz w:val="16"/>
              </w:rPr>
              <w:t>An industrial decarbonization and energy-optimization operating layer for plants. It combines meter/IoT data, production data, utility tariffs, emissions factors, baselines, measures, project tracking, and ROI analytics.</w:t>
            </w:r>
          </w:p>
        </w:tc>
      </w:tr>
      <w:tr>
        <w:tc>
          <w:tcPr>
            <w:tcW w:type="dxa" w:w="2448"/>
            <w:vAlign w:val="top"/>
            <w:shd w:fill="EAF2F8"/>
          </w:tcPr>
          <w:p>
            <w:r>
              <w:rPr>
                <w:b/>
                <w:color w:val="1F4E79"/>
                <w:sz w:val="16"/>
              </w:rPr>
              <w:t>Strategic role</w:t>
            </w:r>
          </w:p>
        </w:tc>
        <w:tc>
          <w:tcPr>
            <w:tcW w:type="dxa" w:w="8352"/>
            <w:vAlign w:val="top"/>
          </w:tcPr>
          <w:p>
            <w:r>
              <w:rPr>
                <w:sz w:val="16"/>
              </w:rPr>
              <w:t>PlantOS moves GreenLang from reporting to operational savings. It creates CFO-grade ROI, embeds the platform in plant workflows, and produces verified decarbonization actions that can feed reporting and finance products.</w:t>
            </w:r>
          </w:p>
        </w:tc>
      </w:tr>
      <w:tr>
        <w:tc>
          <w:tcPr>
            <w:tcW w:type="dxa" w:w="2448"/>
            <w:vAlign w:val="top"/>
            <w:shd w:fill="EAF2F8"/>
          </w:tcPr>
          <w:p>
            <w:r>
              <w:rPr>
                <w:b/>
                <w:color w:val="1F4E79"/>
                <w:sz w:val="16"/>
              </w:rPr>
              <w:t>Pricing / packaging logic</w:t>
            </w:r>
          </w:p>
        </w:tc>
        <w:tc>
          <w:tcPr>
            <w:tcW w:type="dxa" w:w="8352"/>
            <w:vAlign w:val="top"/>
          </w:tcPr>
          <w:p>
            <w:r>
              <w:rPr>
                <w:sz w:val="16"/>
              </w:rPr>
              <w:t>Base subscription by site plus outcome/performance share for verified savings where contractually possible; implementation fee for data integration.</w:t>
            </w:r>
          </w:p>
        </w:tc>
      </w:tr>
    </w:tbl>
    <w:p>
      <w:pPr>
        <w:pStyle w:val="Heading3"/>
      </w:pPr>
      <w:r>
        <w:t>CTO final pathway</w:t>
      </w:r>
    </w:p>
    <w:p>
      <w:pPr>
        <w:spacing w:after="80"/>
      </w:pPr>
      <w:r>
        <w:t>Build GreenLang PlantOS as a modular product on the shared substrate. The release target is FY28; GA is gated for FY28 Q4. Start with limited plant archetypes and design partners GA requires reliable operational data and baseline method</w:t>
      </w:r>
    </w:p>
    <w:p>
      <w:pPr>
        <w:pStyle w:val="Heading3"/>
      </w:pPr>
      <w:r>
        <w:t>Why it exists</w:t>
      </w:r>
    </w:p>
    <w:p>
      <w:pPr>
        <w:spacing w:after="80"/>
      </w:pPr>
      <w:r>
        <w:t>Industrial plants have energy bills in crores, old SCADA systems, and no single pane connecting operations to carbon intensity and unit economics. EMS tools tell you what happened; plant OS needs to tell you what to do next, with money on the line.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plant managers</w:t>
              <w:br/>
              <w:t>energy managers</w:t>
              <w:br/>
              <w:t>operations engineers</w:t>
              <w:br/>
              <w:t>CFO/finance teams</w:t>
              <w:br/>
              <w:t>maintenance teams</w:t>
              <w:br/>
              <w:t>sustainability teams</w:t>
            </w:r>
          </w:p>
        </w:tc>
      </w:tr>
      <w:tr>
        <w:tc>
          <w:tcPr>
            <w:tcW w:type="dxa" w:w="3024"/>
            <w:vAlign w:val="top"/>
          </w:tcPr>
          <w:p>
            <w:r>
              <w:rPr>
                <w:sz w:val="16"/>
              </w:rPr>
              <w:t>Jobs to be done</w:t>
            </w:r>
          </w:p>
        </w:tc>
        <w:tc>
          <w:tcPr>
            <w:tcW w:type="dxa" w:w="8640"/>
            <w:vAlign w:val="top"/>
          </w:tcPr>
          <w:p>
            <w:r>
              <w:rPr>
                <w:sz w:val="16"/>
              </w:rPr>
              <w:t>Monitor energy and emissions by line, asset, product, and shift</w:t>
              <w:br/>
              <w:t>Identify efficiency and electrification opportunities</w:t>
              <w:br/>
              <w:t>Build decarbonization project business cases</w:t>
              <w:br/>
              <w:t>Track implementation and savings</w:t>
              <w:br/>
              <w:t>Feed verified operational data into Scope Engine and PCF Studio</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Real-time energy + emissions per production line, furnace, utility, compressor, chiller.</w:t>
              <w:br/>
              <w:t>Anomaly detection and drift alerts.</w:t>
              <w:br/>
              <w:t>Actionable recommendations (setpoints, scheduling, load balancing).</w:t>
              <w:br/>
              <w:t>Production-normalized KPIs (kWh/ton, tCO2e/ton, specific energy consumption).</w:t>
              <w:br/>
              <w:t>OEE/energy correlation.</w:t>
              <w:br/>
              <w:t>ISO 50001 and PAT-compliant reporting (India).</w:t>
              <w:br/>
              <w:t>Outcome-tracking dashboard: savings vs. baseline, with M&amp;V.</w:t>
              <w:br/>
              <w:t>Closed-loop control integrations for mature customers (via BMS/SCADA).</w:t>
            </w:r>
          </w:p>
        </w:tc>
      </w:tr>
      <w:tr>
        <w:tc>
          <w:tcPr>
            <w:tcW w:type="dxa" w:w="3456"/>
            <w:vAlign w:val="top"/>
          </w:tcPr>
          <w:p>
            <w:r>
              <w:rPr>
                <w:sz w:val="16"/>
              </w:rPr>
              <w:t>In-scope product modules</w:t>
            </w:r>
          </w:p>
        </w:tc>
        <w:tc>
          <w:tcPr>
            <w:tcW w:type="dxa" w:w="8352"/>
            <w:vAlign w:val="top"/>
          </w:tcPr>
          <w:p>
            <w:r>
              <w:rPr>
                <w:sz w:val="16"/>
              </w:rPr>
              <w:t>plant data model</w:t>
              <w:br/>
              <w:t>energy/emissions dashboard</w:t>
              <w:br/>
              <w:t>baseline and variance model</w:t>
              <w:br/>
              <w:t>measure library</w:t>
              <w:br/>
              <w:t>project ROI tracker</w:t>
              <w:br/>
              <w:t>M&amp;V workflow</w:t>
              <w:br/>
              <w:t>plant-to-product allocation support</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meter data</w:t>
              <w:br/>
              <w:t>fuel use</w:t>
              <w:br/>
              <w:t>production volumes</w:t>
              <w:br/>
              <w:t>asset metadata</w:t>
              <w:br/>
              <w:t>process data</w:t>
              <w:br/>
              <w:t>tariffs</w:t>
              <w:br/>
              <w:t>maintenance events</w:t>
              <w:br/>
              <w:t>project costs</w:t>
              <w:br/>
              <w:t>savings estimates</w:t>
              <w:br/>
              <w:t>evidence</w:t>
            </w:r>
          </w:p>
        </w:tc>
      </w:tr>
      <w:tr>
        <w:tc>
          <w:tcPr>
            <w:tcW w:type="dxa" w:w="3384"/>
            <w:vAlign w:val="top"/>
          </w:tcPr>
          <w:p>
            <w:r>
              <w:rPr>
                <w:sz w:val="16"/>
              </w:rPr>
              <w:t>External/product integrations</w:t>
            </w:r>
          </w:p>
        </w:tc>
        <w:tc>
          <w:tcPr>
            <w:tcW w:type="dxa" w:w="8496"/>
            <w:vAlign w:val="top"/>
          </w:tcPr>
          <w:p>
            <w:r>
              <w:rPr>
                <w:sz w:val="16"/>
              </w:rPr>
              <w:t>Connect; Scope Engine; PCF Studio; PowerOS; Evidence Vault; ERP/MES/SCADA/IoT gateways; utility bills</w:t>
            </w:r>
          </w:p>
        </w:tc>
      </w:tr>
      <w:tr>
        <w:tc>
          <w:tcPr>
            <w:tcW w:type="dxa" w:w="3384"/>
            <w:vAlign w:val="top"/>
          </w:tcPr>
          <w:p>
            <w:r>
              <w:rPr>
                <w:sz w:val="16"/>
              </w:rPr>
              <w:t>GreenLang dependencies</w:t>
            </w:r>
          </w:p>
        </w:tc>
        <w:tc>
          <w:tcPr>
            <w:tcW w:type="dxa" w:w="8496"/>
            <w:vAlign w:val="top"/>
          </w:tcPr>
          <w:p>
            <w:r>
              <w:rPr>
                <w:sz w:val="16"/>
              </w:rPr>
              <w:t>Connect; Climate Ledger; Scope Engine; Factors; Evidence Vault</w:t>
            </w:r>
          </w:p>
        </w:tc>
      </w:tr>
      <w:tr>
        <w:tc>
          <w:tcPr>
            <w:tcW w:type="dxa" w:w="3384"/>
            <w:vAlign w:val="top"/>
          </w:tcPr>
          <w:p>
            <w:r>
              <w:rPr>
                <w:sz w:val="16"/>
              </w:rPr>
              <w:t>Customer outputs and deliverables</w:t>
            </w:r>
          </w:p>
        </w:tc>
        <w:tc>
          <w:tcPr>
            <w:tcW w:type="dxa" w:w="8496"/>
            <w:vAlign w:val="top"/>
          </w:tcPr>
          <w:p>
            <w:r>
              <w:rPr>
                <w:sz w:val="16"/>
              </w:rPr>
              <w:t>plant emissions dashboard</w:t>
              <w:br/>
              <w:t>project pipeline</w:t>
              <w:br/>
              <w:t>ROI and abatement curve</w:t>
              <w:br/>
              <w:t>M&amp;V report</w:t>
              <w:br/>
              <w:t>savings ledger</w:t>
              <w:br/>
              <w:t>product allocation inputs</w:t>
            </w:r>
          </w:p>
        </w:tc>
      </w:tr>
    </w:tbl>
    <w:p>
      <w:pPr>
        <w:pStyle w:val="Heading3"/>
      </w:pPr>
      <w:r>
        <w:t>AI and automation behavior</w:t>
      </w:r>
    </w:p>
    <w:p>
      <w:pPr>
        <w:pStyle w:val="ListBullet"/>
        <w:spacing w:after="20"/>
      </w:pPr>
      <w:r>
        <w:t>energy anomaly detection</w:t>
      </w:r>
    </w:p>
    <w:p>
      <w:pPr>
        <w:pStyle w:val="ListBullet"/>
        <w:spacing w:after="20"/>
      </w:pPr>
      <w:r>
        <w:t>opportunity recommendation</w:t>
      </w:r>
    </w:p>
    <w:p>
      <w:pPr>
        <w:pStyle w:val="ListBullet"/>
        <w:spacing w:after="20"/>
      </w:pPr>
      <w:r>
        <w:t>root-cause analysis support</w:t>
      </w:r>
    </w:p>
    <w:p>
      <w:pPr>
        <w:pStyle w:val="ListBullet"/>
        <w:spacing w:after="20"/>
      </w:pPr>
      <w:r>
        <w:t>project business-case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FY28 Q1</w:t>
            </w:r>
          </w:p>
        </w:tc>
        <w:tc>
          <w:tcPr>
            <w:tcW w:type="dxa" w:w="7776"/>
            <w:vAlign w:val="top"/>
          </w:tcPr>
          <w:p>
            <w:r>
              <w:rPr>
                <w:sz w:val="16"/>
              </w:rPr>
              <w:t>Energy monitoring + anomaly detection; 2 design-partner plants.</w:t>
            </w:r>
          </w:p>
        </w:tc>
      </w:tr>
      <w:tr>
        <w:tc>
          <w:tcPr>
            <w:tcW w:type="dxa" w:w="1872"/>
            <w:vAlign w:val="top"/>
          </w:tcPr>
          <w:p>
            <w:r>
              <w:rPr>
                <w:sz w:val="16"/>
              </w:rPr>
              <w:t>v0.5 Closed Beta</w:t>
            </w:r>
          </w:p>
        </w:tc>
        <w:tc>
          <w:tcPr>
            <w:tcW w:type="dxa" w:w="2304"/>
            <w:vAlign w:val="top"/>
          </w:tcPr>
          <w:p>
            <w:r>
              <w:rPr>
                <w:sz w:val="16"/>
              </w:rPr>
              <w:t>FY28 Q2</w:t>
            </w:r>
          </w:p>
        </w:tc>
        <w:tc>
          <w:tcPr>
            <w:tcW w:type="dxa" w:w="7776"/>
            <w:vAlign w:val="top"/>
          </w:tcPr>
          <w:p>
            <w:r>
              <w:rPr>
                <w:sz w:val="16"/>
              </w:rPr>
              <w:t>Recommendations engine for chillers, compressors; ISO 50001 reporting.</w:t>
            </w:r>
          </w:p>
        </w:tc>
      </w:tr>
      <w:tr>
        <w:tc>
          <w:tcPr>
            <w:tcW w:type="dxa" w:w="1872"/>
            <w:vAlign w:val="top"/>
          </w:tcPr>
          <w:p>
            <w:r>
              <w:rPr>
                <w:sz w:val="16"/>
              </w:rPr>
              <w:t>v0.9 Public Beta</w:t>
            </w:r>
          </w:p>
        </w:tc>
        <w:tc>
          <w:tcPr>
            <w:tcW w:type="dxa" w:w="2304"/>
            <w:vAlign w:val="top"/>
          </w:tcPr>
          <w:p>
            <w:r>
              <w:rPr>
                <w:sz w:val="16"/>
              </w:rPr>
              <w:t>FY28 Q3</w:t>
            </w:r>
          </w:p>
        </w:tc>
        <w:tc>
          <w:tcPr>
            <w:tcW w:type="dxa" w:w="7776"/>
            <w:vAlign w:val="top"/>
          </w:tcPr>
          <w:p>
            <w:r>
              <w:rPr>
                <w:sz w:val="16"/>
              </w:rPr>
              <w:t>Production-normalized KPIs; M&amp;V engine.</w:t>
            </w:r>
          </w:p>
        </w:tc>
      </w:tr>
      <w:tr>
        <w:tc>
          <w:tcPr>
            <w:tcW w:type="dxa" w:w="1872"/>
            <w:vAlign w:val="top"/>
          </w:tcPr>
          <w:p>
            <w:r>
              <w:rPr>
                <w:sz w:val="16"/>
              </w:rPr>
              <w:t>v1.0 GA</w:t>
            </w:r>
          </w:p>
        </w:tc>
        <w:tc>
          <w:tcPr>
            <w:tcW w:type="dxa" w:w="2304"/>
            <w:vAlign w:val="top"/>
          </w:tcPr>
          <w:p>
            <w:r>
              <w:rPr>
                <w:sz w:val="16"/>
              </w:rPr>
              <w:t>FY28 Q4</w:t>
            </w:r>
          </w:p>
        </w:tc>
        <w:tc>
          <w:tcPr>
            <w:tcW w:type="dxa" w:w="7776"/>
            <w:vAlign w:val="top"/>
          </w:tcPr>
          <w:p>
            <w:r>
              <w:rPr>
                <w:sz w:val="16"/>
              </w:rPr>
              <w:t>First outcome-based contract signed and verified savings paid.</w:t>
            </w:r>
          </w:p>
        </w:tc>
      </w:tr>
      <w:tr>
        <w:tc>
          <w:tcPr>
            <w:tcW w:type="dxa" w:w="1872"/>
            <w:vAlign w:val="top"/>
          </w:tcPr>
          <w:p>
            <w:r>
              <w:rPr>
                <w:sz w:val="16"/>
              </w:rPr>
              <w:t>v1.5</w:t>
            </w:r>
          </w:p>
        </w:tc>
        <w:tc>
          <w:tcPr>
            <w:tcW w:type="dxa" w:w="2304"/>
            <w:vAlign w:val="top"/>
          </w:tcPr>
          <w:p>
            <w:r>
              <w:rPr>
                <w:sz w:val="16"/>
              </w:rPr>
              <w:t>FY29 Q3</w:t>
            </w:r>
          </w:p>
        </w:tc>
        <w:tc>
          <w:tcPr>
            <w:tcW w:type="dxa" w:w="7776"/>
            <w:vAlign w:val="top"/>
          </w:tcPr>
          <w:p>
            <w:r>
              <w:rPr>
                <w:sz w:val="16"/>
              </w:rPr>
              <w:t>PAT-scheme integration (India); process-industry templates (cement, steel, chemicals, paper, pharma).</w:t>
            </w:r>
          </w:p>
        </w:tc>
      </w:tr>
      <w:tr>
        <w:tc>
          <w:tcPr>
            <w:tcW w:type="dxa" w:w="1872"/>
            <w:vAlign w:val="top"/>
          </w:tcPr>
          <w:p>
            <w:r>
              <w:rPr>
                <w:sz w:val="16"/>
              </w:rPr>
              <w:t>v2.0</w:t>
            </w:r>
          </w:p>
        </w:tc>
        <w:tc>
          <w:tcPr>
            <w:tcW w:type="dxa" w:w="2304"/>
            <w:vAlign w:val="top"/>
          </w:tcPr>
          <w:p>
            <w:r>
              <w:rPr>
                <w:sz w:val="16"/>
              </w:rPr>
              <w:t>FY30 Q2</w:t>
            </w:r>
          </w:p>
        </w:tc>
        <w:tc>
          <w:tcPr>
            <w:tcW w:type="dxa" w:w="7776"/>
            <w:vAlign w:val="top"/>
          </w:tcPr>
          <w:p>
            <w:r>
              <w:rPr>
                <w:sz w:val="16"/>
              </w:rPr>
              <w:t>Closed-loop control for select setpoints (human-in-the-loop).</w:t>
            </w:r>
          </w:p>
        </w:tc>
      </w:tr>
      <w:tr>
        <w:tc>
          <w:tcPr>
            <w:tcW w:type="dxa" w:w="1872"/>
            <w:vAlign w:val="top"/>
          </w:tcPr>
          <w:p>
            <w:r>
              <w:rPr>
                <w:sz w:val="16"/>
              </w:rPr>
              <w:t>v2.5</w:t>
            </w:r>
          </w:p>
        </w:tc>
        <w:tc>
          <w:tcPr>
            <w:tcW w:type="dxa" w:w="2304"/>
            <w:vAlign w:val="top"/>
          </w:tcPr>
          <w:p>
            <w:r>
              <w:rPr>
                <w:sz w:val="16"/>
              </w:rPr>
              <w:t>FY30 Q4</w:t>
            </w:r>
          </w:p>
        </w:tc>
        <w:tc>
          <w:tcPr>
            <w:tcW w:type="dxa" w:w="7776"/>
            <w:vAlign w:val="top"/>
          </w:tcPr>
          <w:p>
            <w:r>
              <w:rPr>
                <w:sz w:val="16"/>
              </w:rPr>
              <w:t>Waste-heat and process-integration advisor.</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Autonomous plant-level agent optimizing across production, energy, and carbon with plant-manager approval.</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Start with limited plant archetypes and design partners</w:t>
      </w:r>
    </w:p>
    <w:p>
      <w:pPr>
        <w:pStyle w:val="ListBullet"/>
        <w:spacing w:after="20"/>
      </w:pPr>
      <w:r>
        <w:t>GA requires reliable operational data and baseline method</w:t>
      </w:r>
    </w:p>
    <w:p>
      <w:pPr>
        <w:pStyle w:val="ListBullet"/>
        <w:spacing w:after="20"/>
      </w:pPr>
      <w:r>
        <w:t>Performance fees only after M&amp;V credibility is strong</w:t>
      </w:r>
    </w:p>
    <w:p>
      <w:pPr>
        <w:pStyle w:val="ListBullet"/>
        <w:spacing w:after="20"/>
      </w:pPr>
      <w:r>
        <w:t>Avoid custom consulting projects that do not repeat</w:t>
      </w:r>
    </w:p>
    <w:p>
      <w:pPr>
        <w:pStyle w:val="Heading3"/>
      </w:pPr>
      <w:r>
        <w:t>Key risks to actively manage</w:t>
      </w:r>
    </w:p>
    <w:p>
      <w:pPr>
        <w:pStyle w:val="ListBullet"/>
        <w:spacing w:after="20"/>
      </w:pPr>
      <w:r>
        <w:t>IoT/data integration complexity</w:t>
      </w:r>
    </w:p>
    <w:p>
      <w:pPr>
        <w:pStyle w:val="ListBullet"/>
        <w:spacing w:after="20"/>
      </w:pPr>
      <w:r>
        <w:t>savings attribution disputes</w:t>
      </w:r>
    </w:p>
    <w:p>
      <w:pPr>
        <w:pStyle w:val="ListBullet"/>
        <w:spacing w:after="20"/>
      </w:pPr>
      <w:r>
        <w:t>plant change-management friction</w:t>
      </w:r>
    </w:p>
    <w:p>
      <w:pPr>
        <w:pStyle w:val="ListBullet"/>
        <w:spacing w:after="20"/>
      </w:pPr>
      <w:r>
        <w:t>cybersecurity requirements</w:t>
      </w:r>
    </w:p>
    <w:p>
      <w:pPr>
        <w:pStyle w:val="Heading3"/>
      </w:pPr>
      <w:r>
        <w:t>Success metrics</w:t>
      </w:r>
    </w:p>
    <w:p>
      <w:pPr>
        <w:pStyle w:val="ListBullet"/>
        <w:spacing w:after="20"/>
      </w:pPr>
      <w:r>
        <w:t>energy savings identified and realized</w:t>
      </w:r>
    </w:p>
    <w:p>
      <w:pPr>
        <w:pStyle w:val="ListBullet"/>
        <w:spacing w:after="20"/>
      </w:pPr>
      <w:r>
        <w:t>emissions reduction pipeline</w:t>
      </w:r>
    </w:p>
    <w:p>
      <w:pPr>
        <w:pStyle w:val="ListBullet"/>
        <w:spacing w:after="20"/>
      </w:pPr>
      <w:r>
        <w:t>payback of projects</w:t>
      </w:r>
    </w:p>
    <w:p>
      <w:pPr>
        <w:pStyle w:val="ListBullet"/>
        <w:spacing w:after="20"/>
      </w:pPr>
      <w:r>
        <w:t>data uptime</w:t>
      </w:r>
    </w:p>
    <w:p>
      <w:pPr>
        <w:pStyle w:val="ListBullet"/>
        <w:spacing w:after="20"/>
      </w:pPr>
      <w:r>
        <w:t>expansion from compliance customers</w:t>
      </w:r>
    </w:p>
    <w:p>
      <w:pPr>
        <w:pStyle w:val="Heading3"/>
      </w:pPr>
      <w:r>
        <w:t>Dependency notes</w:t>
      </w:r>
    </w:p>
    <w:p>
      <w:pPr>
        <w:pStyle w:val="ListBullet"/>
        <w:spacing w:after="20"/>
      </w:pPr>
      <w:r>
        <w:t>Upstream: Connect, Factors, Ledger, Agent Runtime.</w:t>
      </w:r>
    </w:p>
    <w:p>
      <w:pPr>
        <w:pStyle w:val="ListBullet"/>
        <w:spacing w:after="20"/>
      </w:pPr>
      <w:r>
        <w:t>Downstream: Scope Engine, Comply, PowerOS.</w:t>
      </w:r>
    </w:p>
    <w:p>
      <w:r>
        <w:br w:type="page"/>
      </w:r>
    </w:p>
    <w:p>
      <w:pPr>
        <w:pStyle w:val="Heading2"/>
      </w:pPr>
      <w:r>
        <w:t>17. GreenLang BuildingOS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FY28</w:t>
            </w:r>
          </w:p>
        </w:tc>
      </w:tr>
      <w:tr>
        <w:tc>
          <w:tcPr>
            <w:tcW w:type="dxa" w:w="2448"/>
            <w:vAlign w:val="top"/>
            <w:shd w:fill="EAF2F8"/>
          </w:tcPr>
          <w:p>
            <w:r>
              <w:rPr>
                <w:b/>
                <w:color w:val="1F4E79"/>
                <w:sz w:val="16"/>
              </w:rPr>
              <w:t>Recommended v1.0 GA</w:t>
            </w:r>
          </w:p>
        </w:tc>
        <w:tc>
          <w:tcPr>
            <w:tcW w:type="dxa" w:w="8352"/>
            <w:vAlign w:val="top"/>
          </w:tcPr>
          <w:p>
            <w:r>
              <w:rPr>
                <w:sz w:val="16"/>
              </w:rPr>
              <w:t>FY28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Real estate, campuses, hotels, offices, hospitals, universities</w:t>
            </w:r>
          </w:p>
        </w:tc>
      </w:tr>
      <w:tr>
        <w:tc>
          <w:tcPr>
            <w:tcW w:type="dxa" w:w="2448"/>
            <w:vAlign w:val="top"/>
            <w:shd w:fill="EAF2F8"/>
          </w:tcPr>
          <w:p>
            <w:r>
              <w:rPr>
                <w:b/>
                <w:color w:val="1F4E79"/>
                <w:sz w:val="16"/>
              </w:rPr>
              <w:t>Revenue model</w:t>
            </w:r>
          </w:p>
        </w:tc>
        <w:tc>
          <w:tcPr>
            <w:tcW w:type="dxa" w:w="8352"/>
            <w:vAlign w:val="top"/>
          </w:tcPr>
          <w:p>
            <w:r>
              <w:rPr>
                <w:sz w:val="16"/>
              </w:rPr>
              <w:t>Outcome + subscription</w:t>
            </w:r>
          </w:p>
        </w:tc>
      </w:tr>
      <w:tr>
        <w:tc>
          <w:tcPr>
            <w:tcW w:type="dxa" w:w="2448"/>
            <w:vAlign w:val="top"/>
            <w:shd w:fill="EAF2F8"/>
          </w:tcPr>
          <w:p>
            <w:r>
              <w:rPr>
                <w:b/>
                <w:color w:val="1F4E79"/>
                <w:sz w:val="16"/>
              </w:rPr>
              <w:t>Definition</w:t>
            </w:r>
          </w:p>
        </w:tc>
        <w:tc>
          <w:tcPr>
            <w:tcW w:type="dxa" w:w="8352"/>
            <w:vAlign w:val="top"/>
          </w:tcPr>
          <w:p>
            <w:r>
              <w:rPr>
                <w:sz w:val="16"/>
              </w:rPr>
              <w:t>A building and campus carbon-operations product for electricity, fuel, refrigerants, water, occupancy, tariffs, building systems, retrofits, and emissions reporting. It creates an operational bridge between building management, sustainability, and finance.</w:t>
            </w:r>
          </w:p>
        </w:tc>
      </w:tr>
      <w:tr>
        <w:tc>
          <w:tcPr>
            <w:tcW w:type="dxa" w:w="2448"/>
            <w:vAlign w:val="top"/>
            <w:shd w:fill="EAF2F8"/>
          </w:tcPr>
          <w:p>
            <w:r>
              <w:rPr>
                <w:b/>
                <w:color w:val="1F4E79"/>
                <w:sz w:val="16"/>
              </w:rPr>
              <w:t>Strategic role</w:t>
            </w:r>
          </w:p>
        </w:tc>
        <w:tc>
          <w:tcPr>
            <w:tcW w:type="dxa" w:w="8352"/>
            <w:vAlign w:val="top"/>
          </w:tcPr>
          <w:p>
            <w:r>
              <w:rPr>
                <w:sz w:val="16"/>
              </w:rPr>
              <w:t>BuildingOS extends the operational savings thesis beyond factories into a large adjacent market and supports real estate, hospitality, campus, and data-center-adjacent customers.</w:t>
            </w:r>
          </w:p>
        </w:tc>
      </w:tr>
      <w:tr>
        <w:tc>
          <w:tcPr>
            <w:tcW w:type="dxa" w:w="2448"/>
            <w:vAlign w:val="top"/>
            <w:shd w:fill="EAF2F8"/>
          </w:tcPr>
          <w:p>
            <w:r>
              <w:rPr>
                <w:b/>
                <w:color w:val="1F4E79"/>
                <w:sz w:val="16"/>
              </w:rPr>
              <w:t>Pricing / packaging logic</w:t>
            </w:r>
          </w:p>
        </w:tc>
        <w:tc>
          <w:tcPr>
            <w:tcW w:type="dxa" w:w="8352"/>
            <w:vAlign w:val="top"/>
          </w:tcPr>
          <w:p>
            <w:r>
              <w:rPr>
                <w:sz w:val="16"/>
              </w:rPr>
              <w:t>Subscription by building or square footage plus outcome share for verified savings. Enterprise portfolio tiers for real estate groups and campuses.</w:t>
            </w:r>
          </w:p>
        </w:tc>
      </w:tr>
    </w:tbl>
    <w:p>
      <w:pPr>
        <w:pStyle w:val="Heading3"/>
      </w:pPr>
      <w:r>
        <w:t>CTO final pathway</w:t>
      </w:r>
    </w:p>
    <w:p>
      <w:pPr>
        <w:spacing w:after="80"/>
      </w:pPr>
      <w:r>
        <w:t>Build GreenLang BuildingOS as a modular product on the shared substrate. The release target is FY28; GA is gated for FY28 Q4. Start with portfolios that have utility/BMS data access GA requires benchmark and baseline reliability</w:t>
      </w:r>
    </w:p>
    <w:p>
      <w:pPr>
        <w:pStyle w:val="Heading3"/>
      </w:pPr>
      <w:r>
        <w:t>Why it exists</w:t>
      </w:r>
    </w:p>
    <w:p>
      <w:pPr>
        <w:spacing w:after="80"/>
      </w:pPr>
      <w:r>
        <w:t>Real estate emits ~30% of global emissions. Every building has a BMS that works at a 1990s UX. Owners and operators are now under CSRD, SB 253, LEED, NABERS, GRESB, and leasing pressure to show carbon performance. Tools today are either BMS vendor dashboards or static reporting software - not both.</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facility managers</w:t>
              <w:br/>
              <w:t>real estate asset managers</w:t>
              <w:br/>
              <w:t>energy managers</w:t>
              <w:br/>
              <w:t>sustainability teams</w:t>
              <w:br/>
              <w:t>hotel/campus operators</w:t>
              <w:br/>
              <w:t>finance teams</w:t>
            </w:r>
          </w:p>
        </w:tc>
      </w:tr>
      <w:tr>
        <w:tc>
          <w:tcPr>
            <w:tcW w:type="dxa" w:w="3024"/>
            <w:vAlign w:val="top"/>
          </w:tcPr>
          <w:p>
            <w:r>
              <w:rPr>
                <w:sz w:val="16"/>
              </w:rPr>
              <w:t>Jobs to be done</w:t>
            </w:r>
          </w:p>
        </w:tc>
        <w:tc>
          <w:tcPr>
            <w:tcW w:type="dxa" w:w="8640"/>
            <w:vAlign w:val="top"/>
          </w:tcPr>
          <w:p>
            <w:r>
              <w:rPr>
                <w:sz w:val="16"/>
              </w:rPr>
              <w:t>Track energy, emissions, water, and refrigerants across buildings</w:t>
              <w:br/>
              <w:t>Benchmark building performance</w:t>
              <w:br/>
              <w:t>Identify retrofit and operational savings projects</w:t>
              <w:br/>
              <w:t>Manage landlord/tenant data collection</w:t>
              <w:br/>
              <w:t>Feed building data into reporting and risk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BMS/IoT integration (Niagara, BACnet, Modbus, Tridium, JCI, Siemens, Schneider).</w:t>
              <w:br/>
              <w:t>Per-asset energy + carbon + cost rollups.</w:t>
              <w:br/>
              <w:t>HVAC, lighting, plug-load optimization recommendations.</w:t>
              <w:br/>
              <w:t>Tenant sub-billing and cost allocation.</w:t>
              <w:br/>
              <w:t>GRESB, NABERS, LEED, IGBC, BEE reporting.</w:t>
              <w:br/>
              <w:t>Green lease support: tenant-landlord data sharing.</w:t>
              <w:br/>
              <w:t>Retrofit planning with paybacks.</w:t>
              <w:br/>
              <w:t>Comfort-vs-carbon tradeoff view for operators.</w:t>
            </w:r>
          </w:p>
        </w:tc>
      </w:tr>
      <w:tr>
        <w:tc>
          <w:tcPr>
            <w:tcW w:type="dxa" w:w="3456"/>
            <w:vAlign w:val="top"/>
          </w:tcPr>
          <w:p>
            <w:r>
              <w:rPr>
                <w:sz w:val="16"/>
              </w:rPr>
              <w:t>In-scope product modules</w:t>
            </w:r>
          </w:p>
        </w:tc>
        <w:tc>
          <w:tcPr>
            <w:tcW w:type="dxa" w:w="8352"/>
            <w:vAlign w:val="top"/>
          </w:tcPr>
          <w:p>
            <w:r>
              <w:rPr>
                <w:sz w:val="16"/>
              </w:rPr>
              <w:t>building portfolio model</w:t>
              <w:br/>
              <w:t>utility and BMS ingestion</w:t>
              <w:br/>
              <w:t>energy/carbon dashboards</w:t>
              <w:br/>
              <w:t>benchmarking</w:t>
              <w:br/>
              <w:t>retrofit project tracker</w:t>
              <w:br/>
              <w:t>tenant data workflow</w:t>
              <w:br/>
              <w:t>M&amp;V and savings report</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utility bills</w:t>
              <w:br/>
              <w:t>meter data</w:t>
              <w:br/>
              <w:t>BMS points</w:t>
              <w:br/>
              <w:t>floor area</w:t>
              <w:br/>
              <w:t>occupancy</w:t>
              <w:br/>
              <w:t>equipment data</w:t>
              <w:br/>
              <w:t>weather</w:t>
              <w:br/>
              <w:t>tariffs</w:t>
              <w:br/>
              <w:t>refrigerant logs</w:t>
              <w:br/>
              <w:t>retrofit costs</w:t>
              <w:br/>
              <w:t>evidence</w:t>
            </w:r>
          </w:p>
        </w:tc>
      </w:tr>
      <w:tr>
        <w:tc>
          <w:tcPr>
            <w:tcW w:type="dxa" w:w="3384"/>
            <w:vAlign w:val="top"/>
          </w:tcPr>
          <w:p>
            <w:r>
              <w:rPr>
                <w:sz w:val="16"/>
              </w:rPr>
              <w:t>External/product integrations</w:t>
            </w:r>
          </w:p>
        </w:tc>
        <w:tc>
          <w:tcPr>
            <w:tcW w:type="dxa" w:w="8496"/>
            <w:vAlign w:val="top"/>
          </w:tcPr>
          <w:p>
            <w:r>
              <w:rPr>
                <w:sz w:val="16"/>
              </w:rPr>
              <w:t>Connect; Scope Engine; RiskOS; PowerOS; Evidence Vault; BMS platforms; utility bills; property management systems</w:t>
            </w:r>
          </w:p>
        </w:tc>
      </w:tr>
      <w:tr>
        <w:tc>
          <w:tcPr>
            <w:tcW w:type="dxa" w:w="3384"/>
            <w:vAlign w:val="top"/>
          </w:tcPr>
          <w:p>
            <w:r>
              <w:rPr>
                <w:sz w:val="16"/>
              </w:rPr>
              <w:t>GreenLang dependencies</w:t>
            </w:r>
          </w:p>
        </w:tc>
        <w:tc>
          <w:tcPr>
            <w:tcW w:type="dxa" w:w="8496"/>
            <w:vAlign w:val="top"/>
          </w:tcPr>
          <w:p>
            <w:r>
              <w:rPr>
                <w:sz w:val="16"/>
              </w:rPr>
              <w:t>Connect; Climate Ledger; Scope Engine; Evidence Vault; Factors</w:t>
            </w:r>
          </w:p>
        </w:tc>
      </w:tr>
      <w:tr>
        <w:tc>
          <w:tcPr>
            <w:tcW w:type="dxa" w:w="3384"/>
            <w:vAlign w:val="top"/>
          </w:tcPr>
          <w:p>
            <w:r>
              <w:rPr>
                <w:sz w:val="16"/>
              </w:rPr>
              <w:t>Customer outputs and deliverables</w:t>
            </w:r>
          </w:p>
        </w:tc>
        <w:tc>
          <w:tcPr>
            <w:tcW w:type="dxa" w:w="8496"/>
            <w:vAlign w:val="top"/>
          </w:tcPr>
          <w:p>
            <w:r>
              <w:rPr>
                <w:sz w:val="16"/>
              </w:rPr>
              <w:t>building carbon dashboard</w:t>
              <w:br/>
              <w:t>portfolio benchmark</w:t>
              <w:br/>
              <w:t>retrofit pipeline</w:t>
              <w:br/>
              <w:t>tenant data pack</w:t>
              <w:br/>
              <w:t>M&amp;V savings report</w:t>
              <w:br/>
              <w:t>compliance inputs</w:t>
            </w:r>
          </w:p>
        </w:tc>
      </w:tr>
    </w:tbl>
    <w:p>
      <w:pPr>
        <w:pStyle w:val="Heading3"/>
      </w:pPr>
      <w:r>
        <w:t>AI and automation behavior</w:t>
      </w:r>
    </w:p>
    <w:p>
      <w:pPr>
        <w:pStyle w:val="ListBullet"/>
        <w:spacing w:after="20"/>
      </w:pPr>
      <w:r>
        <w:t>benchmarking assistant</w:t>
      </w:r>
    </w:p>
    <w:p>
      <w:pPr>
        <w:pStyle w:val="ListBullet"/>
        <w:spacing w:after="20"/>
      </w:pPr>
      <w:r>
        <w:t>retrofit recommendation</w:t>
      </w:r>
    </w:p>
    <w:p>
      <w:pPr>
        <w:pStyle w:val="ListBullet"/>
        <w:spacing w:after="20"/>
      </w:pPr>
      <w:r>
        <w:t>weather-normalized anomaly detection</w:t>
      </w:r>
    </w:p>
    <w:p>
      <w:pPr>
        <w:pStyle w:val="ListBullet"/>
        <w:spacing w:after="20"/>
      </w:pPr>
      <w:r>
        <w:t>tenant request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FY28 Q1</w:t>
            </w:r>
          </w:p>
        </w:tc>
        <w:tc>
          <w:tcPr>
            <w:tcW w:type="dxa" w:w="7776"/>
            <w:vAlign w:val="top"/>
          </w:tcPr>
          <w:p>
            <w:r>
              <w:rPr>
                <w:sz w:val="16"/>
              </w:rPr>
              <w:t>Hotel + office templates; HVAC/lighting monitoring; 2 design partners.</w:t>
            </w:r>
          </w:p>
        </w:tc>
      </w:tr>
      <w:tr>
        <w:tc>
          <w:tcPr>
            <w:tcW w:type="dxa" w:w="1872"/>
            <w:vAlign w:val="top"/>
          </w:tcPr>
          <w:p>
            <w:r>
              <w:rPr>
                <w:sz w:val="16"/>
              </w:rPr>
              <w:t>v0.5 Closed Beta</w:t>
            </w:r>
          </w:p>
        </w:tc>
        <w:tc>
          <w:tcPr>
            <w:tcW w:type="dxa" w:w="2304"/>
            <w:vAlign w:val="top"/>
          </w:tcPr>
          <w:p>
            <w:r>
              <w:rPr>
                <w:sz w:val="16"/>
              </w:rPr>
              <w:t>FY28 Q2</w:t>
            </w:r>
          </w:p>
        </w:tc>
        <w:tc>
          <w:tcPr>
            <w:tcW w:type="dxa" w:w="7776"/>
            <w:vAlign w:val="top"/>
          </w:tcPr>
          <w:p>
            <w:r>
              <w:rPr>
                <w:sz w:val="16"/>
              </w:rPr>
              <w:t>Tenant allocation; GRESB/NABERS/LEED exports.</w:t>
            </w:r>
          </w:p>
        </w:tc>
      </w:tr>
      <w:tr>
        <w:tc>
          <w:tcPr>
            <w:tcW w:type="dxa" w:w="1872"/>
            <w:vAlign w:val="top"/>
          </w:tcPr>
          <w:p>
            <w:r>
              <w:rPr>
                <w:sz w:val="16"/>
              </w:rPr>
              <w:t>v0.9 Public Beta</w:t>
            </w:r>
          </w:p>
        </w:tc>
        <w:tc>
          <w:tcPr>
            <w:tcW w:type="dxa" w:w="2304"/>
            <w:vAlign w:val="top"/>
          </w:tcPr>
          <w:p>
            <w:r>
              <w:rPr>
                <w:sz w:val="16"/>
              </w:rPr>
              <w:t>FY28 Q3</w:t>
            </w:r>
          </w:p>
        </w:tc>
        <w:tc>
          <w:tcPr>
            <w:tcW w:type="dxa" w:w="7776"/>
            <w:vAlign w:val="top"/>
          </w:tcPr>
          <w:p>
            <w:r>
              <w:rPr>
                <w:sz w:val="16"/>
              </w:rPr>
              <w:t>Retrofit planner; green-lease module.</w:t>
            </w:r>
          </w:p>
        </w:tc>
      </w:tr>
      <w:tr>
        <w:tc>
          <w:tcPr>
            <w:tcW w:type="dxa" w:w="1872"/>
            <w:vAlign w:val="top"/>
          </w:tcPr>
          <w:p>
            <w:r>
              <w:rPr>
                <w:sz w:val="16"/>
              </w:rPr>
              <w:t>v1.0 GA</w:t>
            </w:r>
          </w:p>
        </w:tc>
        <w:tc>
          <w:tcPr>
            <w:tcW w:type="dxa" w:w="2304"/>
            <w:vAlign w:val="top"/>
          </w:tcPr>
          <w:p>
            <w:r>
              <w:rPr>
                <w:sz w:val="16"/>
              </w:rPr>
              <w:t>FY28 Q4</w:t>
            </w:r>
          </w:p>
        </w:tc>
        <w:tc>
          <w:tcPr>
            <w:tcW w:type="dxa" w:w="7776"/>
            <w:vAlign w:val="top"/>
          </w:tcPr>
          <w:p>
            <w:r>
              <w:rPr>
                <w:sz w:val="16"/>
              </w:rPr>
              <w:t>Verified-savings contracts live.</w:t>
            </w:r>
          </w:p>
        </w:tc>
      </w:tr>
      <w:tr>
        <w:tc>
          <w:tcPr>
            <w:tcW w:type="dxa" w:w="1872"/>
            <w:vAlign w:val="top"/>
          </w:tcPr>
          <w:p>
            <w:r>
              <w:rPr>
                <w:sz w:val="16"/>
              </w:rPr>
              <w:t>v1.5</w:t>
            </w:r>
          </w:p>
        </w:tc>
        <w:tc>
          <w:tcPr>
            <w:tcW w:type="dxa" w:w="2304"/>
            <w:vAlign w:val="top"/>
          </w:tcPr>
          <w:p>
            <w:r>
              <w:rPr>
                <w:sz w:val="16"/>
              </w:rPr>
              <w:t>FY29 Q3</w:t>
            </w:r>
          </w:p>
        </w:tc>
        <w:tc>
          <w:tcPr>
            <w:tcW w:type="dxa" w:w="7776"/>
            <w:vAlign w:val="top"/>
          </w:tcPr>
          <w:p>
            <w:r>
              <w:rPr>
                <w:sz w:val="16"/>
              </w:rPr>
              <w:t>Hospital + lab templates (stringent comfort constraints).</w:t>
            </w:r>
          </w:p>
        </w:tc>
      </w:tr>
      <w:tr>
        <w:tc>
          <w:tcPr>
            <w:tcW w:type="dxa" w:w="1872"/>
            <w:vAlign w:val="top"/>
          </w:tcPr>
          <w:p>
            <w:r>
              <w:rPr>
                <w:sz w:val="16"/>
              </w:rPr>
              <w:t>v2.0</w:t>
            </w:r>
          </w:p>
        </w:tc>
        <w:tc>
          <w:tcPr>
            <w:tcW w:type="dxa" w:w="2304"/>
            <w:vAlign w:val="top"/>
          </w:tcPr>
          <w:p>
            <w:r>
              <w:rPr>
                <w:sz w:val="16"/>
              </w:rPr>
              <w:t>FY30 Q2</w:t>
            </w:r>
          </w:p>
        </w:tc>
        <w:tc>
          <w:tcPr>
            <w:tcW w:type="dxa" w:w="7776"/>
            <w:vAlign w:val="top"/>
          </w:tcPr>
          <w:p>
            <w:r>
              <w:rPr>
                <w:sz w:val="16"/>
              </w:rPr>
              <w:t>Portfolio view across hundreds of buildings; AI-driven retrofit prioritization.</w:t>
            </w:r>
          </w:p>
        </w:tc>
      </w:tr>
      <w:tr>
        <w:tc>
          <w:tcPr>
            <w:tcW w:type="dxa" w:w="1872"/>
            <w:vAlign w:val="top"/>
          </w:tcPr>
          <w:p>
            <w:r>
              <w:rPr>
                <w:sz w:val="16"/>
              </w:rPr>
              <w:t>v2.5</w:t>
            </w:r>
          </w:p>
        </w:tc>
        <w:tc>
          <w:tcPr>
            <w:tcW w:type="dxa" w:w="2304"/>
            <w:vAlign w:val="top"/>
          </w:tcPr>
          <w:p>
            <w:r>
              <w:rPr>
                <w:sz w:val="16"/>
              </w:rPr>
              <w:t>FY30 Q4</w:t>
            </w:r>
          </w:p>
        </w:tc>
        <w:tc>
          <w:tcPr>
            <w:tcW w:type="dxa" w:w="7776"/>
            <w:vAlign w:val="top"/>
          </w:tcPr>
          <w:p>
            <w:r>
              <w:rPr>
                <w:sz w:val="16"/>
              </w:rPr>
              <w:t>Closed-loop HVAC optimization with human-in-the-loop.</w:t>
            </w:r>
          </w:p>
        </w:tc>
      </w:tr>
      <w:tr>
        <w:tc>
          <w:tcPr>
            <w:tcW w:type="dxa" w:w="1872"/>
            <w:vAlign w:val="top"/>
          </w:tcPr>
          <w:p>
            <w:r>
              <w:rPr>
                <w:sz w:val="16"/>
              </w:rPr>
              <w:t>v3.0</w:t>
            </w:r>
          </w:p>
        </w:tc>
        <w:tc>
          <w:tcPr>
            <w:tcW w:type="dxa" w:w="2304"/>
            <w:vAlign w:val="top"/>
          </w:tcPr>
          <w:p>
            <w:r>
              <w:rPr>
                <w:sz w:val="16"/>
              </w:rPr>
              <w:t>FY31 Q3</w:t>
            </w:r>
          </w:p>
        </w:tc>
        <w:tc>
          <w:tcPr>
            <w:tcW w:type="dxa" w:w="7776"/>
            <w:vAlign w:val="top"/>
          </w:tcPr>
          <w:p>
            <w:r>
              <w:rPr>
                <w:sz w:val="16"/>
              </w:rPr>
              <w:t>Building-level autonomous operations agent (co-developed with Net0link-style partners).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Start with portfolios that have utility/BMS data access</w:t>
      </w:r>
    </w:p>
    <w:p>
      <w:pPr>
        <w:pStyle w:val="ListBullet"/>
        <w:spacing w:after="20"/>
      </w:pPr>
      <w:r>
        <w:t>GA requires benchmark and baseline reliability</w:t>
      </w:r>
    </w:p>
    <w:p>
      <w:pPr>
        <w:pStyle w:val="ListBullet"/>
        <w:spacing w:after="20"/>
      </w:pPr>
      <w:r>
        <w:t>Outcome share only where data quality supports attribution</w:t>
      </w:r>
    </w:p>
    <w:p>
      <w:pPr>
        <w:pStyle w:val="ListBullet"/>
        <w:spacing w:after="20"/>
      </w:pPr>
      <w:r>
        <w:t>Do not overfit to one BMS vendor</w:t>
      </w:r>
    </w:p>
    <w:p>
      <w:pPr>
        <w:pStyle w:val="Heading3"/>
      </w:pPr>
      <w:r>
        <w:t>Key risks to actively manage</w:t>
      </w:r>
    </w:p>
    <w:p>
      <w:pPr>
        <w:pStyle w:val="ListBullet"/>
        <w:spacing w:after="20"/>
      </w:pPr>
      <w:r>
        <w:t>fragmented building systems</w:t>
      </w:r>
    </w:p>
    <w:p>
      <w:pPr>
        <w:pStyle w:val="ListBullet"/>
        <w:spacing w:after="20"/>
      </w:pPr>
      <w:r>
        <w:t>tenant data gaps</w:t>
      </w:r>
    </w:p>
    <w:p>
      <w:pPr>
        <w:pStyle w:val="ListBullet"/>
        <w:spacing w:after="20"/>
      </w:pPr>
      <w:r>
        <w:t>retrofit execution outside software control</w:t>
      </w:r>
    </w:p>
    <w:p>
      <w:pPr>
        <w:pStyle w:val="ListBullet"/>
        <w:spacing w:after="20"/>
      </w:pPr>
      <w:r>
        <w:t>savings attribution disputes</w:t>
      </w:r>
    </w:p>
    <w:p>
      <w:pPr>
        <w:pStyle w:val="Heading3"/>
      </w:pPr>
      <w:r>
        <w:t>Success metrics</w:t>
      </w:r>
    </w:p>
    <w:p>
      <w:pPr>
        <w:pStyle w:val="ListBullet"/>
        <w:spacing w:after="20"/>
      </w:pPr>
      <w:r>
        <w:t>buildings onboarded</w:t>
      </w:r>
    </w:p>
    <w:p>
      <w:pPr>
        <w:pStyle w:val="ListBullet"/>
        <w:spacing w:after="20"/>
      </w:pPr>
      <w:r>
        <w:t>utility data completeness</w:t>
      </w:r>
    </w:p>
    <w:p>
      <w:pPr>
        <w:pStyle w:val="ListBullet"/>
        <w:spacing w:after="20"/>
      </w:pPr>
      <w:r>
        <w:t>energy savings pipeline</w:t>
      </w:r>
    </w:p>
    <w:p>
      <w:pPr>
        <w:pStyle w:val="ListBullet"/>
        <w:spacing w:after="20"/>
      </w:pPr>
      <w:r>
        <w:t>M&amp;V verified savings</w:t>
      </w:r>
    </w:p>
    <w:p>
      <w:pPr>
        <w:pStyle w:val="ListBullet"/>
        <w:spacing w:after="20"/>
      </w:pPr>
      <w:r>
        <w:t>portfolio expansion rate</w:t>
      </w:r>
    </w:p>
    <w:p>
      <w:pPr>
        <w:pStyle w:val="Heading3"/>
      </w:pPr>
      <w:r>
        <w:t>Dependency notes</w:t>
      </w:r>
    </w:p>
    <w:p>
      <w:pPr>
        <w:pStyle w:val="ListBullet"/>
        <w:spacing w:after="20"/>
      </w:pPr>
      <w:r>
        <w:t>Upstream: Connect, Factors, Ledger, Agent Runtime.</w:t>
      </w:r>
    </w:p>
    <w:p>
      <w:pPr>
        <w:pStyle w:val="ListBullet"/>
        <w:spacing w:after="20"/>
      </w:pPr>
      <w:r>
        <w:t>Downstream: Scope Engine, Comply, PowerOS, FlexOS.</w:t>
      </w:r>
    </w:p>
    <w:p>
      <w:r>
        <w:br w:type="page"/>
      </w:r>
    </w:p>
    <w:p>
      <w:pPr>
        <w:pStyle w:val="Heading2"/>
      </w:pPr>
      <w:r>
        <w:t>18. GreenLang DataCenter CarbonOps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Data center operators, colocation providers, hyperscale supply chains, AI infrastructure buyers</w:t>
            </w:r>
          </w:p>
        </w:tc>
      </w:tr>
      <w:tr>
        <w:tc>
          <w:tcPr>
            <w:tcW w:type="dxa" w:w="2448"/>
            <w:vAlign w:val="top"/>
            <w:shd w:fill="EAF2F8"/>
          </w:tcPr>
          <w:p>
            <w:r>
              <w:rPr>
                <w:b/>
                <w:color w:val="1F4E79"/>
                <w:sz w:val="16"/>
              </w:rPr>
              <w:t>Revenue model</w:t>
            </w:r>
          </w:p>
        </w:tc>
        <w:tc>
          <w:tcPr>
            <w:tcW w:type="dxa" w:w="8352"/>
            <w:vAlign w:val="top"/>
          </w:tcPr>
          <w:p>
            <w:r>
              <w:rPr>
                <w:sz w:val="16"/>
              </w:rPr>
              <w:t>Outcome + subscription</w:t>
            </w:r>
          </w:p>
        </w:tc>
      </w:tr>
      <w:tr>
        <w:tc>
          <w:tcPr>
            <w:tcW w:type="dxa" w:w="2448"/>
            <w:vAlign w:val="top"/>
            <w:shd w:fill="EAF2F8"/>
          </w:tcPr>
          <w:p>
            <w:r>
              <w:rPr>
                <w:b/>
                <w:color w:val="1F4E79"/>
                <w:sz w:val="16"/>
              </w:rPr>
              <w:t>Definition</w:t>
            </w:r>
          </w:p>
        </w:tc>
        <w:tc>
          <w:tcPr>
            <w:tcW w:type="dxa" w:w="8352"/>
            <w:vAlign w:val="top"/>
          </w:tcPr>
          <w:p>
            <w:r>
              <w:rPr>
                <w:sz w:val="16"/>
              </w:rPr>
              <w:t>A carbon and energy operations system for data centers covering power consumption, PUE/WUE, grid emissions, cooling, workload carbon, renewable procurement, supplier/customer allocation, and efficiency projects.</w:t>
            </w:r>
          </w:p>
        </w:tc>
      </w:tr>
      <w:tr>
        <w:tc>
          <w:tcPr>
            <w:tcW w:type="dxa" w:w="2448"/>
            <w:vAlign w:val="top"/>
            <w:shd w:fill="EAF2F8"/>
          </w:tcPr>
          <w:p>
            <w:r>
              <w:rPr>
                <w:b/>
                <w:color w:val="1F4E79"/>
                <w:sz w:val="16"/>
              </w:rPr>
              <w:t>Strategic role</w:t>
            </w:r>
          </w:p>
        </w:tc>
        <w:tc>
          <w:tcPr>
            <w:tcW w:type="dxa" w:w="8352"/>
            <w:vAlign w:val="top"/>
          </w:tcPr>
          <w:p>
            <w:r>
              <w:rPr>
                <w:sz w:val="16"/>
              </w:rPr>
              <w:t>DataCenter CarbonOps targets a high-growth, high-energy buyer segment where carbon, power availability, water, and customer reporting needs converge.</w:t>
            </w:r>
          </w:p>
        </w:tc>
      </w:tr>
      <w:tr>
        <w:tc>
          <w:tcPr>
            <w:tcW w:type="dxa" w:w="2448"/>
            <w:vAlign w:val="top"/>
            <w:shd w:fill="EAF2F8"/>
          </w:tcPr>
          <w:p>
            <w:r>
              <w:rPr>
                <w:b/>
                <w:color w:val="1F4E79"/>
                <w:sz w:val="16"/>
              </w:rPr>
              <w:t>Pricing / packaging logic</w:t>
            </w:r>
          </w:p>
        </w:tc>
        <w:tc>
          <w:tcPr>
            <w:tcW w:type="dxa" w:w="8352"/>
            <w:vAlign w:val="top"/>
          </w:tcPr>
          <w:p>
            <w:r>
              <w:rPr>
                <w:sz w:val="16"/>
              </w:rPr>
              <w:t>Subscription by site/capacity plus premium customer-reporting and outcome-based efficiency modules.</w:t>
            </w:r>
          </w:p>
        </w:tc>
      </w:tr>
    </w:tbl>
    <w:p>
      <w:pPr>
        <w:pStyle w:val="Heading3"/>
      </w:pPr>
      <w:r>
        <w:t>CTO final pathway</w:t>
      </w:r>
    </w:p>
    <w:p>
      <w:pPr>
        <w:spacing w:after="80"/>
      </w:pPr>
      <w:r>
        <w:t>Build GreenLang DataCenter CarbonOps as a modular product on the shared substrate. The release target is FY29; GA is gated for FY29 Q4. Launch after BuildingOS and PowerOS primitives are stable GA requires at least one design partner with DCIM/BMS data access</w:t>
      </w:r>
    </w:p>
    <w:p>
      <w:pPr>
        <w:pStyle w:val="Heading3"/>
      </w:pPr>
      <w:r>
        <w:t>Why it exists</w:t>
      </w:r>
    </w:p>
    <w:p>
      <w:pPr>
        <w:spacing w:after="80"/>
      </w:pPr>
      <w:r>
        <w:t>AI workloads have put data-center power demand on a vertical climb. Hyperscalers, colos, and enterprise DCs now face 24/7 clean energy claims, customer SLAs on carbon, and jurisdictional constraints (EU EED data-center reporting, local water). Nothing integrates PUE, WUE, grid intensity, and workload carbon.</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data center operators</w:t>
              <w:br/>
              <w:t>sustainability teams</w:t>
              <w:br/>
              <w:t>energy procurement teams</w:t>
              <w:br/>
              <w:t>facility engineers</w:t>
              <w:br/>
              <w:t>colocation customer account teams</w:t>
              <w:br/>
              <w:t>hyperscale supply-chain teams</w:t>
            </w:r>
          </w:p>
        </w:tc>
      </w:tr>
      <w:tr>
        <w:tc>
          <w:tcPr>
            <w:tcW w:type="dxa" w:w="3024"/>
            <w:vAlign w:val="top"/>
          </w:tcPr>
          <w:p>
            <w:r>
              <w:rPr>
                <w:sz w:val="16"/>
              </w:rPr>
              <w:t>Jobs to be done</w:t>
            </w:r>
          </w:p>
        </w:tc>
        <w:tc>
          <w:tcPr>
            <w:tcW w:type="dxa" w:w="8640"/>
            <w:vAlign w:val="top"/>
          </w:tcPr>
          <w:p>
            <w:r>
              <w:rPr>
                <w:sz w:val="16"/>
              </w:rPr>
              <w:t>Monitor facility and workload energy/carbon</w:t>
              <w:br/>
              <w:t>Allocate emissions to tenants/customers/workloads</w:t>
              <w:br/>
              <w:t>Track cooling, water, and efficiency metrics</w:t>
              <w:br/>
              <w:t>Evaluate renewable procurement and grid-carbon impacts</w:t>
              <w:br/>
              <w:t>Produce customer carbon reports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Real-time PUE, WUE, carbon intensity per site, per hall, per customer.</w:t>
              <w:br/>
              <w:t>Workload-to-carbon attribution for tenant/customer chargeback.</w:t>
              <w:br/>
              <w:t>24/7 clean-energy matching via PowerOS integration.</w:t>
              <w:br/>
              <w:t>Water stress overlay (links to WaterOS).</w:t>
              <w:br/>
              <w:t>EU EED DC reporting module.</w:t>
              <w:br/>
              <w:t>Cooling strategy advisor (free cooling windows, setpoint tuning).</w:t>
              <w:br/>
              <w:t>Spare-capacity and carbon-aware workload placement recommendations.</w:t>
            </w:r>
          </w:p>
        </w:tc>
      </w:tr>
      <w:tr>
        <w:tc>
          <w:tcPr>
            <w:tcW w:type="dxa" w:w="3456"/>
            <w:vAlign w:val="top"/>
          </w:tcPr>
          <w:p>
            <w:r>
              <w:rPr>
                <w:sz w:val="16"/>
              </w:rPr>
              <w:t>In-scope product modules</w:t>
            </w:r>
          </w:p>
        </w:tc>
        <w:tc>
          <w:tcPr>
            <w:tcW w:type="dxa" w:w="8352"/>
            <w:vAlign w:val="top"/>
          </w:tcPr>
          <w:p>
            <w:r>
              <w:rPr>
                <w:sz w:val="16"/>
              </w:rPr>
              <w:t>facility energy model</w:t>
              <w:br/>
              <w:t>PUE/WUE dashboard</w:t>
              <w:br/>
              <w:t>workload/customer allocation</w:t>
              <w:br/>
              <w:t>grid-carbon analytics</w:t>
              <w:br/>
              <w:t>cooling and water module</w:t>
              <w:br/>
              <w:t>efficiency project tracker</w:t>
              <w:br/>
              <w:t>customer reporting portal</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meter data</w:t>
              <w:br/>
              <w:t>IT load</w:t>
              <w:br/>
              <w:t>cooling energy</w:t>
              <w:br/>
              <w:t>water use</w:t>
              <w:br/>
              <w:t>tenant/customer allocation data</w:t>
              <w:br/>
              <w:t>grid factors</w:t>
              <w:br/>
              <w:t>PPA/REC data</w:t>
              <w:br/>
              <w:t>equipment data</w:t>
              <w:br/>
              <w:t>project costs</w:t>
              <w:br/>
              <w:t>evidence</w:t>
            </w:r>
          </w:p>
        </w:tc>
      </w:tr>
      <w:tr>
        <w:tc>
          <w:tcPr>
            <w:tcW w:type="dxa" w:w="3384"/>
            <w:vAlign w:val="top"/>
          </w:tcPr>
          <w:p>
            <w:r>
              <w:rPr>
                <w:sz w:val="16"/>
              </w:rPr>
              <w:t>External/product integrations</w:t>
            </w:r>
          </w:p>
        </w:tc>
        <w:tc>
          <w:tcPr>
            <w:tcW w:type="dxa" w:w="8496"/>
            <w:vAlign w:val="top"/>
          </w:tcPr>
          <w:p>
            <w:r>
              <w:rPr>
                <w:sz w:val="16"/>
              </w:rPr>
              <w:t>BuildingOS; PowerOS; Scope Engine; Connect; Evidence Vault; cloud/workload telemetry where available; DCIM/BMS systems</w:t>
            </w:r>
          </w:p>
        </w:tc>
      </w:tr>
      <w:tr>
        <w:tc>
          <w:tcPr>
            <w:tcW w:type="dxa" w:w="3384"/>
            <w:vAlign w:val="top"/>
          </w:tcPr>
          <w:p>
            <w:r>
              <w:rPr>
                <w:sz w:val="16"/>
              </w:rPr>
              <w:t>GreenLang dependencies</w:t>
            </w:r>
          </w:p>
        </w:tc>
        <w:tc>
          <w:tcPr>
            <w:tcW w:type="dxa" w:w="8496"/>
            <w:vAlign w:val="top"/>
          </w:tcPr>
          <w:p>
            <w:r>
              <w:rPr>
                <w:sz w:val="16"/>
              </w:rPr>
              <w:t>BuildingOS; PowerOS; Connect; Factors; Climate Ledger</w:t>
            </w:r>
          </w:p>
        </w:tc>
      </w:tr>
      <w:tr>
        <w:tc>
          <w:tcPr>
            <w:tcW w:type="dxa" w:w="3384"/>
            <w:vAlign w:val="top"/>
          </w:tcPr>
          <w:p>
            <w:r>
              <w:rPr>
                <w:sz w:val="16"/>
              </w:rPr>
              <w:t>Customer outputs and deliverables</w:t>
            </w:r>
          </w:p>
        </w:tc>
        <w:tc>
          <w:tcPr>
            <w:tcW w:type="dxa" w:w="8496"/>
            <w:vAlign w:val="top"/>
          </w:tcPr>
          <w:p>
            <w:r>
              <w:rPr>
                <w:sz w:val="16"/>
              </w:rPr>
              <w:t>data center carbon dashboard</w:t>
              <w:br/>
              <w:t>tenant/customer carbon report</w:t>
              <w:br/>
              <w:t>PUE/WUE trend</w:t>
              <w:br/>
              <w:t>grid-carbon report</w:t>
              <w:br/>
              <w:t>efficiency pipeline</w:t>
              <w:br/>
              <w:t>customer evidence pack</w:t>
            </w:r>
          </w:p>
        </w:tc>
      </w:tr>
    </w:tbl>
    <w:p>
      <w:pPr>
        <w:pStyle w:val="Heading3"/>
      </w:pPr>
      <w:r>
        <w:t>AI and automation behavior</w:t>
      </w:r>
    </w:p>
    <w:p>
      <w:pPr>
        <w:pStyle w:val="ListBullet"/>
        <w:spacing w:after="20"/>
      </w:pPr>
      <w:r>
        <w:t>cooling anomaly detection</w:t>
      </w:r>
    </w:p>
    <w:p>
      <w:pPr>
        <w:pStyle w:val="ListBullet"/>
        <w:spacing w:after="20"/>
      </w:pPr>
      <w:r>
        <w:t>workload carbon insight assistant</w:t>
      </w:r>
    </w:p>
    <w:p>
      <w:pPr>
        <w:pStyle w:val="ListBullet"/>
        <w:spacing w:after="20"/>
      </w:pPr>
      <w:r>
        <w:t>renewable procurement scenario assistant</w:t>
      </w:r>
    </w:p>
    <w:p>
      <w:pPr>
        <w:pStyle w:val="ListBullet"/>
        <w:spacing w:after="20"/>
      </w:pPr>
      <w:r>
        <w:t>customer report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PUE + carbon monitoring; 2 design partners.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Workload attribution; EU EED module.</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Cooling advisor; water overlay.</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24/7 clean-energy matching; verified-savings contracts.</w:t>
            </w:r>
          </w:p>
        </w:tc>
      </w:tr>
      <w:tr>
        <w:tc>
          <w:tcPr>
            <w:tcW w:type="dxa" w:w="1872"/>
            <w:vAlign w:val="top"/>
          </w:tcPr>
          <w:p>
            <w:r>
              <w:rPr>
                <w:sz w:val="16"/>
              </w:rPr>
              <w:t>v1.5</w:t>
            </w:r>
          </w:p>
        </w:tc>
        <w:tc>
          <w:tcPr>
            <w:tcW w:type="dxa" w:w="2304"/>
            <w:vAlign w:val="top"/>
          </w:tcPr>
          <w:p>
            <w:r>
              <w:rPr>
                <w:sz w:val="16"/>
              </w:rPr>
              <w:t>FY30 Q3</w:t>
            </w:r>
          </w:p>
        </w:tc>
        <w:tc>
          <w:tcPr>
            <w:tcW w:type="dxa" w:w="7776"/>
            <w:vAlign w:val="top"/>
          </w:tcPr>
          <w:p>
            <w:r>
              <w:rPr>
                <w:sz w:val="16"/>
              </w:rPr>
              <w:t>Carbon-aware workload placement recommendations (integrates with Kubernetes/VM schedulers).</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Multi-site optimizer across hyperscale footprint.</w:t>
            </w:r>
          </w:p>
        </w:tc>
      </w:tr>
      <w:tr>
        <w:tc>
          <w:tcPr>
            <w:tcW w:type="dxa" w:w="1872"/>
            <w:vAlign w:val="top"/>
          </w:tcPr>
          <w:p>
            <w:r>
              <w:rPr>
                <w:sz w:val="16"/>
              </w:rPr>
              <w:t>v2.5</w:t>
            </w:r>
          </w:p>
        </w:tc>
        <w:tc>
          <w:tcPr>
            <w:tcW w:type="dxa" w:w="2304"/>
            <w:vAlign w:val="top"/>
          </w:tcPr>
          <w:p>
            <w:r>
              <w:rPr>
                <w:sz w:val="16"/>
              </w:rPr>
              <w:t>FY31 Q3</w:t>
            </w:r>
          </w:p>
        </w:tc>
        <w:tc>
          <w:tcPr>
            <w:tcW w:type="dxa" w:w="7776"/>
            <w:vAlign w:val="top"/>
          </w:tcPr>
          <w:p>
            <w:r>
              <w:rPr>
                <w:sz w:val="16"/>
              </w:rPr>
              <w:t>Tenant-facing carbon SLAs and chargeback API.</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after BuildingOS and PowerOS primitives are stable</w:t>
      </w:r>
    </w:p>
    <w:p>
      <w:pPr>
        <w:pStyle w:val="ListBullet"/>
        <w:spacing w:after="20"/>
      </w:pPr>
      <w:r>
        <w:t>GA requires at least one design partner with DCIM/BMS data access</w:t>
      </w:r>
    </w:p>
    <w:p>
      <w:pPr>
        <w:pStyle w:val="ListBullet"/>
        <w:spacing w:after="20"/>
      </w:pPr>
      <w:r>
        <w:t>Customer allocation model must be transparent</w:t>
      </w:r>
    </w:p>
    <w:p>
      <w:pPr>
        <w:pStyle w:val="ListBullet"/>
        <w:spacing w:after="20"/>
      </w:pPr>
      <w:r>
        <w:t>Water metrics should be included only when reliable data exists</w:t>
      </w:r>
    </w:p>
    <w:p>
      <w:pPr>
        <w:pStyle w:val="Heading3"/>
      </w:pPr>
      <w:r>
        <w:t>Key risks to actively manage</w:t>
      </w:r>
    </w:p>
    <w:p>
      <w:pPr>
        <w:pStyle w:val="ListBullet"/>
        <w:spacing w:after="20"/>
      </w:pPr>
      <w:r>
        <w:t>sensitive customer allocation data</w:t>
      </w:r>
    </w:p>
    <w:p>
      <w:pPr>
        <w:pStyle w:val="ListBullet"/>
        <w:spacing w:after="20"/>
      </w:pPr>
      <w:r>
        <w:t>integration complexity</w:t>
      </w:r>
    </w:p>
    <w:p>
      <w:pPr>
        <w:pStyle w:val="ListBullet"/>
        <w:spacing w:after="20"/>
      </w:pPr>
      <w:r>
        <w:t>fast-changing AI data-center needs</w:t>
      </w:r>
    </w:p>
    <w:p>
      <w:pPr>
        <w:pStyle w:val="ListBullet"/>
        <w:spacing w:after="20"/>
      </w:pPr>
      <w:r>
        <w:t>regional grid-factor complexity</w:t>
      </w:r>
    </w:p>
    <w:p>
      <w:pPr>
        <w:pStyle w:val="Heading3"/>
      </w:pPr>
      <w:r>
        <w:t>Success metrics</w:t>
      </w:r>
    </w:p>
    <w:p>
      <w:pPr>
        <w:pStyle w:val="ListBullet"/>
        <w:spacing w:after="20"/>
      </w:pPr>
      <w:r>
        <w:t>site capacity onboarded</w:t>
      </w:r>
    </w:p>
    <w:p>
      <w:pPr>
        <w:pStyle w:val="ListBullet"/>
        <w:spacing w:after="20"/>
      </w:pPr>
      <w:r>
        <w:t>customer reports generated</w:t>
      </w:r>
    </w:p>
    <w:p>
      <w:pPr>
        <w:pStyle w:val="ListBullet"/>
        <w:spacing w:after="20"/>
      </w:pPr>
      <w:r>
        <w:t>allocation accuracy</w:t>
      </w:r>
    </w:p>
    <w:p>
      <w:pPr>
        <w:pStyle w:val="ListBullet"/>
        <w:spacing w:after="20"/>
      </w:pPr>
      <w:r>
        <w:t>efficiency savings pipeline</w:t>
      </w:r>
    </w:p>
    <w:p>
      <w:pPr>
        <w:pStyle w:val="ListBullet"/>
        <w:spacing w:after="20"/>
      </w:pPr>
      <w:r>
        <w:t>PUE/WUE improvement tracking</w:t>
      </w:r>
    </w:p>
    <w:p>
      <w:pPr>
        <w:pStyle w:val="Heading3"/>
      </w:pPr>
      <w:r>
        <w:t>Dependency notes</w:t>
      </w:r>
    </w:p>
    <w:p>
      <w:pPr>
        <w:pStyle w:val="ListBullet"/>
        <w:spacing w:after="20"/>
      </w:pPr>
      <w:r>
        <w:t>Upstream: Connect, PowerOS, WaterOS, Factors, Ledger.</w:t>
      </w:r>
    </w:p>
    <w:p>
      <w:pPr>
        <w:pStyle w:val="ListBullet"/>
        <w:spacing w:after="20"/>
      </w:pPr>
      <w:r>
        <w:t>Downstream: Scope Engine, Comply.</w:t>
      </w:r>
    </w:p>
    <w:p>
      <w:r>
        <w:br w:type="page"/>
      </w:r>
    </w:p>
    <w:p>
      <w:pPr>
        <w:pStyle w:val="Heading2"/>
      </w:pPr>
      <w:r>
        <w:t>19. GreenLang PowerOS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Large power buyers, utilities, industrial parks, campuses, data centers</w:t>
            </w:r>
          </w:p>
        </w:tc>
      </w:tr>
      <w:tr>
        <w:tc>
          <w:tcPr>
            <w:tcW w:type="dxa" w:w="2448"/>
            <w:vAlign w:val="top"/>
            <w:shd w:fill="EAF2F8"/>
          </w:tcPr>
          <w:p>
            <w:r>
              <w:rPr>
                <w:b/>
                <w:color w:val="1F4E79"/>
                <w:sz w:val="16"/>
              </w:rPr>
              <w:t>Revenue model</w:t>
            </w:r>
          </w:p>
        </w:tc>
        <w:tc>
          <w:tcPr>
            <w:tcW w:type="dxa" w:w="8352"/>
            <w:vAlign w:val="top"/>
          </w:tcPr>
          <w:p>
            <w:r>
              <w:rPr>
                <w:sz w:val="16"/>
              </w:rPr>
              <w:t>Subscription</w:t>
            </w:r>
          </w:p>
        </w:tc>
      </w:tr>
      <w:tr>
        <w:tc>
          <w:tcPr>
            <w:tcW w:type="dxa" w:w="2448"/>
            <w:vAlign w:val="top"/>
            <w:shd w:fill="EAF2F8"/>
          </w:tcPr>
          <w:p>
            <w:r>
              <w:rPr>
                <w:b/>
                <w:color w:val="1F4E79"/>
                <w:sz w:val="16"/>
              </w:rPr>
              <w:t>Definition</w:t>
            </w:r>
          </w:p>
        </w:tc>
        <w:tc>
          <w:tcPr>
            <w:tcW w:type="dxa" w:w="8352"/>
            <w:vAlign w:val="top"/>
          </w:tcPr>
          <w:p>
            <w:r>
              <w:rPr>
                <w:sz w:val="16"/>
              </w:rPr>
              <w:t>A power procurement, grid-carbon, renewable energy, PPA, certificate, tariff, and load-planning workspace for large energy buyers and selected utilities. It links electricity decisions to emissions, cost, risk, and operational workflows.</w:t>
            </w:r>
          </w:p>
        </w:tc>
      </w:tr>
      <w:tr>
        <w:tc>
          <w:tcPr>
            <w:tcW w:type="dxa" w:w="2448"/>
            <w:vAlign w:val="top"/>
            <w:shd w:fill="EAF2F8"/>
          </w:tcPr>
          <w:p>
            <w:r>
              <w:rPr>
                <w:b/>
                <w:color w:val="1F4E79"/>
                <w:sz w:val="16"/>
              </w:rPr>
              <w:t>Strategic role</w:t>
            </w:r>
          </w:p>
        </w:tc>
        <w:tc>
          <w:tcPr>
            <w:tcW w:type="dxa" w:w="8352"/>
            <w:vAlign w:val="top"/>
          </w:tcPr>
          <w:p>
            <w:r>
              <w:rPr>
                <w:sz w:val="16"/>
              </w:rPr>
              <w:t>PowerOS turns GreenLang into an execution system for electrification and procurement, not just a reporting layer. It underpins FlexOS, Microgrid Planner, PlantOS, BuildingOS, and DataCenter CarbonOps.</w:t>
            </w:r>
          </w:p>
        </w:tc>
      </w:tr>
      <w:tr>
        <w:tc>
          <w:tcPr>
            <w:tcW w:type="dxa" w:w="2448"/>
            <w:vAlign w:val="top"/>
            <w:shd w:fill="EAF2F8"/>
          </w:tcPr>
          <w:p>
            <w:r>
              <w:rPr>
                <w:b/>
                <w:color w:val="1F4E79"/>
                <w:sz w:val="16"/>
              </w:rPr>
              <w:t>Pricing / packaging logic</w:t>
            </w:r>
          </w:p>
        </w:tc>
        <w:tc>
          <w:tcPr>
            <w:tcW w:type="dxa" w:w="8352"/>
            <w:vAlign w:val="top"/>
          </w:tcPr>
          <w:p>
            <w:r>
              <w:rPr>
                <w:sz w:val="16"/>
              </w:rPr>
              <w:t>Subscription by site/load volume plus premium analytics for PPA and procurement workflows; transaction participation only after market/legal readiness.</w:t>
            </w:r>
          </w:p>
        </w:tc>
      </w:tr>
    </w:tbl>
    <w:p>
      <w:pPr>
        <w:pStyle w:val="Heading3"/>
      </w:pPr>
      <w:r>
        <w:t>CTO final pathway</w:t>
      </w:r>
    </w:p>
    <w:p>
      <w:pPr>
        <w:spacing w:after="80"/>
      </w:pPr>
      <w:r>
        <w:t>Build GreenLang PowerOS as a modular product on the shared substrate. The release target is FY29; GA is gated for FY29 Q4. Do not enter transaction brokerage before legal/commercial capability exists GA requires reliable energy data and certificate evidence trail</w:t>
      </w:r>
    </w:p>
    <w:p>
      <w:pPr>
        <w:pStyle w:val="Heading3"/>
      </w:pPr>
      <w:r>
        <w:t>Why it exists</w:t>
      </w:r>
    </w:p>
    <w:p>
      <w:pPr>
        <w:spacing w:after="80"/>
      </w:pPr>
      <w:r>
        <w:t>Large corporate power buyers are moving from annual PPAs to hourly matching. PPAs are structured in Excel, RECs are tracked in PDFs, and reporting teams fight procurement about what's allowed under Scope 2 market-based methodology. GHGP Scope 2 guidance is tightening.</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energy procurement teams</w:t>
              <w:br/>
              <w:t>sustainability teams</w:t>
              <w:br/>
              <w:t>facility/plant energy managers</w:t>
              <w:br/>
              <w:t>CFO teams</w:t>
              <w:br/>
              <w:t>utility account teams</w:t>
              <w:br/>
              <w:t>industrial park operators</w:t>
            </w:r>
          </w:p>
        </w:tc>
      </w:tr>
      <w:tr>
        <w:tc>
          <w:tcPr>
            <w:tcW w:type="dxa" w:w="3024"/>
            <w:vAlign w:val="top"/>
          </w:tcPr>
          <w:p>
            <w:r>
              <w:rPr>
                <w:sz w:val="16"/>
              </w:rPr>
              <w:t>Jobs to be done</w:t>
            </w:r>
          </w:p>
        </w:tc>
        <w:tc>
          <w:tcPr>
            <w:tcW w:type="dxa" w:w="8640"/>
            <w:vAlign w:val="top"/>
          </w:tcPr>
          <w:p>
            <w:r>
              <w:rPr>
                <w:sz w:val="16"/>
              </w:rPr>
              <w:t>Understand electricity emissions by location and time</w:t>
              <w:br/>
              <w:t>Evaluate PPA/REC/procurement options</w:t>
              <w:br/>
              <w:t>Track renewable claims and evidence</w:t>
              <w:br/>
              <w:t>Model tariff/cost/carbon scenarios</w:t>
              <w:br/>
              <w:t>Support electrification and load-growth planning</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PPA portfolio management (physical, virtual, sleeved, pay-as-produced).</w:t>
              <w:br/>
              <w:t>Hourly matching (24/7 CFE) with gap analysis.</w:t>
              <w:br/>
              <w:t>REC/GO/I-REC ledger and retirement.</w:t>
              <w:br/>
              <w:t>Green-tariff and utility-program onboarding.</w:t>
              <w:br/>
              <w:t>Scope 2 market-based reporting consistent with GHGP.</w:t>
              <w:br/>
              <w:t>PPA scenario modeler (volume, price, shape, curtailment).</w:t>
              <w:br/>
              <w:t>Additionality and location-based impact view.</w:t>
              <w:br/>
              <w:t>Marketplace integrations (LevelTen, Pexapark, etc.) where commercial terms allow.</w:t>
            </w:r>
          </w:p>
        </w:tc>
      </w:tr>
      <w:tr>
        <w:tc>
          <w:tcPr>
            <w:tcW w:type="dxa" w:w="3456"/>
            <w:vAlign w:val="top"/>
          </w:tcPr>
          <w:p>
            <w:r>
              <w:rPr>
                <w:sz w:val="16"/>
              </w:rPr>
              <w:t>In-scope product modules</w:t>
            </w:r>
          </w:p>
        </w:tc>
        <w:tc>
          <w:tcPr>
            <w:tcW w:type="dxa" w:w="8352"/>
            <w:vAlign w:val="top"/>
          </w:tcPr>
          <w:p>
            <w:r>
              <w:rPr>
                <w:sz w:val="16"/>
              </w:rPr>
              <w:t>electricity portfolio model</w:t>
              <w:br/>
              <w:t>location/time-based grid-carbon analytics</w:t>
              <w:br/>
              <w:t>PPA/REC/certificate tracker</w:t>
              <w:br/>
              <w:t>tariff and cost scenario model</w:t>
              <w:br/>
              <w:t>load forecast</w:t>
              <w:br/>
              <w:t>procurement recommendation workflow</w:t>
              <w:br/>
              <w:t>claims evidence</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meter data</w:t>
              <w:br/>
              <w:t>load profiles</w:t>
              <w:br/>
              <w:t>grid factors</w:t>
              <w:br/>
              <w:t>tariffs</w:t>
              <w:br/>
              <w:t>PPA contracts</w:t>
              <w:br/>
              <w:t>REC/EAC certificates</w:t>
              <w:br/>
              <w:t>generation data</w:t>
              <w:br/>
              <w:t>site assets</w:t>
              <w:br/>
              <w:t>market prices</w:t>
              <w:br/>
              <w:t>evidence</w:t>
            </w:r>
          </w:p>
        </w:tc>
      </w:tr>
      <w:tr>
        <w:tc>
          <w:tcPr>
            <w:tcW w:type="dxa" w:w="3384"/>
            <w:vAlign w:val="top"/>
          </w:tcPr>
          <w:p>
            <w:r>
              <w:rPr>
                <w:sz w:val="16"/>
              </w:rPr>
              <w:t>External/product integrations</w:t>
            </w:r>
          </w:p>
        </w:tc>
        <w:tc>
          <w:tcPr>
            <w:tcW w:type="dxa" w:w="8496"/>
            <w:vAlign w:val="top"/>
          </w:tcPr>
          <w:p>
            <w:r>
              <w:rPr>
                <w:sz w:val="16"/>
              </w:rPr>
              <w:t>PlantOS; BuildingOS; DataCenter CarbonOps; FlexOS; Microgrid Planner; Connect; Evidence Vault; utility/market data feeds</w:t>
            </w:r>
          </w:p>
        </w:tc>
      </w:tr>
      <w:tr>
        <w:tc>
          <w:tcPr>
            <w:tcW w:type="dxa" w:w="3384"/>
            <w:vAlign w:val="top"/>
          </w:tcPr>
          <w:p>
            <w:r>
              <w:rPr>
                <w:sz w:val="16"/>
              </w:rPr>
              <w:t>GreenLang dependencies</w:t>
            </w:r>
          </w:p>
        </w:tc>
        <w:tc>
          <w:tcPr>
            <w:tcW w:type="dxa" w:w="8496"/>
            <w:vAlign w:val="top"/>
          </w:tcPr>
          <w:p>
            <w:r>
              <w:rPr>
                <w:sz w:val="16"/>
              </w:rPr>
              <w:t>Connect; Factors; Climate Ledger; Evidence Vault; PlantOS/BuildingOS early customers</w:t>
            </w:r>
          </w:p>
        </w:tc>
      </w:tr>
      <w:tr>
        <w:tc>
          <w:tcPr>
            <w:tcW w:type="dxa" w:w="3384"/>
            <w:vAlign w:val="top"/>
          </w:tcPr>
          <w:p>
            <w:r>
              <w:rPr>
                <w:sz w:val="16"/>
              </w:rPr>
              <w:t>Customer outputs and deliverables</w:t>
            </w:r>
          </w:p>
        </w:tc>
        <w:tc>
          <w:tcPr>
            <w:tcW w:type="dxa" w:w="8496"/>
            <w:vAlign w:val="top"/>
          </w:tcPr>
          <w:p>
            <w:r>
              <w:rPr>
                <w:sz w:val="16"/>
              </w:rPr>
              <w:t>power emissions dashboard</w:t>
              <w:br/>
              <w:t>PPA scenario</w:t>
              <w:br/>
              <w:t>certificate evidence pack</w:t>
              <w:br/>
              <w:t>tariff/cost analysis</w:t>
              <w:br/>
              <w:t>load forecast</w:t>
              <w:br/>
              <w:t>renewable claims report</w:t>
            </w:r>
          </w:p>
        </w:tc>
      </w:tr>
    </w:tbl>
    <w:p>
      <w:pPr>
        <w:pStyle w:val="Heading3"/>
      </w:pPr>
      <w:r>
        <w:t>AI and automation behavior</w:t>
      </w:r>
    </w:p>
    <w:p>
      <w:pPr>
        <w:pStyle w:val="ListBullet"/>
        <w:spacing w:after="20"/>
      </w:pPr>
      <w:r>
        <w:t>procurement scenario assistant</w:t>
      </w:r>
    </w:p>
    <w:p>
      <w:pPr>
        <w:pStyle w:val="ListBullet"/>
        <w:spacing w:after="20"/>
      </w:pPr>
      <w:r>
        <w:t>tariff optimization recommendation</w:t>
      </w:r>
    </w:p>
    <w:p>
      <w:pPr>
        <w:pStyle w:val="ListBullet"/>
        <w:spacing w:after="20"/>
      </w:pPr>
      <w:r>
        <w:t>certificate/evidence gap detection</w:t>
      </w:r>
    </w:p>
    <w:p>
      <w:pPr>
        <w:pStyle w:val="ListBullet"/>
        <w:spacing w:after="20"/>
      </w:pPr>
      <w:r>
        <w:t>load forecasting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PPA portfolio + REC ledger; 2 design partners.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Hourly matching (US + EU ISOs).</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Scenario modeler; additionality view.</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Full GHGP market-based reporting certification.</w:t>
            </w:r>
          </w:p>
        </w:tc>
      </w:tr>
      <w:tr>
        <w:tc>
          <w:tcPr>
            <w:tcW w:type="dxa" w:w="1872"/>
            <w:vAlign w:val="top"/>
          </w:tcPr>
          <w:p>
            <w:r>
              <w:rPr>
                <w:sz w:val="16"/>
              </w:rPr>
              <w:t>v1.5</w:t>
            </w:r>
          </w:p>
        </w:tc>
        <w:tc>
          <w:tcPr>
            <w:tcW w:type="dxa" w:w="2304"/>
            <w:vAlign w:val="top"/>
          </w:tcPr>
          <w:p>
            <w:r>
              <w:rPr>
                <w:sz w:val="16"/>
              </w:rPr>
              <w:t>FY30 Q2</w:t>
            </w:r>
          </w:p>
        </w:tc>
        <w:tc>
          <w:tcPr>
            <w:tcW w:type="dxa" w:w="7776"/>
            <w:vAlign w:val="top"/>
          </w:tcPr>
          <w:p>
            <w:r>
              <w:rPr>
                <w:sz w:val="16"/>
              </w:rPr>
              <w:t>India I-REC and green-tariff support; APAC ISOs.</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24/7 CFE with deep integration to DataCenter CarbonOps and FlexOS.</w:t>
            </w:r>
          </w:p>
        </w:tc>
      </w:tr>
      <w:tr>
        <w:tc>
          <w:tcPr>
            <w:tcW w:type="dxa" w:w="1872"/>
            <w:vAlign w:val="top"/>
          </w:tcPr>
          <w:p>
            <w:r>
              <w:rPr>
                <w:sz w:val="16"/>
              </w:rPr>
              <w:t>v2.5</w:t>
            </w:r>
          </w:p>
        </w:tc>
        <w:tc>
          <w:tcPr>
            <w:tcW w:type="dxa" w:w="2304"/>
            <w:vAlign w:val="top"/>
          </w:tcPr>
          <w:p>
            <w:r>
              <w:rPr>
                <w:sz w:val="16"/>
              </w:rPr>
              <w:t>FY31 Q2</w:t>
            </w:r>
          </w:p>
        </w:tc>
        <w:tc>
          <w:tcPr>
            <w:tcW w:type="dxa" w:w="7776"/>
            <w:vAlign w:val="top"/>
          </w:tcPr>
          <w:p>
            <w:r>
              <w:rPr>
                <w:sz w:val="16"/>
              </w:rPr>
              <w:t>Marketplace rails - PPA discovery and execution with partners.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enter transaction brokerage before legal/commercial capability exists</w:t>
      </w:r>
    </w:p>
    <w:p>
      <w:pPr>
        <w:pStyle w:val="ListBullet"/>
        <w:spacing w:after="20"/>
      </w:pPr>
      <w:r>
        <w:t>GA requires reliable energy data and certificate evidence trail</w:t>
      </w:r>
    </w:p>
    <w:p>
      <w:pPr>
        <w:pStyle w:val="ListBullet"/>
        <w:spacing w:after="20"/>
      </w:pPr>
      <w:r>
        <w:t>Grid-factor methodology must be explicit</w:t>
      </w:r>
    </w:p>
    <w:p>
      <w:pPr>
        <w:pStyle w:val="ListBullet"/>
        <w:spacing w:after="20"/>
      </w:pPr>
      <w:r>
        <w:t>Start with analytics before marketplace flows</w:t>
      </w:r>
    </w:p>
    <w:p>
      <w:pPr>
        <w:pStyle w:val="Heading3"/>
      </w:pPr>
      <w:r>
        <w:t>Key risks to actively manage</w:t>
      </w:r>
    </w:p>
    <w:p>
      <w:pPr>
        <w:pStyle w:val="ListBullet"/>
        <w:spacing w:after="20"/>
      </w:pPr>
      <w:r>
        <w:t>energy-market complexity</w:t>
      </w:r>
    </w:p>
    <w:p>
      <w:pPr>
        <w:pStyle w:val="ListBullet"/>
        <w:spacing w:after="20"/>
      </w:pPr>
      <w:r>
        <w:t>renewable-claim disputes</w:t>
      </w:r>
    </w:p>
    <w:p>
      <w:pPr>
        <w:pStyle w:val="ListBullet"/>
        <w:spacing w:after="20"/>
      </w:pPr>
      <w:r>
        <w:t>regional regulatory variation</w:t>
      </w:r>
    </w:p>
    <w:p>
      <w:pPr>
        <w:pStyle w:val="ListBullet"/>
        <w:spacing w:after="20"/>
      </w:pPr>
      <w:r>
        <w:t>data availability for time-based carbon</w:t>
      </w:r>
    </w:p>
    <w:p>
      <w:pPr>
        <w:pStyle w:val="Heading3"/>
      </w:pPr>
      <w:r>
        <w:t>Success metrics</w:t>
      </w:r>
    </w:p>
    <w:p>
      <w:pPr>
        <w:pStyle w:val="ListBullet"/>
        <w:spacing w:after="20"/>
      </w:pPr>
      <w:r>
        <w:t>MWh under management</w:t>
      </w:r>
    </w:p>
    <w:p>
      <w:pPr>
        <w:pStyle w:val="ListBullet"/>
        <w:spacing w:after="20"/>
      </w:pPr>
      <w:r>
        <w:t>renewable claims with evidence</w:t>
      </w:r>
    </w:p>
    <w:p>
      <w:pPr>
        <w:pStyle w:val="ListBullet"/>
        <w:spacing w:after="20"/>
      </w:pPr>
      <w:r>
        <w:t>cost/carbon scenarios run</w:t>
      </w:r>
    </w:p>
    <w:p>
      <w:pPr>
        <w:pStyle w:val="ListBullet"/>
        <w:spacing w:after="20"/>
      </w:pPr>
      <w:r>
        <w:t>PPA pipeline influenced</w:t>
      </w:r>
    </w:p>
    <w:p>
      <w:pPr>
        <w:pStyle w:val="ListBullet"/>
        <w:spacing w:after="20"/>
      </w:pPr>
      <w:r>
        <w:t>expansion into FlexOS/Microgrid Planner</w:t>
      </w:r>
    </w:p>
    <w:p>
      <w:pPr>
        <w:pStyle w:val="Heading3"/>
      </w:pPr>
      <w:r>
        <w:t>Dependency notes</w:t>
      </w:r>
    </w:p>
    <w:p>
      <w:pPr>
        <w:pStyle w:val="ListBullet"/>
        <w:spacing w:after="20"/>
      </w:pPr>
      <w:r>
        <w:t>Upstream: Factors, Ledger, Entity Graph.</w:t>
      </w:r>
    </w:p>
    <w:p>
      <w:pPr>
        <w:pStyle w:val="ListBullet"/>
        <w:spacing w:after="20"/>
      </w:pPr>
      <w:r>
        <w:t>Downstream: Scope Engine, Comply, DataCenter CarbonOps, BuildingOS, FlexOS.</w:t>
      </w:r>
    </w:p>
    <w:p>
      <w:r>
        <w:br w:type="page"/>
      </w:r>
    </w:p>
    <w:p>
      <w:pPr>
        <w:pStyle w:val="Heading2"/>
      </w:pPr>
      <w:r>
        <w:t>20. GreenLang FlexOS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C&amp;I sites, aggregators, industrial parks, campuses, utilities</w:t>
            </w:r>
          </w:p>
        </w:tc>
      </w:tr>
      <w:tr>
        <w:tc>
          <w:tcPr>
            <w:tcW w:type="dxa" w:w="2448"/>
            <w:vAlign w:val="top"/>
            <w:shd w:fill="EAF2F8"/>
          </w:tcPr>
          <w:p>
            <w:r>
              <w:rPr>
                <w:b/>
                <w:color w:val="1F4E79"/>
                <w:sz w:val="16"/>
              </w:rPr>
              <w:t>Revenue model</w:t>
            </w:r>
          </w:p>
        </w:tc>
        <w:tc>
          <w:tcPr>
            <w:tcW w:type="dxa" w:w="8352"/>
            <w:vAlign w:val="top"/>
          </w:tcPr>
          <w:p>
            <w:r>
              <w:rPr>
                <w:sz w:val="16"/>
              </w:rPr>
              <w:t>Revenue share + subscription</w:t>
            </w:r>
          </w:p>
        </w:tc>
      </w:tr>
      <w:tr>
        <w:tc>
          <w:tcPr>
            <w:tcW w:type="dxa" w:w="2448"/>
            <w:vAlign w:val="top"/>
            <w:shd w:fill="EAF2F8"/>
          </w:tcPr>
          <w:p>
            <w:r>
              <w:rPr>
                <w:b/>
                <w:color w:val="1F4E79"/>
                <w:sz w:val="16"/>
              </w:rPr>
              <w:t>Definition</w:t>
            </w:r>
          </w:p>
        </w:tc>
        <w:tc>
          <w:tcPr>
            <w:tcW w:type="dxa" w:w="8352"/>
            <w:vAlign w:val="top"/>
          </w:tcPr>
          <w:p>
            <w:r>
              <w:rPr>
                <w:sz w:val="16"/>
              </w:rPr>
              <w:t>A flexibility and demand-response orchestration product for identifying, modeling, dispatching, and verifying flexible electrical loads and distributed resources at commercial and industrial sites.</w:t>
            </w:r>
          </w:p>
        </w:tc>
      </w:tr>
      <w:tr>
        <w:tc>
          <w:tcPr>
            <w:tcW w:type="dxa" w:w="2448"/>
            <w:vAlign w:val="top"/>
            <w:shd w:fill="EAF2F8"/>
          </w:tcPr>
          <w:p>
            <w:r>
              <w:rPr>
                <w:b/>
                <w:color w:val="1F4E79"/>
                <w:sz w:val="16"/>
              </w:rPr>
              <w:t>Strategic role</w:t>
            </w:r>
          </w:p>
        </w:tc>
        <w:tc>
          <w:tcPr>
            <w:tcW w:type="dxa" w:w="8352"/>
            <w:vAlign w:val="top"/>
          </w:tcPr>
          <w:p>
            <w:r>
              <w:rPr>
                <w:sz w:val="16"/>
              </w:rPr>
              <w:t>FlexOS is a network and transaction layer that monetizes operational data by connecting GreenLang customers to grid flexibility, cost savings, and decarbonization opportunities.</w:t>
            </w:r>
          </w:p>
        </w:tc>
      </w:tr>
      <w:tr>
        <w:tc>
          <w:tcPr>
            <w:tcW w:type="dxa" w:w="2448"/>
            <w:vAlign w:val="top"/>
            <w:shd w:fill="EAF2F8"/>
          </w:tcPr>
          <w:p>
            <w:r>
              <w:rPr>
                <w:b/>
                <w:color w:val="1F4E79"/>
                <w:sz w:val="16"/>
              </w:rPr>
              <w:t>Pricing / packaging logic</w:t>
            </w:r>
          </w:p>
        </w:tc>
        <w:tc>
          <w:tcPr>
            <w:tcW w:type="dxa" w:w="8352"/>
            <w:vAlign w:val="top"/>
          </w:tcPr>
          <w:p>
            <w:r>
              <w:rPr>
                <w:sz w:val="16"/>
              </w:rPr>
              <w:t>Base subscription plus revenue share from verified flexibility revenues or savings. Enterprise controls for critical loads and production constraints.</w:t>
            </w:r>
          </w:p>
        </w:tc>
      </w:tr>
    </w:tbl>
    <w:p>
      <w:pPr>
        <w:pStyle w:val="Heading3"/>
      </w:pPr>
      <w:r>
        <w:t>CTO final pathway</w:t>
      </w:r>
    </w:p>
    <w:p>
      <w:pPr>
        <w:spacing w:after="80"/>
      </w:pPr>
      <w:r>
        <w:t>Build GreenLang FlexOS as a modular product on the shared substrate. The release target is FY30; GA is gated for FY30 Q4. Launch only where market/program access exists GA requires credible M&amp;V and customer operational acceptance</w:t>
      </w:r>
    </w:p>
    <w:p>
      <w:pPr>
        <w:pStyle w:val="Heading3"/>
      </w:pPr>
      <w:r>
        <w:t>Why it exists</w:t>
      </w:r>
    </w:p>
    <w:p>
      <w:pPr>
        <w:spacing w:after="80"/>
      </w:pPr>
      <w:r>
        <w:t>Grids are going variable. Utilities and ISOs are paying for flexibility (demand response, peak shaving, frequency response). C&amp;I sites have loads that could flex but lack the software stack to participate. Aggregators take a big cut and customers get opaque dashboards.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energy managers</w:t>
              <w:br/>
              <w:t>facility operators</w:t>
              <w:br/>
              <w:t>aggregators</w:t>
              <w:br/>
              <w:t>utility program managers</w:t>
              <w:br/>
              <w:t>industrial park operators</w:t>
              <w:br/>
              <w:t>finance teams</w:t>
            </w:r>
          </w:p>
        </w:tc>
      </w:tr>
      <w:tr>
        <w:tc>
          <w:tcPr>
            <w:tcW w:type="dxa" w:w="3024"/>
            <w:vAlign w:val="top"/>
          </w:tcPr>
          <w:p>
            <w:r>
              <w:rPr>
                <w:sz w:val="16"/>
              </w:rPr>
              <w:t>Jobs to be done</w:t>
            </w:r>
          </w:p>
        </w:tc>
        <w:tc>
          <w:tcPr>
            <w:tcW w:type="dxa" w:w="8640"/>
            <w:vAlign w:val="top"/>
          </w:tcPr>
          <w:p>
            <w:r>
              <w:rPr>
                <w:sz w:val="16"/>
              </w:rPr>
              <w:t>Identify flexible loads and constraints</w:t>
              <w:br/>
              <w:t>Forecast dispatch potential</w:t>
              <w:br/>
              <w:t>Enroll sites in demand-response/flexibility programs</w:t>
              <w:br/>
              <w:t>Track events, performance, and settlement evidence</w:t>
              <w:br/>
              <w:t>Balance cost, carbon, comfort, and production constraints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Load baselining, flexibility assessment.</w:t>
              <w:br/>
              <w:t>Program onboarding (utility DR, ISO ancillary, capacity).</w:t>
              <w:br/>
              <w:t>Dispatch scheduling and automated execution.</w:t>
              <w:br/>
              <w:t>Revenue tracking and settlement.</w:t>
              <w:br/>
              <w:t>Integration with PlantOS, BuildingOS, DataCenter CarbonOps for safe load modulation.</w:t>
              <w:br/>
              <w:t>VPP orchestration across multiple sites.</w:t>
              <w:br/>
              <w:t>Forecast-aware bidding.</w:t>
            </w:r>
          </w:p>
        </w:tc>
      </w:tr>
      <w:tr>
        <w:tc>
          <w:tcPr>
            <w:tcW w:type="dxa" w:w="3456"/>
            <w:vAlign w:val="top"/>
          </w:tcPr>
          <w:p>
            <w:r>
              <w:rPr>
                <w:sz w:val="16"/>
              </w:rPr>
              <w:t>In-scope product modules</w:t>
            </w:r>
          </w:p>
        </w:tc>
        <w:tc>
          <w:tcPr>
            <w:tcW w:type="dxa" w:w="8352"/>
            <w:vAlign w:val="top"/>
          </w:tcPr>
          <w:p>
            <w:r>
              <w:rPr>
                <w:sz w:val="16"/>
              </w:rPr>
              <w:t>flex asset registry</w:t>
              <w:br/>
              <w:t>load flexibility model</w:t>
              <w:br/>
              <w:t>program eligibility engine</w:t>
              <w:br/>
              <w:t>dispatch workflow</w:t>
              <w:br/>
              <w:t>M&amp;V and settlement tracker</w:t>
              <w:br/>
              <w:t>constraint management</w:t>
              <w:br/>
              <w:t>aggregator/utility interface</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load profiles</w:t>
              <w:br/>
              <w:t>asset constraints</w:t>
              <w:br/>
              <w:t>production schedules</w:t>
              <w:br/>
              <w:t>BMS/SCADA points</w:t>
              <w:br/>
              <w:t>market/program signals</w:t>
              <w:br/>
              <w:t>event performance</w:t>
              <w:br/>
              <w:t>settlement data</w:t>
              <w:br/>
              <w:t>evidence</w:t>
            </w:r>
          </w:p>
        </w:tc>
      </w:tr>
      <w:tr>
        <w:tc>
          <w:tcPr>
            <w:tcW w:type="dxa" w:w="3384"/>
            <w:vAlign w:val="top"/>
          </w:tcPr>
          <w:p>
            <w:r>
              <w:rPr>
                <w:sz w:val="16"/>
              </w:rPr>
              <w:t>External/product integrations</w:t>
            </w:r>
          </w:p>
        </w:tc>
        <w:tc>
          <w:tcPr>
            <w:tcW w:type="dxa" w:w="8496"/>
            <w:vAlign w:val="top"/>
          </w:tcPr>
          <w:p>
            <w:r>
              <w:rPr>
                <w:sz w:val="16"/>
              </w:rPr>
              <w:t>PowerOS; PlantOS; BuildingOS; Microgrid Planner; Connect; utility/aggregator systems; BMS/SCADA</w:t>
            </w:r>
          </w:p>
        </w:tc>
      </w:tr>
      <w:tr>
        <w:tc>
          <w:tcPr>
            <w:tcW w:type="dxa" w:w="3384"/>
            <w:vAlign w:val="top"/>
          </w:tcPr>
          <w:p>
            <w:r>
              <w:rPr>
                <w:sz w:val="16"/>
              </w:rPr>
              <w:t>GreenLang dependencies</w:t>
            </w:r>
          </w:p>
        </w:tc>
        <w:tc>
          <w:tcPr>
            <w:tcW w:type="dxa" w:w="8496"/>
            <w:vAlign w:val="top"/>
          </w:tcPr>
          <w:p>
            <w:r>
              <w:rPr>
                <w:sz w:val="16"/>
              </w:rPr>
              <w:t>PowerOS; PlantOS or BuildingOS; Connect; Climate Ledger; Evidence Vault</w:t>
            </w:r>
          </w:p>
        </w:tc>
      </w:tr>
      <w:tr>
        <w:tc>
          <w:tcPr>
            <w:tcW w:type="dxa" w:w="3384"/>
            <w:vAlign w:val="top"/>
          </w:tcPr>
          <w:p>
            <w:r>
              <w:rPr>
                <w:sz w:val="16"/>
              </w:rPr>
              <w:t>Customer outputs and deliverables</w:t>
            </w:r>
          </w:p>
        </w:tc>
        <w:tc>
          <w:tcPr>
            <w:tcW w:type="dxa" w:w="8496"/>
            <w:vAlign w:val="top"/>
          </w:tcPr>
          <w:p>
            <w:r>
              <w:rPr>
                <w:sz w:val="16"/>
              </w:rPr>
              <w:t>flexibility portfolio</w:t>
              <w:br/>
              <w:t>dispatch plan</w:t>
              <w:br/>
              <w:t>event performance report</w:t>
              <w:br/>
              <w:t>settlement evidence</w:t>
              <w:br/>
              <w:t>revenue/savings dashboard</w:t>
            </w:r>
          </w:p>
        </w:tc>
      </w:tr>
    </w:tbl>
    <w:p>
      <w:pPr>
        <w:pStyle w:val="Heading3"/>
      </w:pPr>
      <w:r>
        <w:t>AI and automation behavior</w:t>
      </w:r>
    </w:p>
    <w:p>
      <w:pPr>
        <w:pStyle w:val="ListBullet"/>
        <w:spacing w:after="20"/>
      </w:pPr>
      <w:r>
        <w:t>flexibility opportunity detection</w:t>
      </w:r>
    </w:p>
    <w:p>
      <w:pPr>
        <w:pStyle w:val="ListBullet"/>
        <w:spacing w:after="20"/>
      </w:pPr>
      <w:r>
        <w:t>dispatch recommendation</w:t>
      </w:r>
    </w:p>
    <w:p>
      <w:pPr>
        <w:pStyle w:val="ListBullet"/>
        <w:spacing w:after="20"/>
      </w:pPr>
      <w:r>
        <w:t>constraint conflict prediction</w:t>
      </w:r>
    </w:p>
    <w:p>
      <w:pPr>
        <w:pStyle w:val="ListBullet"/>
        <w:spacing w:after="20"/>
      </w:pPr>
      <w:r>
        <w:t>event performance explanation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India + US DR programs; 2 design partners.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Baselining + dispatch; ISO wholesale integration (CAISO, ERCOT, PJM).</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VPP orchestration; forecast-aware bidding.</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First settlement cycle live with revenue share.</w:t>
            </w:r>
          </w:p>
        </w:tc>
      </w:tr>
      <w:tr>
        <w:tc>
          <w:tcPr>
            <w:tcW w:type="dxa" w:w="1872"/>
            <w:vAlign w:val="top"/>
          </w:tcPr>
          <w:p>
            <w:r>
              <w:rPr>
                <w:sz w:val="16"/>
              </w:rPr>
              <w:t>v1.5</w:t>
            </w:r>
          </w:p>
        </w:tc>
        <w:tc>
          <w:tcPr>
            <w:tcW w:type="dxa" w:w="2304"/>
            <w:vAlign w:val="top"/>
          </w:tcPr>
          <w:p>
            <w:r>
              <w:rPr>
                <w:sz w:val="16"/>
              </w:rPr>
              <w:t>FY31 Q2</w:t>
            </w:r>
          </w:p>
        </w:tc>
        <w:tc>
          <w:tcPr>
            <w:tcW w:type="dxa" w:w="7776"/>
            <w:vAlign w:val="top"/>
          </w:tcPr>
          <w:p>
            <w:r>
              <w:rPr>
                <w:sz w:val="16"/>
              </w:rPr>
              <w:t>EU balancing-market integration (ENTSO-E).</w:t>
            </w:r>
          </w:p>
        </w:tc>
      </w:tr>
      <w:tr>
        <w:tc>
          <w:tcPr>
            <w:tcW w:type="dxa" w:w="1872"/>
            <w:vAlign w:val="top"/>
          </w:tcPr>
          <w:p>
            <w:r>
              <w:rPr>
                <w:sz w:val="16"/>
              </w:rPr>
              <w:t>v2.0</w:t>
            </w:r>
          </w:p>
        </w:tc>
        <w:tc>
          <w:tcPr>
            <w:tcW w:type="dxa" w:w="2304"/>
            <w:vAlign w:val="top"/>
          </w:tcPr>
          <w:p>
            <w:r>
              <w:rPr>
                <w:sz w:val="16"/>
              </w:rPr>
              <w:t>FY31 Q4</w:t>
            </w:r>
          </w:p>
        </w:tc>
        <w:tc>
          <w:tcPr>
            <w:tcW w:type="dxa" w:w="7776"/>
            <w:vAlign w:val="top"/>
          </w:tcPr>
          <w:p>
            <w:r>
              <w:rPr>
                <w:sz w:val="16"/>
              </w:rPr>
              <w:t>Cross-site portfolio optimizer with PlantOS/BuildingOS closed-loop control.</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only where market/program access exists</w:t>
      </w:r>
    </w:p>
    <w:p>
      <w:pPr>
        <w:pStyle w:val="ListBullet"/>
        <w:spacing w:after="20"/>
      </w:pPr>
      <w:r>
        <w:t>GA requires credible M&amp;V and customer operational acceptance</w:t>
      </w:r>
    </w:p>
    <w:p>
      <w:pPr>
        <w:pStyle w:val="ListBullet"/>
        <w:spacing w:after="20"/>
      </w:pPr>
      <w:r>
        <w:t>Dispatch must remain human-approved initially</w:t>
      </w:r>
    </w:p>
    <w:p>
      <w:pPr>
        <w:pStyle w:val="ListBullet"/>
        <w:spacing w:after="20"/>
      </w:pPr>
      <w:r>
        <w:t>Revenue-share contracts require legal review</w:t>
      </w:r>
    </w:p>
    <w:p>
      <w:pPr>
        <w:pStyle w:val="Heading3"/>
      </w:pPr>
      <w:r>
        <w:t>Key risks to actively manage</w:t>
      </w:r>
    </w:p>
    <w:p>
      <w:pPr>
        <w:pStyle w:val="ListBullet"/>
        <w:spacing w:after="20"/>
      </w:pPr>
      <w:r>
        <w:t>market access barriers</w:t>
      </w:r>
    </w:p>
    <w:p>
      <w:pPr>
        <w:pStyle w:val="ListBullet"/>
        <w:spacing w:after="20"/>
      </w:pPr>
      <w:r>
        <w:t>operational risk from dispatch</w:t>
      </w:r>
    </w:p>
    <w:p>
      <w:pPr>
        <w:pStyle w:val="ListBullet"/>
        <w:spacing w:after="20"/>
      </w:pPr>
      <w:r>
        <w:t>M&amp;V disputes</w:t>
      </w:r>
    </w:p>
    <w:p>
      <w:pPr>
        <w:pStyle w:val="ListBullet"/>
        <w:spacing w:after="20"/>
      </w:pPr>
      <w:r>
        <w:t>low event frequency in some regions</w:t>
      </w:r>
    </w:p>
    <w:p>
      <w:pPr>
        <w:pStyle w:val="Heading3"/>
      </w:pPr>
      <w:r>
        <w:t>Success metrics</w:t>
      </w:r>
    </w:p>
    <w:p>
      <w:pPr>
        <w:pStyle w:val="ListBullet"/>
        <w:spacing w:after="20"/>
      </w:pPr>
      <w:r>
        <w:t>MW/MWh flexibility enrolled</w:t>
      </w:r>
    </w:p>
    <w:p>
      <w:pPr>
        <w:pStyle w:val="ListBullet"/>
        <w:spacing w:after="20"/>
      </w:pPr>
      <w:r>
        <w:t>event performance rate</w:t>
      </w:r>
    </w:p>
    <w:p>
      <w:pPr>
        <w:pStyle w:val="ListBullet"/>
        <w:spacing w:after="20"/>
      </w:pPr>
      <w:r>
        <w:t>verified revenue/savings</w:t>
      </w:r>
    </w:p>
    <w:p>
      <w:pPr>
        <w:pStyle w:val="ListBullet"/>
        <w:spacing w:after="20"/>
      </w:pPr>
      <w:r>
        <w:t>dispatch acceptance rate</w:t>
      </w:r>
    </w:p>
    <w:p>
      <w:pPr>
        <w:pStyle w:val="ListBullet"/>
        <w:spacing w:after="20"/>
      </w:pPr>
      <w:r>
        <w:t>customer retention</w:t>
      </w:r>
    </w:p>
    <w:p>
      <w:pPr>
        <w:pStyle w:val="Heading3"/>
      </w:pPr>
      <w:r>
        <w:t>Dependency notes</w:t>
      </w:r>
    </w:p>
    <w:p>
      <w:pPr>
        <w:pStyle w:val="ListBullet"/>
        <w:spacing w:after="20"/>
      </w:pPr>
      <w:r>
        <w:t>Upstream: Connect, PlantOS, BuildingOS, DataCenter CarbonOps, PowerOS.</w:t>
      </w:r>
    </w:p>
    <w:p>
      <w:pPr>
        <w:pStyle w:val="ListBullet"/>
        <w:spacing w:after="20"/>
      </w:pPr>
      <w:r>
        <w:t>Downstream: Ledger, Scope Engine.</w:t>
      </w:r>
    </w:p>
    <w:p>
      <w:r>
        <w:br w:type="page"/>
      </w:r>
    </w:p>
    <w:p>
      <w:pPr>
        <w:pStyle w:val="Heading2"/>
      </w:pPr>
      <w:r>
        <w:t>21. GreenLang Microgrid Planner</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Operations Cloud / Operations ROI Squad</w:t>
            </w:r>
          </w:p>
        </w:tc>
      </w:tr>
      <w:tr>
        <w:tc>
          <w:tcPr>
            <w:tcW w:type="dxa" w:w="2448"/>
            <w:vAlign w:val="top"/>
            <w:shd w:fill="EAF2F8"/>
          </w:tcPr>
          <w:p>
            <w:r>
              <w:rPr>
                <w:b/>
                <w:color w:val="1F4E79"/>
                <w:sz w:val="16"/>
              </w:rPr>
              <w:t>Primary buyer</w:t>
            </w:r>
          </w:p>
        </w:tc>
        <w:tc>
          <w:tcPr>
            <w:tcW w:type="dxa" w:w="8352"/>
            <w:vAlign w:val="top"/>
          </w:tcPr>
          <w:p>
            <w:r>
              <w:rPr>
                <w:sz w:val="16"/>
              </w:rPr>
              <w:t>Industrial parks, campuses, remote sites, utilities, infrastructure developers</w:t>
            </w:r>
          </w:p>
        </w:tc>
      </w:tr>
      <w:tr>
        <w:tc>
          <w:tcPr>
            <w:tcW w:type="dxa" w:w="2448"/>
            <w:vAlign w:val="top"/>
            <w:shd w:fill="EAF2F8"/>
          </w:tcPr>
          <w:p>
            <w:r>
              <w:rPr>
                <w:b/>
                <w:color w:val="1F4E79"/>
                <w:sz w:val="16"/>
              </w:rPr>
              <w:t>Revenue model</w:t>
            </w:r>
          </w:p>
        </w:tc>
        <w:tc>
          <w:tcPr>
            <w:tcW w:type="dxa" w:w="8352"/>
            <w:vAlign w:val="top"/>
          </w:tcPr>
          <w:p>
            <w:r>
              <w:rPr>
                <w:sz w:val="16"/>
              </w:rPr>
              <w:t>Project licenses</w:t>
            </w:r>
          </w:p>
        </w:tc>
      </w:tr>
      <w:tr>
        <w:tc>
          <w:tcPr>
            <w:tcW w:type="dxa" w:w="2448"/>
            <w:vAlign w:val="top"/>
            <w:shd w:fill="EAF2F8"/>
          </w:tcPr>
          <w:p>
            <w:r>
              <w:rPr>
                <w:b/>
                <w:color w:val="1F4E79"/>
                <w:sz w:val="16"/>
              </w:rPr>
              <w:t>Definition</w:t>
            </w:r>
          </w:p>
        </w:tc>
        <w:tc>
          <w:tcPr>
            <w:tcW w:type="dxa" w:w="8352"/>
            <w:vAlign w:val="top"/>
          </w:tcPr>
          <w:p>
            <w:r>
              <w:rPr>
                <w:sz w:val="16"/>
              </w:rPr>
              <w:t>A microgrid and distributed-energy planning tool for techno-economic sizing, emissions impact, resilience value, financing assumptions, and project documentation across solar, storage, generators, EV charging, and flexible loads.</w:t>
            </w:r>
          </w:p>
        </w:tc>
      </w:tr>
      <w:tr>
        <w:tc>
          <w:tcPr>
            <w:tcW w:type="dxa" w:w="2448"/>
            <w:vAlign w:val="top"/>
            <w:shd w:fill="EAF2F8"/>
          </w:tcPr>
          <w:p>
            <w:r>
              <w:rPr>
                <w:b/>
                <w:color w:val="1F4E79"/>
                <w:sz w:val="16"/>
              </w:rPr>
              <w:t>Strategic role</w:t>
            </w:r>
          </w:p>
        </w:tc>
        <w:tc>
          <w:tcPr>
            <w:tcW w:type="dxa" w:w="8352"/>
            <w:vAlign w:val="top"/>
          </w:tcPr>
          <w:p>
            <w:r>
              <w:rPr>
                <w:sz w:val="16"/>
              </w:rPr>
              <w:t>Microgrid Planner extends GreenLang into capital planning. It bridges operational data, power procurement, project finance, adaptation/resilience, and infrastructure execution.</w:t>
            </w:r>
          </w:p>
        </w:tc>
      </w:tr>
      <w:tr>
        <w:tc>
          <w:tcPr>
            <w:tcW w:type="dxa" w:w="2448"/>
            <w:vAlign w:val="top"/>
            <w:shd w:fill="EAF2F8"/>
          </w:tcPr>
          <w:p>
            <w:r>
              <w:rPr>
                <w:b/>
                <w:color w:val="1F4E79"/>
                <w:sz w:val="16"/>
              </w:rPr>
              <w:t>Pricing / packaging logic</w:t>
            </w:r>
          </w:p>
        </w:tc>
        <w:tc>
          <w:tcPr>
            <w:tcW w:type="dxa" w:w="8352"/>
            <w:vAlign w:val="top"/>
          </w:tcPr>
          <w:p>
            <w:r>
              <w:rPr>
                <w:sz w:val="16"/>
              </w:rPr>
              <w:t>Per-project license plus enterprise portfolio tier; partner engineering channel can attach service revenue while product remains standardized.</w:t>
            </w:r>
          </w:p>
        </w:tc>
      </w:tr>
    </w:tbl>
    <w:p>
      <w:pPr>
        <w:pStyle w:val="Heading3"/>
      </w:pPr>
      <w:r>
        <w:t>CTO final pathway</w:t>
      </w:r>
    </w:p>
    <w:p>
      <w:pPr>
        <w:spacing w:after="80"/>
      </w:pPr>
      <w:r>
        <w:t>Build GreenLang Microgrid Planner as a modular product on the shared substrate. The release target is FY30; GA is gated for FY30 Q4. Release as planner, not EPC execution platform GA requires validated modeling assumptions with engineering partners</w:t>
      </w:r>
    </w:p>
    <w:p>
      <w:pPr>
        <w:pStyle w:val="Heading3"/>
      </w:pPr>
      <w:r>
        <w:t>Why it exists</w:t>
      </w:r>
    </w:p>
    <w:p>
      <w:pPr>
        <w:spacing w:after="80"/>
      </w:pPr>
      <w:r>
        <w:t>Industrial parks, campuses, and large C&amp;I sites want behind-the-meter solar + storage + (sometimes) wind + diesel hybrid systems. The design is done in Excel by EPCs, financing is fragmented, and nobody links design to ongoing operations. That gap creates massive value leakage.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industrial park operators</w:t>
              <w:br/>
              <w:t>campus energy teams</w:t>
              <w:br/>
              <w:t>infrastructure developers</w:t>
              <w:br/>
              <w:t>utilities</w:t>
              <w:br/>
              <w:t>finance teams</w:t>
              <w:br/>
              <w:t>engineering partners</w:t>
            </w:r>
          </w:p>
        </w:tc>
      </w:tr>
      <w:tr>
        <w:tc>
          <w:tcPr>
            <w:tcW w:type="dxa" w:w="3024"/>
            <w:vAlign w:val="top"/>
          </w:tcPr>
          <w:p>
            <w:r>
              <w:rPr>
                <w:sz w:val="16"/>
              </w:rPr>
              <w:t>Jobs to be done</w:t>
            </w:r>
          </w:p>
        </w:tc>
        <w:tc>
          <w:tcPr>
            <w:tcW w:type="dxa" w:w="8640"/>
            <w:vAlign w:val="top"/>
          </w:tcPr>
          <w:p>
            <w:r>
              <w:rPr>
                <w:sz w:val="16"/>
              </w:rPr>
              <w:t>Evaluate DER/microgrid options</w:t>
              <w:br/>
              <w:t>Model cost, emissions, resilience, and payback</w:t>
              <w:br/>
              <w:t>Create project business cases</w:t>
              <w:br/>
              <w:t>Compare scenarios and financing structures</w:t>
              <w:br/>
              <w:t>Prepare data for transition finance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Site assessment: load profile, rooftop/land area, grid interconnection.</w:t>
              <w:br/>
              <w:t>Optimization: tech mix (solar, storage, wind, fuel cell, diesel backup), sizing, DoD/cycles.</w:t>
              <w:br/>
              <w:t>Financial model: capex, opex, tariffs, curtailment, PPA/self-consumption mix.</w:t>
              <w:br/>
              <w:t>Sensitivity and scenario analysis.</w:t>
              <w:br/>
              <w:t>Permit and interconnection checklist (jurisdiction-aware).</w:t>
              <w:br/>
              <w:t>Handoff to operations (PlantOS/BuildingOS/FlexOS) once commissioned.</w:t>
              <w:br/>
              <w:t>Project-finance package generation (for TFS integration).</w:t>
            </w:r>
          </w:p>
        </w:tc>
      </w:tr>
      <w:tr>
        <w:tc>
          <w:tcPr>
            <w:tcW w:type="dxa" w:w="3456"/>
            <w:vAlign w:val="top"/>
          </w:tcPr>
          <w:p>
            <w:r>
              <w:rPr>
                <w:sz w:val="16"/>
              </w:rPr>
              <w:t>In-scope product modules</w:t>
            </w:r>
          </w:p>
        </w:tc>
        <w:tc>
          <w:tcPr>
            <w:tcW w:type="dxa" w:w="8352"/>
            <w:vAlign w:val="top"/>
          </w:tcPr>
          <w:p>
            <w:r>
              <w:rPr>
                <w:sz w:val="16"/>
              </w:rPr>
              <w:t>site load and asset model</w:t>
              <w:br/>
              <w:t>DER sizing engine</w:t>
              <w:br/>
              <w:t>scenario comparison</w:t>
              <w:br/>
              <w:t>resilience analysis</w:t>
              <w:br/>
              <w:t>emissions and cost model</w:t>
              <w:br/>
              <w:t>project business-case pack</w:t>
              <w:br/>
              <w:t>finance handoff</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load profiles</w:t>
              <w:br/>
              <w:t>tariffs</w:t>
              <w:br/>
              <w:t>grid outage history</w:t>
              <w:br/>
              <w:t>asset costs</w:t>
              <w:br/>
              <w:t>solar/resource data</w:t>
              <w:br/>
              <w:t>battery specs</w:t>
              <w:br/>
              <w:t>generator fuel data</w:t>
              <w:br/>
              <w:t>emission factors</w:t>
              <w:br/>
              <w:t>project finance assumptions</w:t>
              <w:br/>
              <w:t>site constraints</w:t>
            </w:r>
          </w:p>
        </w:tc>
      </w:tr>
      <w:tr>
        <w:tc>
          <w:tcPr>
            <w:tcW w:type="dxa" w:w="3384"/>
            <w:vAlign w:val="top"/>
          </w:tcPr>
          <w:p>
            <w:r>
              <w:rPr>
                <w:sz w:val="16"/>
              </w:rPr>
              <w:t>External/product integrations</w:t>
            </w:r>
          </w:p>
        </w:tc>
        <w:tc>
          <w:tcPr>
            <w:tcW w:type="dxa" w:w="8496"/>
            <w:vAlign w:val="top"/>
          </w:tcPr>
          <w:p>
            <w:r>
              <w:rPr>
                <w:sz w:val="16"/>
              </w:rPr>
              <w:t>PowerOS; FlexOS; PlantOS; BuildingOS; Transition Finance Studio; RiskOS; external engineering/DER datasets</w:t>
            </w:r>
          </w:p>
        </w:tc>
      </w:tr>
      <w:tr>
        <w:tc>
          <w:tcPr>
            <w:tcW w:type="dxa" w:w="3384"/>
            <w:vAlign w:val="top"/>
          </w:tcPr>
          <w:p>
            <w:r>
              <w:rPr>
                <w:sz w:val="16"/>
              </w:rPr>
              <w:t>GreenLang dependencies</w:t>
            </w:r>
          </w:p>
        </w:tc>
        <w:tc>
          <w:tcPr>
            <w:tcW w:type="dxa" w:w="8496"/>
            <w:vAlign w:val="top"/>
          </w:tcPr>
          <w:p>
            <w:r>
              <w:rPr>
                <w:sz w:val="16"/>
              </w:rPr>
              <w:t>PowerOS; PlantOS/BuildingOS data; RiskOS for resilience; FinanceOS/Transition Finance Studio for later handoff</w:t>
            </w:r>
          </w:p>
        </w:tc>
      </w:tr>
      <w:tr>
        <w:tc>
          <w:tcPr>
            <w:tcW w:type="dxa" w:w="3384"/>
            <w:vAlign w:val="top"/>
          </w:tcPr>
          <w:p>
            <w:r>
              <w:rPr>
                <w:sz w:val="16"/>
              </w:rPr>
              <w:t>Customer outputs and deliverables</w:t>
            </w:r>
          </w:p>
        </w:tc>
        <w:tc>
          <w:tcPr>
            <w:tcW w:type="dxa" w:w="8496"/>
            <w:vAlign w:val="top"/>
          </w:tcPr>
          <w:p>
            <w:r>
              <w:rPr>
                <w:sz w:val="16"/>
              </w:rPr>
              <w:t>microgrid scenario report</w:t>
              <w:br/>
              <w:t>capex/opex model</w:t>
              <w:br/>
              <w:t>emissions impact</w:t>
              <w:br/>
              <w:t>resilience benefit report</w:t>
              <w:br/>
              <w:t>project finance packet</w:t>
              <w:br/>
              <w:t>implementation roadmap</w:t>
            </w:r>
          </w:p>
        </w:tc>
      </w:tr>
    </w:tbl>
    <w:p>
      <w:pPr>
        <w:pStyle w:val="Heading3"/>
      </w:pPr>
      <w:r>
        <w:t>AI and automation behavior</w:t>
      </w:r>
    </w:p>
    <w:p>
      <w:pPr>
        <w:pStyle w:val="ListBullet"/>
        <w:spacing w:after="20"/>
      </w:pPr>
      <w:r>
        <w:t>scenario generation</w:t>
      </w:r>
    </w:p>
    <w:p>
      <w:pPr>
        <w:pStyle w:val="ListBullet"/>
        <w:spacing w:after="20"/>
      </w:pPr>
      <w:r>
        <w:t>constraint-aware recommendation</w:t>
      </w:r>
    </w:p>
    <w:p>
      <w:pPr>
        <w:pStyle w:val="ListBullet"/>
        <w:spacing w:after="20"/>
      </w:pPr>
      <w:r>
        <w:t>finance narrative drafting</w:t>
      </w:r>
    </w:p>
    <w:p>
      <w:pPr>
        <w:pStyle w:val="ListBullet"/>
        <w:spacing w:after="20"/>
      </w:pPr>
      <w:r>
        <w:t>sensitivity analysis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Solar + BESS sizing; 2 design-partner industrial parks.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Hybrid configurations; tariff optimization.</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Permit/interconnection module; financial packaging.</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First project financed via Transition Finance Studio handoff.</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Wind + fuel-cell additions; India and GCC tariff libraries.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Release as planner, not EPC execution platform</w:t>
      </w:r>
    </w:p>
    <w:p>
      <w:pPr>
        <w:pStyle w:val="ListBullet"/>
        <w:spacing w:after="20"/>
      </w:pPr>
      <w:r>
        <w:t>GA requires validated modeling assumptions with engineering partners</w:t>
      </w:r>
    </w:p>
    <w:p>
      <w:pPr>
        <w:pStyle w:val="ListBullet"/>
        <w:spacing w:after="20"/>
      </w:pPr>
      <w:r>
        <w:t>Project finance handoff only after Transition Finance Studio readiness</w:t>
      </w:r>
    </w:p>
    <w:p>
      <w:pPr>
        <w:pStyle w:val="ListBullet"/>
        <w:spacing w:after="20"/>
      </w:pPr>
      <w:r>
        <w:t>Avoid bespoke engineering services consuming roadmap</w:t>
      </w:r>
    </w:p>
    <w:p>
      <w:pPr>
        <w:pStyle w:val="Heading3"/>
      </w:pPr>
      <w:r>
        <w:t>Key risks to actively manage</w:t>
      </w:r>
    </w:p>
    <w:p>
      <w:pPr>
        <w:pStyle w:val="ListBullet"/>
        <w:spacing w:after="20"/>
      </w:pPr>
      <w:r>
        <w:t>technical modeling liability</w:t>
      </w:r>
    </w:p>
    <w:p>
      <w:pPr>
        <w:pStyle w:val="ListBullet"/>
        <w:spacing w:after="20"/>
      </w:pPr>
      <w:r>
        <w:t>project execution outside software scope</w:t>
      </w:r>
    </w:p>
    <w:p>
      <w:pPr>
        <w:pStyle w:val="ListBullet"/>
        <w:spacing w:after="20"/>
      </w:pPr>
      <w:r>
        <w:t>high customization</w:t>
      </w:r>
    </w:p>
    <w:p>
      <w:pPr>
        <w:pStyle w:val="ListBullet"/>
        <w:spacing w:after="20"/>
      </w:pPr>
      <w:r>
        <w:t>regional equipment/market assumptions</w:t>
      </w:r>
    </w:p>
    <w:p>
      <w:pPr>
        <w:pStyle w:val="Heading3"/>
      </w:pPr>
      <w:r>
        <w:t>Success metrics</w:t>
      </w:r>
    </w:p>
    <w:p>
      <w:pPr>
        <w:pStyle w:val="ListBullet"/>
        <w:spacing w:after="20"/>
      </w:pPr>
      <w:r>
        <w:t>projects modeled</w:t>
      </w:r>
    </w:p>
    <w:p>
      <w:pPr>
        <w:pStyle w:val="ListBullet"/>
        <w:spacing w:after="20"/>
      </w:pPr>
      <w:r>
        <w:t>project pipeline value</w:t>
      </w:r>
    </w:p>
    <w:p>
      <w:pPr>
        <w:pStyle w:val="ListBullet"/>
        <w:spacing w:after="20"/>
      </w:pPr>
      <w:r>
        <w:t>scenario-to-approved project conversion</w:t>
      </w:r>
    </w:p>
    <w:p>
      <w:pPr>
        <w:pStyle w:val="ListBullet"/>
        <w:spacing w:after="20"/>
      </w:pPr>
      <w:r>
        <w:t>partner channel usage</w:t>
      </w:r>
    </w:p>
    <w:p>
      <w:pPr>
        <w:pStyle w:val="ListBullet"/>
        <w:spacing w:after="20"/>
      </w:pPr>
      <w:r>
        <w:t>customer willingness to pay per project</w:t>
      </w:r>
    </w:p>
    <w:p>
      <w:pPr>
        <w:pStyle w:val="ListBullet"/>
        <w:spacing w:after="20"/>
      </w:pPr>
      <w:r>
        <w:t>Mobility Cloud</w:t>
      </w:r>
    </w:p>
    <w:p>
      <w:pPr>
        <w:pStyle w:val="Heading3"/>
      </w:pPr>
      <w:r>
        <w:t>Dependency notes</w:t>
      </w:r>
    </w:p>
    <w:p>
      <w:pPr>
        <w:pStyle w:val="ListBullet"/>
        <w:spacing w:after="20"/>
      </w:pPr>
      <w:r>
        <w:t>Upstream: Factors, Ledger, PlantOS/BuildingOS (for load profiles).</w:t>
      </w:r>
    </w:p>
    <w:p>
      <w:pPr>
        <w:pStyle w:val="ListBullet"/>
        <w:spacing w:after="20"/>
      </w:pPr>
      <w:r>
        <w:t>Downstream: Transition Finance Studio, FlexOS, PlantOS/BuildingOS operations.</w:t>
      </w:r>
    </w:p>
    <w:p>
      <w:pPr>
        <w:pStyle w:val="ListBullet"/>
        <w:spacing w:after="20"/>
      </w:pPr>
      <w:r>
        <w:t>7. Mobility Cloud</w:t>
      </w:r>
    </w:p>
    <w:p>
      <w:pPr>
        <w:pStyle w:val="ListBullet"/>
        <w:spacing w:after="20"/>
      </w:pPr>
      <w:r>
        <w:t>This chapter covers 2 products in the Mobility Cloud. Each product is specified at PRD-lite depth: definition, buyer, core capabilities, data/integrations, revenue model, full version roadmap, success KPIs, and upstream/downstream dependencies.</w:t>
      </w:r>
    </w:p>
    <w:p>
      <w:r>
        <w:br w:type="page"/>
      </w:r>
    </w:p>
    <w:p>
      <w:pPr>
        <w:pStyle w:val="Heading1"/>
      </w:pPr>
      <w:r>
        <w:t>Mobility Cloud</w:t>
      </w:r>
    </w:p>
    <w:p>
      <w:pPr>
        <w:spacing w:after="80"/>
      </w:pPr>
      <w:r>
        <w:t>Proceed through data-rich shippers, forwarders, and fleets. Do not become generic fleet or TMS software; win on verified emissions, transition planning, and embedded logistics-carbon APIs.</w:t>
      </w:r>
    </w:p>
    <w:p>
      <w:r>
        <w:br w:type="page"/>
      </w:r>
    </w:p>
    <w:p>
      <w:pPr>
        <w:pStyle w:val="Heading2"/>
      </w:pPr>
      <w:r>
        <w:t>22. GreenLang FleetOS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Mobility Cloud / Mobility &amp; Logistics Squad</w:t>
            </w:r>
          </w:p>
        </w:tc>
      </w:tr>
      <w:tr>
        <w:tc>
          <w:tcPr>
            <w:tcW w:type="dxa" w:w="2448"/>
            <w:vAlign w:val="top"/>
            <w:shd w:fill="EAF2F8"/>
          </w:tcPr>
          <w:p>
            <w:r>
              <w:rPr>
                <w:b/>
                <w:color w:val="1F4E79"/>
                <w:sz w:val="16"/>
              </w:rPr>
              <w:t>Primary buyer</w:t>
            </w:r>
          </w:p>
        </w:tc>
        <w:tc>
          <w:tcPr>
            <w:tcW w:type="dxa" w:w="8352"/>
            <w:vAlign w:val="top"/>
          </w:tcPr>
          <w:p>
            <w:r>
              <w:rPr>
                <w:sz w:val="16"/>
              </w:rPr>
              <w:t>Fleets, logistics operators, OEM logistics teams, corporate fleet managers</w:t>
            </w:r>
          </w:p>
        </w:tc>
      </w:tr>
      <w:tr>
        <w:tc>
          <w:tcPr>
            <w:tcW w:type="dxa" w:w="2448"/>
            <w:vAlign w:val="top"/>
            <w:shd w:fill="EAF2F8"/>
          </w:tcPr>
          <w:p>
            <w:r>
              <w:rPr>
                <w:b/>
                <w:color w:val="1F4E79"/>
                <w:sz w:val="16"/>
              </w:rPr>
              <w:t>Revenue model</w:t>
            </w:r>
          </w:p>
        </w:tc>
        <w:tc>
          <w:tcPr>
            <w:tcW w:type="dxa" w:w="8352"/>
            <w:vAlign w:val="top"/>
          </w:tcPr>
          <w:p>
            <w:r>
              <w:rPr>
                <w:sz w:val="16"/>
              </w:rPr>
              <w:t>Per-vehicle subscription</w:t>
            </w:r>
          </w:p>
        </w:tc>
      </w:tr>
      <w:tr>
        <w:tc>
          <w:tcPr>
            <w:tcW w:type="dxa" w:w="2448"/>
            <w:vAlign w:val="top"/>
            <w:shd w:fill="EAF2F8"/>
          </w:tcPr>
          <w:p>
            <w:r>
              <w:rPr>
                <w:b/>
                <w:color w:val="1F4E79"/>
                <w:sz w:val="16"/>
              </w:rPr>
              <w:t>Definition</w:t>
            </w:r>
          </w:p>
        </w:tc>
        <w:tc>
          <w:tcPr>
            <w:tcW w:type="dxa" w:w="8352"/>
            <w:vAlign w:val="top"/>
          </w:tcPr>
          <w:p>
            <w:r>
              <w:rPr>
                <w:sz w:val="16"/>
              </w:rPr>
              <w:t>A fleet emissions, fuel, electrification, routing, maintenance, and cost optimization product for owned and contracted vehicle fleets. It connects fleet operations to Scope 1/3 reporting and transition planning.</w:t>
            </w:r>
          </w:p>
        </w:tc>
      </w:tr>
      <w:tr>
        <w:tc>
          <w:tcPr>
            <w:tcW w:type="dxa" w:w="2448"/>
            <w:vAlign w:val="top"/>
            <w:shd w:fill="EAF2F8"/>
          </w:tcPr>
          <w:p>
            <w:r>
              <w:rPr>
                <w:b/>
                <w:color w:val="1F4E79"/>
                <w:sz w:val="16"/>
              </w:rPr>
              <w:t>Strategic role</w:t>
            </w:r>
          </w:p>
        </w:tc>
        <w:tc>
          <w:tcPr>
            <w:tcW w:type="dxa" w:w="8352"/>
            <w:vAlign w:val="top"/>
          </w:tcPr>
          <w:p>
            <w:r>
              <w:rPr>
                <w:sz w:val="16"/>
              </w:rPr>
              <w:t>FleetOS captures one of the most common operating-cost and Scope 3 domains. It supports shippers, forwarders, OEMs, and companies transitioning from diesel to EV or low-carbon logistics.</w:t>
            </w:r>
          </w:p>
        </w:tc>
      </w:tr>
      <w:tr>
        <w:tc>
          <w:tcPr>
            <w:tcW w:type="dxa" w:w="2448"/>
            <w:vAlign w:val="top"/>
            <w:shd w:fill="EAF2F8"/>
          </w:tcPr>
          <w:p>
            <w:r>
              <w:rPr>
                <w:b/>
                <w:color w:val="1F4E79"/>
                <w:sz w:val="16"/>
              </w:rPr>
              <w:t>Pricing / packaging logic</w:t>
            </w:r>
          </w:p>
        </w:tc>
        <w:tc>
          <w:tcPr>
            <w:tcW w:type="dxa" w:w="8352"/>
            <w:vAlign w:val="top"/>
          </w:tcPr>
          <w:p>
            <w:r>
              <w:rPr>
                <w:sz w:val="16"/>
              </w:rPr>
              <w:t>Per-vehicle subscription with enterprise minimums; optional electrification planning and charging integration modules.</w:t>
            </w:r>
          </w:p>
        </w:tc>
      </w:tr>
    </w:tbl>
    <w:p>
      <w:pPr>
        <w:pStyle w:val="Heading3"/>
      </w:pPr>
      <w:r>
        <w:t>CTO final pathway</w:t>
      </w:r>
    </w:p>
    <w:p>
      <w:pPr>
        <w:spacing w:after="80"/>
      </w:pPr>
      <w:r>
        <w:t>Build GreenLang FleetOS as a modular product on the shared substrate. The release target is FY29; GA is gated for FY29 Q4. Start with data-rich fleets or customers with fleet management systems GA requires repeatable telematics/fuel-card ingestion</w:t>
      </w:r>
    </w:p>
    <w:p>
      <w:pPr>
        <w:pStyle w:val="Heading3"/>
      </w:pPr>
      <w:r>
        <w:t>Why it exists</w:t>
      </w:r>
    </w:p>
    <w:p>
      <w:pPr>
        <w:spacing w:after="80"/>
      </w:pPr>
      <w:r>
        <w:t>Most fleet operators (logistics, last-mile, inter-city, utility fleets, service fleets) have telematics for operations but no integrated view on carbon, TCO, and transition planning. EV transition decisions are being made on spreadsheets.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fleet managers</w:t>
              <w:br/>
              <w:t>logistics operations teams</w:t>
              <w:br/>
              <w:t>sustainability teams</w:t>
              <w:br/>
              <w:t>transport procurement managers</w:t>
              <w:br/>
              <w:t>finance teams</w:t>
              <w:br/>
              <w:t>drivers/dispatchers where applicable</w:t>
            </w:r>
          </w:p>
        </w:tc>
      </w:tr>
      <w:tr>
        <w:tc>
          <w:tcPr>
            <w:tcW w:type="dxa" w:w="3024"/>
            <w:vAlign w:val="top"/>
          </w:tcPr>
          <w:p>
            <w:r>
              <w:rPr>
                <w:sz w:val="16"/>
              </w:rPr>
              <w:t>Jobs to be done</w:t>
            </w:r>
          </w:p>
        </w:tc>
        <w:tc>
          <w:tcPr>
            <w:tcW w:type="dxa" w:w="8640"/>
            <w:vAlign w:val="top"/>
          </w:tcPr>
          <w:p>
            <w:r>
              <w:rPr>
                <w:sz w:val="16"/>
              </w:rPr>
              <w:t>Track fuel, energy, mileage, and emissions by vehicle/route/customer</w:t>
              <w:br/>
              <w:t>Identify electrification candidates</w:t>
              <w:br/>
              <w:t>Model total cost of ownership and charging needs</w:t>
              <w:br/>
              <w:t>Support driver/route efficiency actions</w:t>
              <w:br/>
              <w:t>Provide verified data for freight and corporate reporting</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Telematics ingestion (Geotab, Samsara, Trimble, Webfleet).</w:t>
              <w:br/>
              <w:t>Per-trip emissions calculation with activity-based methodology.</w:t>
              <w:br/>
              <w:t>TCO modeling: ICE vs BEV vs FCEV vs CNG per route/segment.</w:t>
              <w:br/>
              <w:t>Charging infrastructure planning (where, how many, depot vs opportunity).</w:t>
              <w:br/>
              <w:t>Shift-level driver coaching for efficiency.</w:t>
              <w:br/>
              <w:t>GLEC Framework compliance for freight reporting.</w:t>
              <w:br/>
              <w:t>Route-level Scope 3 C4/C9 feed for shipper customers.</w:t>
            </w:r>
          </w:p>
        </w:tc>
      </w:tr>
      <w:tr>
        <w:tc>
          <w:tcPr>
            <w:tcW w:type="dxa" w:w="3456"/>
            <w:vAlign w:val="top"/>
          </w:tcPr>
          <w:p>
            <w:r>
              <w:rPr>
                <w:sz w:val="16"/>
              </w:rPr>
              <w:t>In-scope product modules</w:t>
            </w:r>
          </w:p>
        </w:tc>
        <w:tc>
          <w:tcPr>
            <w:tcW w:type="dxa" w:w="8352"/>
            <w:vAlign w:val="top"/>
          </w:tcPr>
          <w:p>
            <w:r>
              <w:rPr>
                <w:sz w:val="16"/>
              </w:rPr>
              <w:t>fleet asset registry</w:t>
              <w:br/>
              <w:t>fuel/energy/mileage ingestion</w:t>
              <w:br/>
              <w:t>vehicle emissions model</w:t>
              <w:br/>
              <w:t>EV transition planner</w:t>
              <w:br/>
              <w:t>route/customer allocation</w:t>
              <w:br/>
              <w:t>maintenance and utilization analytics</w:t>
              <w:br/>
              <w:t>reporting outputs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vehicle specs</w:t>
              <w:br/>
              <w:t>fuel/energy transactions</w:t>
              <w:br/>
              <w:t>telematics</w:t>
              <w:br/>
              <w:t>routes</w:t>
              <w:br/>
              <w:t>loads</w:t>
              <w:br/>
              <w:t>mileage</w:t>
              <w:br/>
              <w:t>maintenance</w:t>
              <w:br/>
              <w:t>driver/shift data</w:t>
              <w:br/>
              <w:t>charging data</w:t>
              <w:br/>
              <w:t>emission factors</w:t>
              <w:br/>
              <w:t>costs</w:t>
            </w:r>
          </w:p>
        </w:tc>
      </w:tr>
      <w:tr>
        <w:tc>
          <w:tcPr>
            <w:tcW w:type="dxa" w:w="3384"/>
            <w:vAlign w:val="top"/>
          </w:tcPr>
          <w:p>
            <w:r>
              <w:rPr>
                <w:sz w:val="16"/>
              </w:rPr>
              <w:t>External/product integrations</w:t>
            </w:r>
          </w:p>
        </w:tc>
        <w:tc>
          <w:tcPr>
            <w:tcW w:type="dxa" w:w="8496"/>
            <w:vAlign w:val="top"/>
          </w:tcPr>
          <w:p>
            <w:r>
              <w:rPr>
                <w:sz w:val="16"/>
              </w:rPr>
              <w:t>Connect; Freight Carbon API; Scope Engine; PowerOS; logistics/TMS/fleet management systems; telematics providers; fuel cards</w:t>
            </w:r>
          </w:p>
        </w:tc>
      </w:tr>
      <w:tr>
        <w:tc>
          <w:tcPr>
            <w:tcW w:type="dxa" w:w="3384"/>
            <w:vAlign w:val="top"/>
          </w:tcPr>
          <w:p>
            <w:r>
              <w:rPr>
                <w:sz w:val="16"/>
              </w:rPr>
              <w:t>GreenLang dependencies</w:t>
            </w:r>
          </w:p>
        </w:tc>
        <w:tc>
          <w:tcPr>
            <w:tcW w:type="dxa" w:w="8496"/>
            <w:vAlign w:val="top"/>
          </w:tcPr>
          <w:p>
            <w:r>
              <w:rPr>
                <w:sz w:val="16"/>
              </w:rPr>
              <w:t>Connect; Scope Engine; Factors; Entity Graph; Climate Ledger</w:t>
            </w:r>
          </w:p>
        </w:tc>
      </w:tr>
      <w:tr>
        <w:tc>
          <w:tcPr>
            <w:tcW w:type="dxa" w:w="3384"/>
            <w:vAlign w:val="top"/>
          </w:tcPr>
          <w:p>
            <w:r>
              <w:rPr>
                <w:sz w:val="16"/>
              </w:rPr>
              <w:t>Customer outputs and deliverables</w:t>
            </w:r>
          </w:p>
        </w:tc>
        <w:tc>
          <w:tcPr>
            <w:tcW w:type="dxa" w:w="8496"/>
            <w:vAlign w:val="top"/>
          </w:tcPr>
          <w:p>
            <w:r>
              <w:rPr>
                <w:sz w:val="16"/>
              </w:rPr>
              <w:t>fleet carbon dashboard</w:t>
              <w:br/>
              <w:t>EV transition plan</w:t>
              <w:br/>
              <w:t>route/customer emissions allocation</w:t>
              <w:br/>
              <w:t>fuel efficiency report</w:t>
              <w:br/>
              <w:t>fleet emissions API</w:t>
            </w:r>
          </w:p>
        </w:tc>
      </w:tr>
    </w:tbl>
    <w:p>
      <w:pPr>
        <w:pStyle w:val="Heading3"/>
      </w:pPr>
      <w:r>
        <w:t>AI and automation behavior</w:t>
      </w:r>
    </w:p>
    <w:p>
      <w:pPr>
        <w:pStyle w:val="ListBullet"/>
        <w:spacing w:after="20"/>
      </w:pPr>
      <w:r>
        <w:t>EV suitability scoring</w:t>
      </w:r>
    </w:p>
    <w:p>
      <w:pPr>
        <w:pStyle w:val="ListBullet"/>
        <w:spacing w:after="20"/>
      </w:pPr>
      <w:r>
        <w:t>route/fuel anomaly detection</w:t>
      </w:r>
    </w:p>
    <w:p>
      <w:pPr>
        <w:pStyle w:val="ListBullet"/>
        <w:spacing w:after="20"/>
      </w:pPr>
      <w:r>
        <w:t>TCO scenario assistant</w:t>
      </w:r>
    </w:p>
    <w:p>
      <w:pPr>
        <w:pStyle w:val="ListBullet"/>
        <w:spacing w:after="20"/>
      </w:pPr>
      <w:r>
        <w:t>driver coaching insights where appropriate</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Telematics ingestion + emissions; 2 design-partner fleets.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TCO module; Geotab/Samsara integrations.</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Charging-infra planner; driver coaching.</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GLEC compliance; shipper Scope 3 feed.</w:t>
            </w:r>
          </w:p>
        </w:tc>
      </w:tr>
      <w:tr>
        <w:tc>
          <w:tcPr>
            <w:tcW w:type="dxa" w:w="1872"/>
            <w:vAlign w:val="top"/>
          </w:tcPr>
          <w:p>
            <w:r>
              <w:rPr>
                <w:sz w:val="16"/>
              </w:rPr>
              <w:t>v1.5</w:t>
            </w:r>
          </w:p>
        </w:tc>
        <w:tc>
          <w:tcPr>
            <w:tcW w:type="dxa" w:w="2304"/>
            <w:vAlign w:val="top"/>
          </w:tcPr>
          <w:p>
            <w:r>
              <w:rPr>
                <w:sz w:val="16"/>
              </w:rPr>
              <w:t>FY30 Q3</w:t>
            </w:r>
          </w:p>
        </w:tc>
        <w:tc>
          <w:tcPr>
            <w:tcW w:type="dxa" w:w="7776"/>
            <w:vAlign w:val="top"/>
          </w:tcPr>
          <w:p>
            <w:r>
              <w:rPr>
                <w:sz w:val="16"/>
              </w:rPr>
              <w:t>Last-mile + inter-city templates; India CCE commercial-vehicle focus.</w:t>
            </w:r>
          </w:p>
        </w:tc>
      </w:tr>
      <w:tr>
        <w:tc>
          <w:tcPr>
            <w:tcW w:type="dxa" w:w="1872"/>
            <w:vAlign w:val="top"/>
          </w:tcPr>
          <w:p>
            <w:r>
              <w:rPr>
                <w:sz w:val="16"/>
              </w:rPr>
              <w:t>v2.0</w:t>
            </w:r>
          </w:p>
        </w:tc>
        <w:tc>
          <w:tcPr>
            <w:tcW w:type="dxa" w:w="2304"/>
            <w:vAlign w:val="top"/>
          </w:tcPr>
          <w:p>
            <w:r>
              <w:rPr>
                <w:sz w:val="16"/>
              </w:rPr>
              <w:t>FY31 Q2</w:t>
            </w:r>
          </w:p>
        </w:tc>
        <w:tc>
          <w:tcPr>
            <w:tcW w:type="dxa" w:w="7776"/>
            <w:vAlign w:val="top"/>
          </w:tcPr>
          <w:p>
            <w:r>
              <w:rPr>
                <w:sz w:val="16"/>
              </w:rPr>
              <w:t>Real-time emissions SLA API for shippers; connected to Freight Carbon API.</w:t>
            </w:r>
          </w:p>
        </w:tc>
      </w:tr>
      <w:tr>
        <w:tc>
          <w:tcPr>
            <w:tcW w:type="dxa" w:w="1872"/>
            <w:vAlign w:val="top"/>
          </w:tcPr>
          <w:p>
            <w:r>
              <w:rPr>
                <w:sz w:val="16"/>
              </w:rPr>
              <w:t>v2.5</w:t>
            </w:r>
          </w:p>
        </w:tc>
        <w:tc>
          <w:tcPr>
            <w:tcW w:type="dxa" w:w="2304"/>
            <w:vAlign w:val="top"/>
          </w:tcPr>
          <w:p>
            <w:r>
              <w:rPr>
                <w:sz w:val="16"/>
              </w:rPr>
              <w:t>FY31 Q4</w:t>
            </w:r>
          </w:p>
        </w:tc>
        <w:tc>
          <w:tcPr>
            <w:tcW w:type="dxa" w:w="7776"/>
            <w:vAlign w:val="top"/>
          </w:tcPr>
          <w:p>
            <w:r>
              <w:rPr>
                <w:sz w:val="16"/>
              </w:rPr>
              <w:t>Integrated financing for fleet electrification (via FinanceOS).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Start with data-rich fleets or customers with fleet management systems</w:t>
      </w:r>
    </w:p>
    <w:p>
      <w:pPr>
        <w:pStyle w:val="ListBullet"/>
        <w:spacing w:after="20"/>
      </w:pPr>
      <w:r>
        <w:t>GA requires repeatable telematics/fuel-card ingestion</w:t>
      </w:r>
    </w:p>
    <w:p>
      <w:pPr>
        <w:pStyle w:val="ListBullet"/>
        <w:spacing w:after="20"/>
      </w:pPr>
      <w:r>
        <w:t>Avoid becoming generic fleet management software</w:t>
      </w:r>
    </w:p>
    <w:p>
      <w:pPr>
        <w:pStyle w:val="ListBullet"/>
        <w:spacing w:after="20"/>
      </w:pPr>
      <w:r>
        <w:t>Carbon reporting and transition planning must be differentiated</w:t>
      </w:r>
    </w:p>
    <w:p>
      <w:pPr>
        <w:pStyle w:val="Heading3"/>
      </w:pPr>
      <w:r>
        <w:t>Key risks to actively manage</w:t>
      </w:r>
    </w:p>
    <w:p>
      <w:pPr>
        <w:pStyle w:val="ListBullet"/>
        <w:spacing w:after="20"/>
      </w:pPr>
      <w:r>
        <w:t>telematics integration fragmentation</w:t>
      </w:r>
    </w:p>
    <w:p>
      <w:pPr>
        <w:pStyle w:val="ListBullet"/>
        <w:spacing w:after="20"/>
      </w:pPr>
      <w:r>
        <w:t>low data quality from contracted fleets</w:t>
      </w:r>
    </w:p>
    <w:p>
      <w:pPr>
        <w:pStyle w:val="ListBullet"/>
        <w:spacing w:after="20"/>
      </w:pPr>
      <w:r>
        <w:t>driver privacy concerns</w:t>
      </w:r>
    </w:p>
    <w:p>
      <w:pPr>
        <w:pStyle w:val="ListBullet"/>
        <w:spacing w:after="20"/>
      </w:pPr>
      <w:r>
        <w:t>EV infrastructure constraints outside product</w:t>
      </w:r>
    </w:p>
    <w:p>
      <w:pPr>
        <w:pStyle w:val="Heading3"/>
      </w:pPr>
      <w:r>
        <w:t>Success metrics</w:t>
      </w:r>
    </w:p>
    <w:p>
      <w:pPr>
        <w:pStyle w:val="ListBullet"/>
        <w:spacing w:after="20"/>
      </w:pPr>
      <w:r>
        <w:t>vehicles under management</w:t>
      </w:r>
    </w:p>
    <w:p>
      <w:pPr>
        <w:pStyle w:val="ListBullet"/>
        <w:spacing w:after="20"/>
      </w:pPr>
      <w:r>
        <w:t>fuel/emissions reduction opportunities</w:t>
      </w:r>
    </w:p>
    <w:p>
      <w:pPr>
        <w:pStyle w:val="ListBullet"/>
        <w:spacing w:after="20"/>
      </w:pPr>
      <w:r>
        <w:t>EV transition pipeline</w:t>
      </w:r>
    </w:p>
    <w:p>
      <w:pPr>
        <w:pStyle w:val="ListBullet"/>
        <w:spacing w:after="20"/>
      </w:pPr>
      <w:r>
        <w:t>data completeness</w:t>
      </w:r>
    </w:p>
    <w:p>
      <w:pPr>
        <w:pStyle w:val="ListBullet"/>
        <w:spacing w:after="20"/>
      </w:pPr>
      <w:r>
        <w:t>per-vehicle ARR</w:t>
      </w:r>
    </w:p>
    <w:p>
      <w:pPr>
        <w:pStyle w:val="Heading3"/>
      </w:pPr>
      <w:r>
        <w:t>Dependency notes</w:t>
      </w:r>
    </w:p>
    <w:p>
      <w:pPr>
        <w:pStyle w:val="ListBullet"/>
        <w:spacing w:after="20"/>
      </w:pPr>
      <w:r>
        <w:t>Upstream: Factors, Ledger.</w:t>
      </w:r>
    </w:p>
    <w:p>
      <w:pPr>
        <w:pStyle w:val="ListBullet"/>
        <w:spacing w:after="20"/>
      </w:pPr>
      <w:r>
        <w:t>Downstream: Freight Carbon API, Scope Engine, FinanceOS.</w:t>
      </w:r>
    </w:p>
    <w:p>
      <w:r>
        <w:br w:type="page"/>
      </w:r>
    </w:p>
    <w:p>
      <w:pPr>
        <w:pStyle w:val="Heading2"/>
      </w:pPr>
      <w:r>
        <w:t>23. GreenLang Freight Carbon API</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Mobility Cloud / Mobility &amp; Logistics Squad</w:t>
            </w:r>
          </w:p>
        </w:tc>
      </w:tr>
      <w:tr>
        <w:tc>
          <w:tcPr>
            <w:tcW w:type="dxa" w:w="2448"/>
            <w:vAlign w:val="top"/>
            <w:shd w:fill="EAF2F8"/>
          </w:tcPr>
          <w:p>
            <w:r>
              <w:rPr>
                <w:b/>
                <w:color w:val="1F4E79"/>
                <w:sz w:val="16"/>
              </w:rPr>
              <w:t>Primary buyer</w:t>
            </w:r>
          </w:p>
        </w:tc>
        <w:tc>
          <w:tcPr>
            <w:tcW w:type="dxa" w:w="8352"/>
            <w:vAlign w:val="top"/>
          </w:tcPr>
          <w:p>
            <w:r>
              <w:rPr>
                <w:sz w:val="16"/>
              </w:rPr>
              <w:t>Shippers, forwarders, logistics platforms, marketplaces, OEM logistics teams</w:t>
            </w:r>
          </w:p>
        </w:tc>
      </w:tr>
      <w:tr>
        <w:tc>
          <w:tcPr>
            <w:tcW w:type="dxa" w:w="2448"/>
            <w:vAlign w:val="top"/>
            <w:shd w:fill="EAF2F8"/>
          </w:tcPr>
          <w:p>
            <w:r>
              <w:rPr>
                <w:b/>
                <w:color w:val="1F4E79"/>
                <w:sz w:val="16"/>
              </w:rPr>
              <w:t>Revenue model</w:t>
            </w:r>
          </w:p>
        </w:tc>
        <w:tc>
          <w:tcPr>
            <w:tcW w:type="dxa" w:w="8352"/>
            <w:vAlign w:val="top"/>
          </w:tcPr>
          <w:p>
            <w:r>
              <w:rPr>
                <w:sz w:val="16"/>
              </w:rPr>
              <w:t>Usage/API</w:t>
            </w:r>
          </w:p>
        </w:tc>
      </w:tr>
      <w:tr>
        <w:tc>
          <w:tcPr>
            <w:tcW w:type="dxa" w:w="2448"/>
            <w:vAlign w:val="top"/>
            <w:shd w:fill="EAF2F8"/>
          </w:tcPr>
          <w:p>
            <w:r>
              <w:rPr>
                <w:b/>
                <w:color w:val="1F4E79"/>
                <w:sz w:val="16"/>
              </w:rPr>
              <w:t>Definition</w:t>
            </w:r>
          </w:p>
        </w:tc>
        <w:tc>
          <w:tcPr>
            <w:tcW w:type="dxa" w:w="8352"/>
            <w:vAlign w:val="top"/>
          </w:tcPr>
          <w:p>
            <w:r>
              <w:rPr>
                <w:sz w:val="16"/>
              </w:rPr>
              <w:t>A logistics emissions API and data product for calculating and exposing shipment, lane, mode, carrier, and route-level freight carbon estimates and primary-data-backed emissions.</w:t>
            </w:r>
          </w:p>
        </w:tc>
      </w:tr>
      <w:tr>
        <w:tc>
          <w:tcPr>
            <w:tcW w:type="dxa" w:w="2448"/>
            <w:vAlign w:val="top"/>
            <w:shd w:fill="EAF2F8"/>
          </w:tcPr>
          <w:p>
            <w:r>
              <w:rPr>
                <w:b/>
                <w:color w:val="1F4E79"/>
                <w:sz w:val="16"/>
              </w:rPr>
              <w:t>Strategic role</w:t>
            </w:r>
          </w:p>
        </w:tc>
        <w:tc>
          <w:tcPr>
            <w:tcW w:type="dxa" w:w="8352"/>
            <w:vAlign w:val="top"/>
          </w:tcPr>
          <w:p>
            <w:r>
              <w:rPr>
                <w:sz w:val="16"/>
              </w:rPr>
              <w:t>Freight Carbon API turns GreenLang logistics data into a scalable developer and platform product. It can be embedded into procurement, customer portals, freight marketplaces, and Scope 3 workflows.</w:t>
            </w:r>
          </w:p>
        </w:tc>
      </w:tr>
      <w:tr>
        <w:tc>
          <w:tcPr>
            <w:tcW w:type="dxa" w:w="2448"/>
            <w:vAlign w:val="top"/>
            <w:shd w:fill="EAF2F8"/>
          </w:tcPr>
          <w:p>
            <w:r>
              <w:rPr>
                <w:b/>
                <w:color w:val="1F4E79"/>
                <w:sz w:val="16"/>
              </w:rPr>
              <w:t>Pricing / packaging logic</w:t>
            </w:r>
          </w:p>
        </w:tc>
        <w:tc>
          <w:tcPr>
            <w:tcW w:type="dxa" w:w="8352"/>
            <w:vAlign w:val="top"/>
          </w:tcPr>
          <w:p>
            <w:r>
              <w:rPr>
                <w:sz w:val="16"/>
              </w:rPr>
              <w:t>Usage-based API pricing by calls/shipments, enterprise platform pricing, and premium carrier-primary-data modules.</w:t>
            </w:r>
          </w:p>
        </w:tc>
      </w:tr>
    </w:tbl>
    <w:p>
      <w:pPr>
        <w:pStyle w:val="Heading3"/>
      </w:pPr>
      <w:r>
        <w:t>CTO final pathway</w:t>
      </w:r>
    </w:p>
    <w:p>
      <w:pPr>
        <w:spacing w:after="80"/>
      </w:pPr>
      <w:r>
        <w:t>Build GreenLang Freight Carbon API as a modular product on the shared substrate. The release target is FY30; GA is gated for FY30 Q4. Do not GA before API/docs maturity Start with modes/regions where factors and customers exist</w:t>
      </w:r>
    </w:p>
    <w:p>
      <w:pPr>
        <w:pStyle w:val="Heading3"/>
      </w:pPr>
      <w:r>
        <w:t>Why it exists</w:t>
      </w:r>
    </w:p>
    <w:p>
      <w:pPr>
        <w:spacing w:after="80"/>
      </w:pPr>
      <w:r>
        <w:t>Every shipper customer wants shipment-level emissions to match their Scope 3 Category 4/9 data. Forwarders patchwork this with spreadsheets and internal tools. Customers (retail, industrial) are increasingly refusing to pay without verifiable numbers. GLEC and ISO 14083 set the bar.</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logistics platform developers</w:t>
              <w:br/>
              <w:t>shipper sustainability teams</w:t>
              <w:br/>
              <w:t>forwarders</w:t>
              <w:br/>
              <w:t>transport procurement teams</w:t>
              <w:br/>
              <w:t>carrier account managers</w:t>
              <w:br/>
              <w:t>enterprise data teams</w:t>
            </w:r>
          </w:p>
        </w:tc>
      </w:tr>
      <w:tr>
        <w:tc>
          <w:tcPr>
            <w:tcW w:type="dxa" w:w="3024"/>
            <w:vAlign w:val="top"/>
          </w:tcPr>
          <w:p>
            <w:r>
              <w:rPr>
                <w:sz w:val="16"/>
              </w:rPr>
              <w:t>Jobs to be done</w:t>
            </w:r>
          </w:p>
        </w:tc>
        <w:tc>
          <w:tcPr>
            <w:tcW w:type="dxa" w:w="8640"/>
            <w:vAlign w:val="top"/>
          </w:tcPr>
          <w:p>
            <w:r>
              <w:rPr>
                <w:sz w:val="16"/>
              </w:rPr>
              <w:t>Calculate emissions for shipments and lanes</w:t>
              <w:br/>
              <w:t>Compare modes, carriers, routes, and service levels</w:t>
              <w:br/>
              <w:t>Collect primary carrier/fleet data where available</w:t>
              <w:br/>
              <w:t>Expose freight emissions through API to customer systems</w:t>
              <w:br/>
              <w:t>Feed Scope 3 and product-footprint calculations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REST API: shipment-in, emissions-out (GLEC- and ISO 14083-aligned).</w:t>
              <w:br/>
              <w:t>Mode coverage: road, rail, ocean, air, inland water, pipeline.</w:t>
              <w:br/>
              <w:t>Route and emission-factor selection with full transparency.</w:t>
              <w:br/>
              <w:t>Multi-leg shipment decomposition.</w:t>
              <w:br/>
              <w:t>Default-value fallback with confidence scoring.</w:t>
              <w:br/>
              <w:t>Real-time mode-shift and consolidation recommendations.</w:t>
              <w:br/>
              <w:t>Audit-trail per shipment.</w:t>
            </w:r>
          </w:p>
        </w:tc>
      </w:tr>
      <w:tr>
        <w:tc>
          <w:tcPr>
            <w:tcW w:type="dxa" w:w="3456"/>
            <w:vAlign w:val="top"/>
          </w:tcPr>
          <w:p>
            <w:r>
              <w:rPr>
                <w:sz w:val="16"/>
              </w:rPr>
              <w:t>In-scope product modules</w:t>
            </w:r>
          </w:p>
        </w:tc>
        <w:tc>
          <w:tcPr>
            <w:tcW w:type="dxa" w:w="8352"/>
            <w:vAlign w:val="top"/>
          </w:tcPr>
          <w:p>
            <w:r>
              <w:rPr>
                <w:sz w:val="16"/>
              </w:rPr>
              <w:t>shipment emissions API</w:t>
              <w:br/>
              <w:t>lane/mode factor model</w:t>
              <w:br/>
              <w:t>carrier data ingestion</w:t>
              <w:br/>
              <w:t>primary-data quality score</w:t>
              <w:br/>
              <w:t>route/mode comparison</w:t>
              <w:br/>
              <w:t>webhook/reporting layer</w:t>
              <w:br/>
              <w:t>developer documentation</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origin/destination</w:t>
              <w:br/>
              <w:t>mode</w:t>
              <w:br/>
              <w:t>distance</w:t>
              <w:br/>
              <w:t>weight/volume</w:t>
              <w:br/>
              <w:t>carrier</w:t>
              <w:br/>
              <w:t>fuel/energy data</w:t>
              <w:br/>
              <w:t>vehicle/vessel/aircraft data where available</w:t>
              <w:br/>
              <w:t>shipment IDs</w:t>
              <w:br/>
              <w:t>emission factors</w:t>
              <w:br/>
              <w:t>data-quality indicators</w:t>
            </w:r>
          </w:p>
        </w:tc>
      </w:tr>
      <w:tr>
        <w:tc>
          <w:tcPr>
            <w:tcW w:type="dxa" w:w="3384"/>
            <w:vAlign w:val="top"/>
          </w:tcPr>
          <w:p>
            <w:r>
              <w:rPr>
                <w:sz w:val="16"/>
              </w:rPr>
              <w:t>External/product integrations</w:t>
            </w:r>
          </w:p>
        </w:tc>
        <w:tc>
          <w:tcPr>
            <w:tcW w:type="dxa" w:w="8496"/>
            <w:vAlign w:val="top"/>
          </w:tcPr>
          <w:p>
            <w:r>
              <w:rPr>
                <w:sz w:val="16"/>
              </w:rPr>
              <w:t>FleetOS; Scope Engine; PCF Studio; SupplierOS; Connect; SDK/API/CLI; TMS/freight platforms</w:t>
            </w:r>
          </w:p>
        </w:tc>
      </w:tr>
      <w:tr>
        <w:tc>
          <w:tcPr>
            <w:tcW w:type="dxa" w:w="3384"/>
            <w:vAlign w:val="top"/>
          </w:tcPr>
          <w:p>
            <w:r>
              <w:rPr>
                <w:sz w:val="16"/>
              </w:rPr>
              <w:t>GreenLang dependencies</w:t>
            </w:r>
          </w:p>
        </w:tc>
        <w:tc>
          <w:tcPr>
            <w:tcW w:type="dxa" w:w="8496"/>
            <w:vAlign w:val="top"/>
          </w:tcPr>
          <w:p>
            <w:r>
              <w:rPr>
                <w:sz w:val="16"/>
              </w:rPr>
              <w:t>FleetOS for primary data; Factors; SDK/API/CLI; Scope Engine; Entity Graph</w:t>
            </w:r>
          </w:p>
        </w:tc>
      </w:tr>
      <w:tr>
        <w:tc>
          <w:tcPr>
            <w:tcW w:type="dxa" w:w="3384"/>
            <w:vAlign w:val="top"/>
          </w:tcPr>
          <w:p>
            <w:r>
              <w:rPr>
                <w:sz w:val="16"/>
              </w:rPr>
              <w:t>Customer outputs and deliverables</w:t>
            </w:r>
          </w:p>
        </w:tc>
        <w:tc>
          <w:tcPr>
            <w:tcW w:type="dxa" w:w="8496"/>
            <w:vAlign w:val="top"/>
          </w:tcPr>
          <w:p>
            <w:r>
              <w:rPr>
                <w:sz w:val="16"/>
              </w:rPr>
              <w:t>shipment emissions result</w:t>
              <w:br/>
              <w:t>lane benchmark</w:t>
              <w:br/>
              <w:t>data-quality score</w:t>
              <w:br/>
              <w:t>API response</w:t>
              <w:br/>
              <w:t>carrier emissions report</w:t>
              <w:br/>
              <w:t>Scope 3 transport data</w:t>
            </w:r>
          </w:p>
        </w:tc>
      </w:tr>
    </w:tbl>
    <w:p>
      <w:pPr>
        <w:pStyle w:val="Heading3"/>
      </w:pPr>
      <w:r>
        <w:t>AI and automation behavior</w:t>
      </w:r>
    </w:p>
    <w:p>
      <w:pPr>
        <w:pStyle w:val="ListBullet"/>
        <w:spacing w:after="20"/>
      </w:pPr>
      <w:r>
        <w:t>route/mode optimization assistant</w:t>
      </w:r>
    </w:p>
    <w:p>
      <w:pPr>
        <w:pStyle w:val="ListBullet"/>
        <w:spacing w:after="20"/>
      </w:pPr>
      <w:r>
        <w:t>carrier data-quality scoring</w:t>
      </w:r>
    </w:p>
    <w:p>
      <w:pPr>
        <w:pStyle w:val="ListBullet"/>
        <w:spacing w:after="20"/>
      </w:pPr>
      <w:r>
        <w:t>shipment anomaly detection</w:t>
      </w:r>
    </w:p>
    <w:p>
      <w:pPr>
        <w:pStyle w:val="ListBullet"/>
        <w:spacing w:after="20"/>
      </w:pPr>
      <w:r>
        <w:t>developer support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Road + ocean modes; 2 design-partner forwarders.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All modes; ISO 14083 conformance.</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Real-time recommendations; auditor-ready trails.</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GA with enterprise SLA; 3rd-party verification of methodology.</w:t>
            </w:r>
          </w:p>
        </w:tc>
      </w:tr>
      <w:tr>
        <w:tc>
          <w:tcPr>
            <w:tcW w:type="dxa" w:w="1872"/>
            <w:vAlign w:val="top"/>
          </w:tcPr>
          <w:p>
            <w:r>
              <w:rPr>
                <w:sz w:val="16"/>
              </w:rPr>
              <w:t>v1.5</w:t>
            </w:r>
          </w:p>
        </w:tc>
        <w:tc>
          <w:tcPr>
            <w:tcW w:type="dxa" w:w="2304"/>
            <w:vAlign w:val="top"/>
          </w:tcPr>
          <w:p>
            <w:r>
              <w:rPr>
                <w:sz w:val="16"/>
              </w:rPr>
              <w:t>FY31 Q2</w:t>
            </w:r>
          </w:p>
        </w:tc>
        <w:tc>
          <w:tcPr>
            <w:tcW w:type="dxa" w:w="7776"/>
            <w:vAlign w:val="top"/>
          </w:tcPr>
          <w:p>
            <w:r>
              <w:rPr>
                <w:sz w:val="16"/>
              </w:rPr>
              <w:t>Ocean voyage-specific (vessel-specific) calculations via maritime data partners.</w:t>
            </w:r>
          </w:p>
        </w:tc>
      </w:tr>
      <w:tr>
        <w:tc>
          <w:tcPr>
            <w:tcW w:type="dxa" w:w="1872"/>
            <w:vAlign w:val="top"/>
          </w:tcPr>
          <w:p>
            <w:r>
              <w:rPr>
                <w:sz w:val="16"/>
              </w:rPr>
              <w:t>v2.0</w:t>
            </w:r>
          </w:p>
        </w:tc>
        <w:tc>
          <w:tcPr>
            <w:tcW w:type="dxa" w:w="2304"/>
            <w:vAlign w:val="top"/>
          </w:tcPr>
          <w:p>
            <w:r>
              <w:rPr>
                <w:sz w:val="16"/>
              </w:rPr>
              <w:t>FY31 Q4</w:t>
            </w:r>
          </w:p>
        </w:tc>
        <w:tc>
          <w:tcPr>
            <w:tcW w:type="dxa" w:w="7776"/>
            <w:vAlign w:val="top"/>
          </w:tcPr>
          <w:p>
            <w:r>
              <w:rPr>
                <w:sz w:val="16"/>
              </w:rPr>
              <w:t>Shipper marketplace view - mode-shift + consolidation opportunities monetized.</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GA before API/docs maturity</w:t>
      </w:r>
    </w:p>
    <w:p>
      <w:pPr>
        <w:pStyle w:val="ListBullet"/>
        <w:spacing w:after="20"/>
      </w:pPr>
      <w:r>
        <w:t>Start with modes/regions where factors and customers exist</w:t>
      </w:r>
    </w:p>
    <w:p>
      <w:pPr>
        <w:pStyle w:val="ListBullet"/>
        <w:spacing w:after="20"/>
      </w:pPr>
      <w:r>
        <w:t>Primary-data labels must be transparent</w:t>
      </w:r>
    </w:p>
    <w:p>
      <w:pPr>
        <w:pStyle w:val="ListBullet"/>
        <w:spacing w:after="20"/>
      </w:pPr>
      <w:r>
        <w:t>Avoid claiming precision beyond available shipment data</w:t>
      </w:r>
    </w:p>
    <w:p>
      <w:pPr>
        <w:pStyle w:val="Heading3"/>
      </w:pPr>
      <w:r>
        <w:t>Key risks to actively manage</w:t>
      </w:r>
    </w:p>
    <w:p>
      <w:pPr>
        <w:pStyle w:val="ListBullet"/>
        <w:spacing w:after="20"/>
      </w:pPr>
      <w:r>
        <w:t>commoditized freight-carbon calculators</w:t>
      </w:r>
    </w:p>
    <w:p>
      <w:pPr>
        <w:pStyle w:val="ListBullet"/>
        <w:spacing w:after="20"/>
      </w:pPr>
      <w:r>
        <w:t>data-quality disputes</w:t>
      </w:r>
    </w:p>
    <w:p>
      <w:pPr>
        <w:pStyle w:val="ListBullet"/>
        <w:spacing w:after="20"/>
      </w:pPr>
      <w:r>
        <w:t>API support burden</w:t>
      </w:r>
    </w:p>
    <w:p>
      <w:pPr>
        <w:pStyle w:val="ListBullet"/>
        <w:spacing w:after="20"/>
      </w:pPr>
      <w:r>
        <w:t>mode-specific complexity</w:t>
      </w:r>
    </w:p>
    <w:p>
      <w:pPr>
        <w:pStyle w:val="Heading3"/>
      </w:pPr>
      <w:r>
        <w:t>Success metrics</w:t>
      </w:r>
    </w:p>
    <w:p>
      <w:pPr>
        <w:pStyle w:val="ListBullet"/>
        <w:spacing w:after="20"/>
      </w:pPr>
      <w:r>
        <w:t>API calls</w:t>
      </w:r>
    </w:p>
    <w:p>
      <w:pPr>
        <w:pStyle w:val="ListBullet"/>
        <w:spacing w:after="20"/>
      </w:pPr>
      <w:r>
        <w:t>shipments calculated</w:t>
      </w:r>
    </w:p>
    <w:p>
      <w:pPr>
        <w:pStyle w:val="ListBullet"/>
        <w:spacing w:after="20"/>
      </w:pPr>
      <w:r>
        <w:t>average latency</w:t>
      </w:r>
    </w:p>
    <w:p>
      <w:pPr>
        <w:pStyle w:val="ListBullet"/>
        <w:spacing w:after="20"/>
      </w:pPr>
      <w:r>
        <w:t>primary-data coverage</w:t>
      </w:r>
    </w:p>
    <w:p>
      <w:pPr>
        <w:pStyle w:val="ListBullet"/>
        <w:spacing w:after="20"/>
      </w:pPr>
      <w:r>
        <w:t>platform integrations</w:t>
      </w:r>
    </w:p>
    <w:p>
      <w:pPr>
        <w:pStyle w:val="ListBullet"/>
        <w:spacing w:after="20"/>
      </w:pPr>
      <w:r>
        <w:t>Land/Water/Nature</w:t>
      </w:r>
    </w:p>
    <w:p>
      <w:pPr>
        <w:pStyle w:val="Heading3"/>
      </w:pPr>
      <w:r>
        <w:t>Dependency notes</w:t>
      </w:r>
    </w:p>
    <w:p>
      <w:pPr>
        <w:pStyle w:val="ListBullet"/>
        <w:spacing w:after="20"/>
      </w:pPr>
      <w:r>
        <w:t>Upstream: Factors, Ledger, FleetOS.</w:t>
      </w:r>
    </w:p>
    <w:p>
      <w:pPr>
        <w:pStyle w:val="ListBullet"/>
        <w:spacing w:after="20"/>
      </w:pPr>
      <w:r>
        <w:t>Downstream: Scope Engine, Comply (Scope 3 C4/C9).</w:t>
      </w:r>
    </w:p>
    <w:p>
      <w:pPr>
        <w:pStyle w:val="ListBullet"/>
        <w:spacing w:after="20"/>
      </w:pPr>
      <w:r>
        <w:t>8. Land / Water / Nature</w:t>
      </w:r>
    </w:p>
    <w:p>
      <w:pPr>
        <w:pStyle w:val="ListBullet"/>
        <w:spacing w:after="20"/>
      </w:pPr>
      <w:r>
        <w:t>This chapter covers 4 products in the Land / Water / Nature. Each product is specified at PRD-lite depth: definition, buyer, core capabilities, data/integrations, revenue model, full version roadmap, success KPIs, and upstream/downstream dependencies.</w:t>
      </w:r>
    </w:p>
    <w:p>
      <w:r>
        <w:br w:type="page"/>
      </w:r>
    </w:p>
    <w:p>
      <w:pPr>
        <w:pStyle w:val="Heading1"/>
      </w:pPr>
      <w:r>
        <w:t>Land / Water / Nature</w:t>
      </w:r>
    </w:p>
    <w:p>
      <w:pPr>
        <w:spacing w:after="80"/>
      </w:pPr>
      <w:r/>
    </w:p>
    <w:p>
      <w:r>
        <w:br w:type="page"/>
      </w:r>
    </w:p>
    <w:p>
      <w:pPr>
        <w:pStyle w:val="Heading2"/>
      </w:pPr>
      <w:r>
        <w:t>24. GreenLang AgriLandOS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 xml:space="preserve">Land / Water / Nature / </w:t>
            </w:r>
          </w:p>
        </w:tc>
      </w:tr>
      <w:tr>
        <w:tc>
          <w:tcPr>
            <w:tcW w:type="dxa" w:w="2448"/>
            <w:vAlign w:val="top"/>
            <w:shd w:fill="EAF2F8"/>
          </w:tcPr>
          <w:p>
            <w:r>
              <w:rPr>
                <w:b/>
                <w:color w:val="1F4E79"/>
                <w:sz w:val="16"/>
              </w:rPr>
              <w:t>Primary buyer</w:t>
            </w:r>
          </w:p>
        </w:tc>
        <w:tc>
          <w:tcPr>
            <w:tcW w:type="dxa" w:w="8352"/>
            <w:vAlign w:val="top"/>
          </w:tcPr>
          <w:p>
            <w:r>
              <w:rPr>
                <w:sz w:val="16"/>
              </w:rPr>
              <w:t>Food brands, agribusiness, co-ops, farmer networks, lenders</w:t>
            </w:r>
          </w:p>
        </w:tc>
      </w:tr>
      <w:tr>
        <w:tc>
          <w:tcPr>
            <w:tcW w:type="dxa" w:w="2448"/>
            <w:vAlign w:val="top"/>
            <w:shd w:fill="EAF2F8"/>
          </w:tcPr>
          <w:p>
            <w:r>
              <w:rPr>
                <w:b/>
                <w:color w:val="1F4E79"/>
                <w:sz w:val="16"/>
              </w:rPr>
              <w:t>Revenue model</w:t>
            </w:r>
          </w:p>
        </w:tc>
        <w:tc>
          <w:tcPr>
            <w:tcW w:type="dxa" w:w="8352"/>
            <w:vAlign w:val="top"/>
          </w:tcPr>
          <w:p>
            <w:r>
              <w:rPr>
                <w:sz w:val="16"/>
              </w:rPr>
              <w:t>Per-farm/co-op subscription</w:t>
            </w:r>
          </w:p>
        </w:tc>
      </w:tr>
      <w:tr>
        <w:tc>
          <w:tcPr>
            <w:tcW w:type="dxa" w:w="2448"/>
            <w:vAlign w:val="top"/>
            <w:shd w:fill="EAF2F8"/>
          </w:tcPr>
          <w:p>
            <w:r>
              <w:rPr>
                <w:b/>
                <w:color w:val="1F4E79"/>
                <w:sz w:val="16"/>
              </w:rPr>
              <w:t>Definition</w:t>
            </w:r>
          </w:p>
        </w:tc>
        <w:tc>
          <w:tcPr>
            <w:tcW w:type="dxa" w:w="8352"/>
            <w:vAlign w:val="top"/>
          </w:tcPr>
          <w:p>
            <w:r>
              <w:rPr>
                <w:sz w:val="16"/>
              </w:rPr>
              <w:t>A farm, co-op, and land-supply-chain climate product for agricultural emissions, soil practices, land-use data, farmer evidence, intervention tracking, and food-company Scope 3/product claims.</w:t>
            </w:r>
          </w:p>
        </w:tc>
      </w:tr>
      <w:tr>
        <w:tc>
          <w:tcPr>
            <w:tcW w:type="dxa" w:w="2448"/>
            <w:vAlign w:val="top"/>
            <w:shd w:fill="EAF2F8"/>
          </w:tcPr>
          <w:p>
            <w:r>
              <w:rPr>
                <w:b/>
                <w:color w:val="1F4E79"/>
                <w:sz w:val="16"/>
              </w:rPr>
              <w:t>Strategic role</w:t>
            </w:r>
          </w:p>
        </w:tc>
        <w:tc>
          <w:tcPr>
            <w:tcW w:type="dxa" w:w="8352"/>
            <w:vAlign w:val="top"/>
          </w:tcPr>
          <w:p>
            <w:r>
              <w:rPr>
                <w:sz w:val="16"/>
              </w:rPr>
              <w:t>AgriLandOS expands GreenLang into food and land supply chains where carbon, water, methane, nitrogen, nature, and finance workflows overlap.</w:t>
            </w:r>
          </w:p>
        </w:tc>
      </w:tr>
      <w:tr>
        <w:tc>
          <w:tcPr>
            <w:tcW w:type="dxa" w:w="2448"/>
            <w:vAlign w:val="top"/>
            <w:shd w:fill="EAF2F8"/>
          </w:tcPr>
          <w:p>
            <w:r>
              <w:rPr>
                <w:b/>
                <w:color w:val="1F4E79"/>
                <w:sz w:val="16"/>
              </w:rPr>
              <w:t>Pricing / packaging logic</w:t>
            </w:r>
          </w:p>
        </w:tc>
        <w:tc>
          <w:tcPr>
            <w:tcW w:type="dxa" w:w="8352"/>
            <w:vAlign w:val="top"/>
          </w:tcPr>
          <w:p>
            <w:r>
              <w:rPr>
                <w:sz w:val="16"/>
              </w:rPr>
              <w:t>Per-farm/co-op subscription paid by agribusiness/brand; project/program modules priced by acreage, suppliers, or intervention portfolio.</w:t>
            </w:r>
          </w:p>
        </w:tc>
      </w:tr>
    </w:tbl>
    <w:p>
      <w:pPr>
        <w:pStyle w:val="Heading3"/>
      </w:pPr>
      <w:r>
        <w:t>CTO final pathway</w:t>
      </w:r>
    </w:p>
    <w:p>
      <w:pPr>
        <w:spacing w:after="80"/>
      </w:pPr>
      <w:r>
        <w:t>Build GreenLang AgriLandOS as a modular product on the shared substrate. The release target is FY30; GA is gated for FY30 Q4. Launch only with strong anchor customer or consortium Avoid overprecision in farm emissions</w:t>
      </w:r>
    </w:p>
    <w:p>
      <w:pPr>
        <w:pStyle w:val="Heading3"/>
      </w:pPr>
      <w:r>
        <w:t>Why it exists</w:t>
      </w:r>
    </w:p>
    <w:p>
      <w:pPr>
        <w:spacing w:after="80"/>
      </w:pPr>
      <w:r>
        <w:t>Agrifood is ~30% of global emissions and deeply fragmented. Food brands need farm-level data for Scope 3. Co-ops and agribusinesses need monetization for regenerative practices. No platform connects farm practices to brand disclosures to carbon credits credibly.</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agribusiness sustainability teams</w:t>
              <w:br/>
              <w:t>co-op managers</w:t>
              <w:br/>
              <w:t>field officers</w:t>
              <w:br/>
              <w:t>food brand procurement teams</w:t>
              <w:br/>
              <w:t>farm advisors</w:t>
              <w:br/>
              <w:t>lenders/insurers</w:t>
            </w:r>
          </w:p>
        </w:tc>
      </w:tr>
      <w:tr>
        <w:tc>
          <w:tcPr>
            <w:tcW w:type="dxa" w:w="3024"/>
            <w:vAlign w:val="top"/>
          </w:tcPr>
          <w:p>
            <w:r>
              <w:rPr>
                <w:sz w:val="16"/>
              </w:rPr>
              <w:t>Jobs to be done</w:t>
            </w:r>
          </w:p>
        </w:tc>
        <w:tc>
          <w:tcPr>
            <w:tcW w:type="dxa" w:w="8640"/>
            <w:vAlign w:val="top"/>
          </w:tcPr>
          <w:p>
            <w:r>
              <w:rPr>
                <w:sz w:val="16"/>
              </w:rPr>
              <w:t>Collect farm and practice data</w:t>
              <w:br/>
              <w:t>Estimate emissions and intervention impacts</w:t>
              <w:br/>
              <w:t>Track farmer programs and evidence</w:t>
              <w:br/>
              <w:t>Support product and supplier claims</w:t>
              <w:br/>
              <w:t>Prepare data for finance, nature, and MRV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Farm onboarding (app + offline sync) in local languages.</w:t>
              <w:br/>
              <w:t>Practice data: tillage, fertilizer, manure, cover crop, residue management, irrigation.</w:t>
              <w:br/>
              <w:t>Farm-level emissions and soil carbon modeling (DNDC, DayCent, empirical approaches).</w:t>
              <w:br/>
              <w:t>Remote sensing overlay (Sentinel-2, Planet) for ground-truthing.</w:t>
              <w:br/>
              <w:t>Brand-level Scope 3 C1 feed with farm-sourcing traceability.</w:t>
              <w:br/>
              <w:t>Regenerative-practice MRV for carbon credits.</w:t>
              <w:br/>
              <w:t>Co-operative administration: enrollment, payouts, farmer communications.</w:t>
              <w:br/>
              <w:t>Methane and nitrogen hooks to the sibling product.</w:t>
            </w:r>
          </w:p>
        </w:tc>
      </w:tr>
      <w:tr>
        <w:tc>
          <w:tcPr>
            <w:tcW w:type="dxa" w:w="3456"/>
            <w:vAlign w:val="top"/>
          </w:tcPr>
          <w:p>
            <w:r>
              <w:rPr>
                <w:sz w:val="16"/>
              </w:rPr>
              <w:t>In-scope product modules</w:t>
            </w:r>
          </w:p>
        </w:tc>
        <w:tc>
          <w:tcPr>
            <w:tcW w:type="dxa" w:w="8352"/>
            <w:vAlign w:val="top"/>
          </w:tcPr>
          <w:p>
            <w:r>
              <w:rPr>
                <w:sz w:val="16"/>
              </w:rPr>
              <w:t>farm/co-op registry</w:t>
              <w:br/>
              <w:t>crop/livestock activity data</w:t>
              <w:br/>
              <w:t>practice and intervention tracker</w:t>
              <w:br/>
              <w:t>emissions model</w:t>
              <w:br/>
              <w:t>field evidence capture</w:t>
              <w:br/>
              <w:t>farmer program dashboard</w:t>
              <w:br/>
              <w:t>aggregation and reporting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farm boundaries</w:t>
              <w:br/>
              <w:t>crop/livestock data</w:t>
              <w:br/>
              <w:t>inputs/fertilizer</w:t>
              <w:br/>
              <w:t>irrigation</w:t>
              <w:br/>
              <w:t>yield</w:t>
              <w:br/>
              <w:t>soil practices</w:t>
              <w:br/>
              <w:t>land-use history</w:t>
              <w:br/>
              <w:t>field photos</w:t>
              <w:br/>
              <w:t>remote-sensing indicators</w:t>
              <w:br/>
              <w:t>farmer program participation</w:t>
            </w:r>
          </w:p>
        </w:tc>
      </w:tr>
      <w:tr>
        <w:tc>
          <w:tcPr>
            <w:tcW w:type="dxa" w:w="3384"/>
            <w:vAlign w:val="top"/>
          </w:tcPr>
          <w:p>
            <w:r>
              <w:rPr>
                <w:sz w:val="16"/>
              </w:rPr>
              <w:t>External/product integrations</w:t>
            </w:r>
          </w:p>
        </w:tc>
        <w:tc>
          <w:tcPr>
            <w:tcW w:type="dxa" w:w="8496"/>
            <w:vAlign w:val="top"/>
          </w:tcPr>
          <w:p>
            <w:r>
              <w:rPr>
                <w:sz w:val="16"/>
              </w:rPr>
              <w:t>SupplierOS; PCF Studio; Methane &amp; Nitrogen Monitor; WaterOS; Nature/TNFD Hub; MRV Studio; mobile data collection tools</w:t>
            </w:r>
          </w:p>
        </w:tc>
      </w:tr>
      <w:tr>
        <w:tc>
          <w:tcPr>
            <w:tcW w:type="dxa" w:w="3384"/>
            <w:vAlign w:val="top"/>
          </w:tcPr>
          <w:p>
            <w:r>
              <w:rPr>
                <w:sz w:val="16"/>
              </w:rPr>
              <w:t>GreenLang dependencies</w:t>
            </w:r>
          </w:p>
        </w:tc>
        <w:tc>
          <w:tcPr>
            <w:tcW w:type="dxa" w:w="8496"/>
            <w:vAlign w:val="top"/>
          </w:tcPr>
          <w:p>
            <w:r>
              <w:rPr>
                <w:sz w:val="16"/>
              </w:rPr>
              <w:t>SupplierOS; Evidence Vault; Factors; Entity Graph; MRV Studio for project claims</w:t>
            </w:r>
          </w:p>
        </w:tc>
      </w:tr>
      <w:tr>
        <w:tc>
          <w:tcPr>
            <w:tcW w:type="dxa" w:w="3384"/>
            <w:vAlign w:val="top"/>
          </w:tcPr>
          <w:p>
            <w:r>
              <w:rPr>
                <w:sz w:val="16"/>
              </w:rPr>
              <w:t>Customer outputs and deliverables</w:t>
            </w:r>
          </w:p>
        </w:tc>
        <w:tc>
          <w:tcPr>
            <w:tcW w:type="dxa" w:w="8496"/>
            <w:vAlign w:val="top"/>
          </w:tcPr>
          <w:p>
            <w:r>
              <w:rPr>
                <w:sz w:val="16"/>
              </w:rPr>
              <w:t>farm/co-op emissions profile</w:t>
              <w:br/>
              <w:t>program impact report</w:t>
              <w:br/>
              <w:t>product-supply data pack</w:t>
              <w:br/>
              <w:t>farmer evidence pack</w:t>
              <w:br/>
              <w:t>intervention pipeline</w:t>
            </w:r>
          </w:p>
        </w:tc>
      </w:tr>
    </w:tbl>
    <w:p>
      <w:pPr>
        <w:pStyle w:val="Heading3"/>
      </w:pPr>
      <w:r>
        <w:t>AI and automation behavior</w:t>
      </w:r>
    </w:p>
    <w:p>
      <w:pPr>
        <w:pStyle w:val="ListBullet"/>
        <w:spacing w:after="20"/>
      </w:pPr>
      <w:r>
        <w:t>field-data quality checks</w:t>
      </w:r>
    </w:p>
    <w:p>
      <w:pPr>
        <w:pStyle w:val="ListBullet"/>
        <w:spacing w:after="20"/>
      </w:pPr>
      <w:r>
        <w:t>practice recommendation assistant</w:t>
      </w:r>
    </w:p>
    <w:p>
      <w:pPr>
        <w:pStyle w:val="ListBullet"/>
        <w:spacing w:after="20"/>
      </w:pPr>
      <w:r>
        <w:t>farmer outreach content</w:t>
      </w:r>
    </w:p>
    <w:p>
      <w:pPr>
        <w:pStyle w:val="ListBullet"/>
        <w:spacing w:after="20"/>
      </w:pPr>
      <w:r>
        <w:t>remote-sensing anomaly triage</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Rice + wheat + dairy; 2 design partners (1 brand + 1 co-op).</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Sugar + soybean + palm; remote-sensing overlay.</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Co-op admin tools; MRV Studio integration.</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Brand Scope 3 feed with traceability; GHG protocol-aligned.</w:t>
            </w:r>
          </w:p>
        </w:tc>
      </w:tr>
      <w:tr>
        <w:tc>
          <w:tcPr>
            <w:tcW w:type="dxa" w:w="1872"/>
            <w:vAlign w:val="top"/>
          </w:tcPr>
          <w:p>
            <w:r>
              <w:rPr>
                <w:sz w:val="16"/>
              </w:rPr>
              <w:t>v1.5</w:t>
            </w:r>
          </w:p>
        </w:tc>
        <w:tc>
          <w:tcPr>
            <w:tcW w:type="dxa" w:w="2304"/>
            <w:vAlign w:val="top"/>
          </w:tcPr>
          <w:p>
            <w:r>
              <w:rPr>
                <w:sz w:val="16"/>
              </w:rPr>
              <w:t>FY31 Q2</w:t>
            </w:r>
          </w:p>
        </w:tc>
        <w:tc>
          <w:tcPr>
            <w:tcW w:type="dxa" w:w="7776"/>
            <w:vAlign w:val="top"/>
          </w:tcPr>
          <w:p>
            <w:r>
              <w:rPr>
                <w:sz w:val="16"/>
              </w:rPr>
              <w:t>Water-use overlay (WaterOS); livestock + aquaculture modules.</w:t>
            </w:r>
          </w:p>
        </w:tc>
      </w:tr>
      <w:tr>
        <w:tc>
          <w:tcPr>
            <w:tcW w:type="dxa" w:w="1872"/>
            <w:vAlign w:val="top"/>
          </w:tcPr>
          <w:p>
            <w:r>
              <w:rPr>
                <w:sz w:val="16"/>
              </w:rPr>
              <w:t>v2.0</w:t>
            </w:r>
          </w:p>
        </w:tc>
        <w:tc>
          <w:tcPr>
            <w:tcW w:type="dxa" w:w="2304"/>
            <w:vAlign w:val="top"/>
          </w:tcPr>
          <w:p>
            <w:r>
              <w:rPr>
                <w:sz w:val="16"/>
              </w:rPr>
              <w:t>FY31 Q4</w:t>
            </w:r>
          </w:p>
        </w:tc>
        <w:tc>
          <w:tcPr>
            <w:tcW w:type="dxa" w:w="7776"/>
            <w:vAlign w:val="top"/>
          </w:tcPr>
          <w:p>
            <w:r>
              <w:rPr>
                <w:sz w:val="16"/>
              </w:rPr>
              <w:t>Nature-positive (biodiversity, pollinators) disclosures (links to Nature/TNFD Hub).</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only with strong anchor customer or consortium</w:t>
      </w:r>
    </w:p>
    <w:p>
      <w:pPr>
        <w:pStyle w:val="ListBullet"/>
        <w:spacing w:after="20"/>
      </w:pPr>
      <w:r>
        <w:t>Avoid overprecision in farm emissions</w:t>
      </w:r>
    </w:p>
    <w:p>
      <w:pPr>
        <w:pStyle w:val="ListBullet"/>
        <w:spacing w:after="20"/>
      </w:pPr>
      <w:r>
        <w:t>Mobile/offline data collection must be usable by field teams</w:t>
      </w:r>
    </w:p>
    <w:p>
      <w:pPr>
        <w:pStyle w:val="ListBullet"/>
        <w:spacing w:after="20"/>
      </w:pPr>
      <w:r>
        <w:t>GA requires field evidence and methodology governance</w:t>
      </w:r>
    </w:p>
    <w:p>
      <w:pPr>
        <w:pStyle w:val="Heading3"/>
      </w:pPr>
      <w:r>
        <w:t>Key risks to actively manage</w:t>
      </w:r>
    </w:p>
    <w:p>
      <w:pPr>
        <w:pStyle w:val="ListBullet"/>
        <w:spacing w:after="20"/>
      </w:pPr>
      <w:r>
        <w:t>farmer data burden</w:t>
      </w:r>
    </w:p>
    <w:p>
      <w:pPr>
        <w:pStyle w:val="ListBullet"/>
        <w:spacing w:after="20"/>
      </w:pPr>
      <w:r>
        <w:t>remote sensing limitations</w:t>
      </w:r>
    </w:p>
    <w:p>
      <w:pPr>
        <w:pStyle w:val="ListBullet"/>
        <w:spacing w:after="20"/>
      </w:pPr>
      <w:r>
        <w:t>methodology uncertainty</w:t>
      </w:r>
    </w:p>
    <w:p>
      <w:pPr>
        <w:pStyle w:val="ListBullet"/>
        <w:spacing w:after="20"/>
      </w:pPr>
      <w:r>
        <w:t>fragmented supply chains</w:t>
      </w:r>
    </w:p>
    <w:p>
      <w:pPr>
        <w:pStyle w:val="Heading3"/>
      </w:pPr>
      <w:r>
        <w:t>Success metrics</w:t>
      </w:r>
    </w:p>
    <w:p>
      <w:pPr>
        <w:pStyle w:val="ListBullet"/>
        <w:spacing w:after="20"/>
      </w:pPr>
      <w:r>
        <w:t>farms/co-ops onboarded</w:t>
      </w:r>
    </w:p>
    <w:p>
      <w:pPr>
        <w:pStyle w:val="ListBullet"/>
        <w:spacing w:after="20"/>
      </w:pPr>
      <w:r>
        <w:t>data completeness</w:t>
      </w:r>
    </w:p>
    <w:p>
      <w:pPr>
        <w:pStyle w:val="ListBullet"/>
        <w:spacing w:after="20"/>
      </w:pPr>
      <w:r>
        <w:t>intervention adoption</w:t>
      </w:r>
    </w:p>
    <w:p>
      <w:pPr>
        <w:pStyle w:val="ListBullet"/>
        <w:spacing w:after="20"/>
      </w:pPr>
      <w:r>
        <w:t>primary-data coverage</w:t>
      </w:r>
    </w:p>
    <w:p>
      <w:pPr>
        <w:pStyle w:val="ListBullet"/>
        <w:spacing w:after="20"/>
      </w:pPr>
      <w:r>
        <w:t>program renewal rate</w:t>
      </w:r>
    </w:p>
    <w:p>
      <w:pPr>
        <w:pStyle w:val="Heading3"/>
      </w:pPr>
      <w:r>
        <w:t>Dependency notes</w:t>
      </w:r>
    </w:p>
    <w:p>
      <w:pPr>
        <w:pStyle w:val="ListBullet"/>
        <w:spacing w:after="20"/>
      </w:pPr>
      <w:r>
        <w:t>Upstream: Factors, Ledger, Entity Graph.</w:t>
      </w:r>
    </w:p>
    <w:p>
      <w:pPr>
        <w:pStyle w:val="ListBullet"/>
        <w:spacing w:after="20"/>
      </w:pPr>
      <w:r>
        <w:t>Downstream: Scope Engine, MRV Studio, Carbon Markets Hub, Methane &amp; Nitrogen Monitor, Nature/TNFD Hub, WaterOS.</w:t>
      </w:r>
    </w:p>
    <w:p>
      <w:r>
        <w:br w:type="page"/>
      </w:r>
    </w:p>
    <w:p>
      <w:pPr>
        <w:pStyle w:val="Heading2"/>
      </w:pPr>
      <w:r>
        <w:t>25. GreenLang WaterOS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 xml:space="preserve">Land / Water / Nature / </w:t>
            </w:r>
          </w:p>
        </w:tc>
      </w:tr>
      <w:tr>
        <w:tc>
          <w:tcPr>
            <w:tcW w:type="dxa" w:w="2448"/>
            <w:vAlign w:val="top"/>
            <w:shd w:fill="EAF2F8"/>
          </w:tcPr>
          <w:p>
            <w:r>
              <w:rPr>
                <w:b/>
                <w:color w:val="1F4E79"/>
                <w:sz w:val="16"/>
              </w:rPr>
              <w:t>Primary buyer</w:t>
            </w:r>
          </w:p>
        </w:tc>
        <w:tc>
          <w:tcPr>
            <w:tcW w:type="dxa" w:w="8352"/>
            <w:vAlign w:val="top"/>
          </w:tcPr>
          <w:p>
            <w:r>
              <w:rPr>
                <w:sz w:val="16"/>
              </w:rPr>
              <w:t>Utilities, industrial water users, cities, campuses, agribusiness</w:t>
            </w:r>
          </w:p>
        </w:tc>
      </w:tr>
      <w:tr>
        <w:tc>
          <w:tcPr>
            <w:tcW w:type="dxa" w:w="2448"/>
            <w:vAlign w:val="top"/>
            <w:shd w:fill="EAF2F8"/>
          </w:tcPr>
          <w:p>
            <w:r>
              <w:rPr>
                <w:b/>
                <w:color w:val="1F4E79"/>
                <w:sz w:val="16"/>
              </w:rPr>
              <w:t>Revenue model</w:t>
            </w:r>
          </w:p>
        </w:tc>
        <w:tc>
          <w:tcPr>
            <w:tcW w:type="dxa" w:w="8352"/>
            <w:vAlign w:val="top"/>
          </w:tcPr>
          <w:p>
            <w:r>
              <w:rPr>
                <w:sz w:val="16"/>
              </w:rPr>
              <w:t>Subscription</w:t>
            </w:r>
          </w:p>
        </w:tc>
      </w:tr>
      <w:tr>
        <w:tc>
          <w:tcPr>
            <w:tcW w:type="dxa" w:w="2448"/>
            <w:vAlign w:val="top"/>
            <w:shd w:fill="EAF2F8"/>
          </w:tcPr>
          <w:p>
            <w:r>
              <w:rPr>
                <w:b/>
                <w:color w:val="1F4E79"/>
                <w:sz w:val="16"/>
              </w:rPr>
              <w:t>Definition</w:t>
            </w:r>
          </w:p>
        </w:tc>
        <w:tc>
          <w:tcPr>
            <w:tcW w:type="dxa" w:w="8352"/>
            <w:vAlign w:val="top"/>
          </w:tcPr>
          <w:p>
            <w:r>
              <w:rPr>
                <w:sz w:val="16"/>
              </w:rPr>
              <w:t>A water accounting, risk, efficiency, and resilience product for industrial, municipal, campus, and agricultural users. It connects water withdrawal, consumption, discharge, stress, cost, and adaptation actions to climate workflows.</w:t>
            </w:r>
          </w:p>
        </w:tc>
      </w:tr>
      <w:tr>
        <w:tc>
          <w:tcPr>
            <w:tcW w:type="dxa" w:w="2448"/>
            <w:vAlign w:val="top"/>
            <w:shd w:fill="EAF2F8"/>
          </w:tcPr>
          <w:p>
            <w:r>
              <w:rPr>
                <w:b/>
                <w:color w:val="1F4E79"/>
                <w:sz w:val="16"/>
              </w:rPr>
              <w:t>Strategic role</w:t>
            </w:r>
          </w:p>
        </w:tc>
        <w:tc>
          <w:tcPr>
            <w:tcW w:type="dxa" w:w="8352"/>
            <w:vAlign w:val="top"/>
          </w:tcPr>
          <w:p>
            <w:r>
              <w:rPr>
                <w:sz w:val="16"/>
              </w:rPr>
              <w:t>WaterOS makes GreenLang relevant for adaptation, cities, industrial resilience, agrifood, and infrastructure finance where water risk is often as material as carbon.</w:t>
            </w:r>
          </w:p>
        </w:tc>
      </w:tr>
      <w:tr>
        <w:tc>
          <w:tcPr>
            <w:tcW w:type="dxa" w:w="2448"/>
            <w:vAlign w:val="top"/>
            <w:shd w:fill="EAF2F8"/>
          </w:tcPr>
          <w:p>
            <w:r>
              <w:rPr>
                <w:b/>
                <w:color w:val="1F4E79"/>
                <w:sz w:val="16"/>
              </w:rPr>
              <w:t>Pricing / packaging logic</w:t>
            </w:r>
          </w:p>
        </w:tc>
        <w:tc>
          <w:tcPr>
            <w:tcW w:type="dxa" w:w="8352"/>
            <w:vAlign w:val="top"/>
          </w:tcPr>
          <w:p>
            <w:r>
              <w:rPr>
                <w:sz w:val="16"/>
              </w:rPr>
              <w:t>Subscription by site/utility/city portfolio; premium risk datasets and adaptation project planning modules.</w:t>
            </w:r>
          </w:p>
        </w:tc>
      </w:tr>
    </w:tbl>
    <w:p>
      <w:pPr>
        <w:pStyle w:val="Heading3"/>
      </w:pPr>
      <w:r>
        <w:t>CTO final pathway</w:t>
      </w:r>
    </w:p>
    <w:p>
      <w:pPr>
        <w:spacing w:after="80"/>
      </w:pPr>
      <w:r>
        <w:t>Build GreenLang WaterOS as a modular product on the shared substrate. The release target is FY30; GA is gated for FY30 Q4. Start where water data access is reliable GA requires clear boundary between water accounting and regulatory compliance</w:t>
      </w:r>
    </w:p>
    <w:p>
      <w:pPr>
        <w:pStyle w:val="Heading3"/>
      </w:pPr>
      <w:r>
        <w:t>Why it exists</w:t>
      </w:r>
    </w:p>
    <w:p>
      <w:pPr>
        <w:spacing w:after="80"/>
      </w:pPr>
      <w:r>
        <w:t>Water stress is a first-order operational and disclosure risk. CDP Water, CSRD E3, TNFD, India CGWA, and every city's water plan demand data. Today water data lives in SCADA, municipal systems, and spreadsheets.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water utility teams</w:t>
              <w:br/>
              <w:t>industrial EHS teams</w:t>
              <w:br/>
              <w:t>facility managers</w:t>
              <w:br/>
              <w:t>city resilience teams</w:t>
              <w:br/>
              <w:t>agribusiness teams</w:t>
              <w:br/>
              <w:t>finance/risk teams</w:t>
            </w:r>
          </w:p>
        </w:tc>
      </w:tr>
      <w:tr>
        <w:tc>
          <w:tcPr>
            <w:tcW w:type="dxa" w:w="3024"/>
            <w:vAlign w:val="top"/>
          </w:tcPr>
          <w:p>
            <w:r>
              <w:rPr>
                <w:sz w:val="16"/>
              </w:rPr>
              <w:t>Jobs to be done</w:t>
            </w:r>
          </w:p>
        </w:tc>
        <w:tc>
          <w:tcPr>
            <w:tcW w:type="dxa" w:w="8640"/>
            <w:vAlign w:val="top"/>
          </w:tcPr>
          <w:p>
            <w:r>
              <w:rPr>
                <w:sz w:val="16"/>
              </w:rPr>
              <w:t>Track water use, discharge, and costs</w:t>
              <w:br/>
              <w:t>Assess site water stress and risk</w:t>
              <w:br/>
              <w:t>Identify efficiency and reuse projects</w:t>
              <w:br/>
              <w:t>Monitor water-related evidence and compliance tasks</w:t>
              <w:br/>
              <w:t>Feed adaptation, risk, and finance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Water withdrawal, consumption, discharge tracking by source (surface, ground, municipal, recycled).</w:t>
              <w:br/>
              <w:t>Basin-level stress overlays (WRI Aqueduct, local hydrological data).</w:t>
              <w:br/>
              <w:t>Quality tracking (BOD, COD, TDS, metals) with regulatory thresholds.</w:t>
              <w:br/>
              <w:t>CSRD E3, CDP Water, TNFD water disclosures.</w:t>
              <w:br/>
              <w:t>Recycled-water and ZLD planning.</w:t>
              <w:br/>
              <w:t>Water-positive pathway modeling.</w:t>
            </w:r>
          </w:p>
        </w:tc>
      </w:tr>
      <w:tr>
        <w:tc>
          <w:tcPr>
            <w:tcW w:type="dxa" w:w="3456"/>
            <w:vAlign w:val="top"/>
          </w:tcPr>
          <w:p>
            <w:r>
              <w:rPr>
                <w:sz w:val="16"/>
              </w:rPr>
              <w:t>In-scope product modules</w:t>
            </w:r>
          </w:p>
        </w:tc>
        <w:tc>
          <w:tcPr>
            <w:tcW w:type="dxa" w:w="8352"/>
            <w:vAlign w:val="top"/>
          </w:tcPr>
          <w:p>
            <w:r>
              <w:rPr>
                <w:sz w:val="16"/>
              </w:rPr>
              <w:t>water data model</w:t>
              <w:br/>
              <w:t>site water accounting</w:t>
              <w:br/>
              <w:t>risk overlay</w:t>
              <w:br/>
              <w:t>efficiency project tracker</w:t>
              <w:br/>
              <w:t>discharge/reuse module</w:t>
              <w:br/>
              <w:t>scenario planning</w:t>
              <w:br/>
              <w:t>evidence and reporting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meter data</w:t>
              <w:br/>
              <w:t>withdrawal/consumption/discharge</w:t>
              <w:br/>
              <w:t>water source</w:t>
              <w:br/>
              <w:t>tariffs</w:t>
              <w:br/>
              <w:t>quality indicators</w:t>
              <w:br/>
              <w:t>site geolocation</w:t>
              <w:br/>
              <w:t>basin/stress datasets</w:t>
              <w:br/>
              <w:t>project costs</w:t>
              <w:br/>
              <w:t>evidence</w:t>
            </w:r>
          </w:p>
        </w:tc>
      </w:tr>
      <w:tr>
        <w:tc>
          <w:tcPr>
            <w:tcW w:type="dxa" w:w="3384"/>
            <w:vAlign w:val="top"/>
          </w:tcPr>
          <w:p>
            <w:r>
              <w:rPr>
                <w:sz w:val="16"/>
              </w:rPr>
              <w:t>External/product integrations</w:t>
            </w:r>
          </w:p>
        </w:tc>
        <w:tc>
          <w:tcPr>
            <w:tcW w:type="dxa" w:w="8496"/>
            <w:vAlign w:val="top"/>
          </w:tcPr>
          <w:p>
            <w:r>
              <w:rPr>
                <w:sz w:val="16"/>
              </w:rPr>
              <w:t>BuildingOS; PlantOS; RiskOS; Adaptation Planner; CityOS; AgriLandOS; Connect; external water-risk datasets</w:t>
            </w:r>
          </w:p>
        </w:tc>
      </w:tr>
      <w:tr>
        <w:tc>
          <w:tcPr>
            <w:tcW w:type="dxa" w:w="3384"/>
            <w:vAlign w:val="top"/>
          </w:tcPr>
          <w:p>
            <w:r>
              <w:rPr>
                <w:sz w:val="16"/>
              </w:rPr>
              <w:t>GreenLang dependencies</w:t>
            </w:r>
          </w:p>
        </w:tc>
        <w:tc>
          <w:tcPr>
            <w:tcW w:type="dxa" w:w="8496"/>
            <w:vAlign w:val="top"/>
          </w:tcPr>
          <w:p>
            <w:r>
              <w:rPr>
                <w:sz w:val="16"/>
              </w:rPr>
              <w:t>Entity Graph; Connect; Evidence Vault; RiskOS for risk overlays</w:t>
            </w:r>
          </w:p>
        </w:tc>
      </w:tr>
      <w:tr>
        <w:tc>
          <w:tcPr>
            <w:tcW w:type="dxa" w:w="3384"/>
            <w:vAlign w:val="top"/>
          </w:tcPr>
          <w:p>
            <w:r>
              <w:rPr>
                <w:sz w:val="16"/>
              </w:rPr>
              <w:t>Customer outputs and deliverables</w:t>
            </w:r>
          </w:p>
        </w:tc>
        <w:tc>
          <w:tcPr>
            <w:tcW w:type="dxa" w:w="8496"/>
            <w:vAlign w:val="top"/>
          </w:tcPr>
          <w:p>
            <w:r>
              <w:rPr>
                <w:sz w:val="16"/>
              </w:rPr>
              <w:t>site water dashboard</w:t>
              <w:br/>
              <w:t>water-risk report</w:t>
              <w:br/>
              <w:t>efficiency pipeline</w:t>
              <w:br/>
              <w:t>resilience scenario</w:t>
              <w:br/>
              <w:t>water evidence pack</w:t>
              <w:br/>
              <w:t>finance-ready project summary</w:t>
            </w:r>
          </w:p>
        </w:tc>
      </w:tr>
    </w:tbl>
    <w:p>
      <w:pPr>
        <w:pStyle w:val="Heading3"/>
      </w:pPr>
      <w:r>
        <w:t>AI and automation behavior</w:t>
      </w:r>
    </w:p>
    <w:p>
      <w:pPr>
        <w:pStyle w:val="ListBullet"/>
        <w:spacing w:after="20"/>
      </w:pPr>
      <w:r>
        <w:t>water anomaly detection</w:t>
      </w:r>
    </w:p>
    <w:p>
      <w:pPr>
        <w:pStyle w:val="ListBullet"/>
        <w:spacing w:after="20"/>
      </w:pPr>
      <w:r>
        <w:t>efficiency recommendation</w:t>
      </w:r>
    </w:p>
    <w:p>
      <w:pPr>
        <w:pStyle w:val="ListBullet"/>
        <w:spacing w:after="20"/>
      </w:pPr>
      <w:r>
        <w:t>risk explanation assistant</w:t>
      </w:r>
    </w:p>
    <w:p>
      <w:pPr>
        <w:pStyle w:val="ListBullet"/>
        <w:spacing w:after="20"/>
      </w:pPr>
      <w:r>
        <w:t>project prioritization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Withdrawal + consumption tracking; 2 design-partner industrial sites.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Stress overlays; quality tracking.</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CDP Water + CSRD E3 exports.</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ZLD planning; recycled-water economics.</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Utility-side module (distribution loss, leak ML).</w:t>
            </w:r>
          </w:p>
        </w:tc>
      </w:tr>
      <w:tr>
        <w:tc>
          <w:tcPr>
            <w:tcW w:type="dxa" w:w="1872"/>
            <w:vAlign w:val="top"/>
          </w:tcPr>
          <w:p>
            <w:r>
              <w:rPr>
                <w:sz w:val="16"/>
              </w:rPr>
              <w:t>v2.0</w:t>
            </w:r>
          </w:p>
        </w:tc>
        <w:tc>
          <w:tcPr>
            <w:tcW w:type="dxa" w:w="2304"/>
            <w:vAlign w:val="top"/>
          </w:tcPr>
          <w:p>
            <w:r>
              <w:rPr>
                <w:sz w:val="16"/>
              </w:rPr>
              <w:t>FY31 Q4</w:t>
            </w:r>
          </w:p>
        </w:tc>
        <w:tc>
          <w:tcPr>
            <w:tcW w:type="dxa" w:w="7776"/>
            <w:vAlign w:val="top"/>
          </w:tcPr>
          <w:p>
            <w:r>
              <w:rPr>
                <w:sz w:val="16"/>
              </w:rPr>
              <w:t>Basin-level collective-action tooling across multiple companies + city + utility.</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Start where water data access is reliable</w:t>
      </w:r>
    </w:p>
    <w:p>
      <w:pPr>
        <w:pStyle w:val="ListBullet"/>
        <w:spacing w:after="20"/>
      </w:pPr>
      <w:r>
        <w:t>GA requires clear boundary between water accounting and regulatory compliance</w:t>
      </w:r>
    </w:p>
    <w:p>
      <w:pPr>
        <w:pStyle w:val="ListBullet"/>
        <w:spacing w:after="20"/>
      </w:pPr>
      <w:r>
        <w:t>Risk overlays must cite source/version</w:t>
      </w:r>
    </w:p>
    <w:p>
      <w:pPr>
        <w:pStyle w:val="ListBullet"/>
        <w:spacing w:after="20"/>
      </w:pPr>
      <w:r>
        <w:t>Avoid promising hydrological modeling beyond product scope</w:t>
      </w:r>
    </w:p>
    <w:p>
      <w:pPr>
        <w:pStyle w:val="Heading3"/>
      </w:pPr>
      <w:r>
        <w:t>Key risks to actively manage</w:t>
      </w:r>
    </w:p>
    <w:p>
      <w:pPr>
        <w:pStyle w:val="ListBullet"/>
        <w:spacing w:after="20"/>
      </w:pPr>
      <w:r>
        <w:t>regional data gaps</w:t>
      </w:r>
    </w:p>
    <w:p>
      <w:pPr>
        <w:pStyle w:val="ListBullet"/>
        <w:spacing w:after="20"/>
      </w:pPr>
      <w:r>
        <w:t>complex water rights/regulation</w:t>
      </w:r>
    </w:p>
    <w:p>
      <w:pPr>
        <w:pStyle w:val="ListBullet"/>
        <w:spacing w:after="20"/>
      </w:pPr>
      <w:r>
        <w:t>quality data uncertainty</w:t>
      </w:r>
    </w:p>
    <w:p>
      <w:pPr>
        <w:pStyle w:val="ListBullet"/>
        <w:spacing w:after="20"/>
      </w:pPr>
      <w:r>
        <w:t>integration burden</w:t>
      </w:r>
    </w:p>
    <w:p>
      <w:pPr>
        <w:pStyle w:val="Heading3"/>
      </w:pPr>
      <w:r>
        <w:t>Success metrics</w:t>
      </w:r>
    </w:p>
    <w:p>
      <w:pPr>
        <w:pStyle w:val="ListBullet"/>
        <w:spacing w:after="20"/>
      </w:pPr>
      <w:r>
        <w:t>sites under water management</w:t>
      </w:r>
    </w:p>
    <w:p>
      <w:pPr>
        <w:pStyle w:val="ListBullet"/>
        <w:spacing w:after="20"/>
      </w:pPr>
      <w:r>
        <w:t>meter-data completeness</w:t>
      </w:r>
    </w:p>
    <w:p>
      <w:pPr>
        <w:pStyle w:val="ListBullet"/>
        <w:spacing w:after="20"/>
      </w:pPr>
      <w:r>
        <w:t>risk assessments run</w:t>
      </w:r>
    </w:p>
    <w:p>
      <w:pPr>
        <w:pStyle w:val="ListBullet"/>
        <w:spacing w:after="20"/>
      </w:pPr>
      <w:r>
        <w:t>efficiency projects created</w:t>
      </w:r>
    </w:p>
    <w:p>
      <w:pPr>
        <w:pStyle w:val="ListBullet"/>
        <w:spacing w:after="20"/>
      </w:pPr>
      <w:r>
        <w:t>water savings tracked</w:t>
      </w:r>
    </w:p>
    <w:p>
      <w:pPr>
        <w:pStyle w:val="Heading3"/>
      </w:pPr>
      <w:r>
        <w:t>Dependency notes</w:t>
      </w:r>
    </w:p>
    <w:p>
      <w:pPr>
        <w:pStyle w:val="ListBullet"/>
        <w:spacing w:after="20"/>
      </w:pPr>
      <w:r>
        <w:t>Upstream: Connect, Ledger, Factors.</w:t>
      </w:r>
    </w:p>
    <w:p>
      <w:pPr>
        <w:pStyle w:val="ListBullet"/>
        <w:spacing w:after="20"/>
      </w:pPr>
      <w:r>
        <w:t>Downstream: Comply, DataCenter CarbonOps, PlantOS, AgriLandOS, Nature/TNFD Hub.</w:t>
      </w:r>
    </w:p>
    <w:p>
      <w:r>
        <w:br w:type="page"/>
      </w:r>
    </w:p>
    <w:p>
      <w:pPr>
        <w:pStyle w:val="Heading2"/>
      </w:pPr>
      <w:r>
        <w:t>26. GreenLang Methane &amp; Nitrogen Monitor</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 xml:space="preserve">Land / Water / Nature / </w:t>
            </w:r>
          </w:p>
        </w:tc>
      </w:tr>
      <w:tr>
        <w:tc>
          <w:tcPr>
            <w:tcW w:type="dxa" w:w="2448"/>
            <w:vAlign w:val="top"/>
            <w:shd w:fill="EAF2F8"/>
          </w:tcPr>
          <w:p>
            <w:r>
              <w:rPr>
                <w:b/>
                <w:color w:val="1F4E79"/>
                <w:sz w:val="16"/>
              </w:rPr>
              <w:t>Primary buyer</w:t>
            </w:r>
          </w:p>
        </w:tc>
        <w:tc>
          <w:tcPr>
            <w:tcW w:type="dxa" w:w="8352"/>
            <w:vAlign w:val="top"/>
          </w:tcPr>
          <w:p>
            <w:r>
              <w:rPr>
                <w:sz w:val="16"/>
              </w:rPr>
              <w:t>Agrifood, oil &amp; gas, waste operators, industrial sites, public-sector programs</w:t>
            </w:r>
          </w:p>
        </w:tc>
      </w:tr>
      <w:tr>
        <w:tc>
          <w:tcPr>
            <w:tcW w:type="dxa" w:w="2448"/>
            <w:vAlign w:val="top"/>
            <w:shd w:fill="EAF2F8"/>
          </w:tcPr>
          <w:p>
            <w:r>
              <w:rPr>
                <w:b/>
                <w:color w:val="1F4E79"/>
                <w:sz w:val="16"/>
              </w:rPr>
              <w:t>Revenue model</w:t>
            </w:r>
          </w:p>
        </w:tc>
        <w:tc>
          <w:tcPr>
            <w:tcW w:type="dxa" w:w="8352"/>
            <w:vAlign w:val="top"/>
          </w:tcPr>
          <w:p>
            <w:r>
              <w:rPr>
                <w:sz w:val="16"/>
              </w:rPr>
              <w:t>Subscription</w:t>
            </w:r>
          </w:p>
        </w:tc>
      </w:tr>
      <w:tr>
        <w:tc>
          <w:tcPr>
            <w:tcW w:type="dxa" w:w="2448"/>
            <w:vAlign w:val="top"/>
            <w:shd w:fill="EAF2F8"/>
          </w:tcPr>
          <w:p>
            <w:r>
              <w:rPr>
                <w:b/>
                <w:color w:val="1F4E79"/>
                <w:sz w:val="16"/>
              </w:rPr>
              <w:t>Definition</w:t>
            </w:r>
          </w:p>
        </w:tc>
        <w:tc>
          <w:tcPr>
            <w:tcW w:type="dxa" w:w="8352"/>
            <w:vAlign w:val="top"/>
          </w:tcPr>
          <w:p>
            <w:r>
              <w:rPr>
                <w:sz w:val="16"/>
              </w:rPr>
              <w:t>A monitoring and mitigation workflow for methane and nitrogen-related emissions, covering source identification, measurement data, estimation models, mitigation actions, evidence, and program reporting.</w:t>
            </w:r>
          </w:p>
        </w:tc>
      </w:tr>
      <w:tr>
        <w:tc>
          <w:tcPr>
            <w:tcW w:type="dxa" w:w="2448"/>
            <w:vAlign w:val="top"/>
            <w:shd w:fill="EAF2F8"/>
          </w:tcPr>
          <w:p>
            <w:r>
              <w:rPr>
                <w:b/>
                <w:color w:val="1F4E79"/>
                <w:sz w:val="16"/>
              </w:rPr>
              <w:t>Strategic role</w:t>
            </w:r>
          </w:p>
        </w:tc>
        <w:tc>
          <w:tcPr>
            <w:tcW w:type="dxa" w:w="8352"/>
            <w:vAlign w:val="top"/>
          </w:tcPr>
          <w:p>
            <w:r>
              <w:rPr>
                <w:sz w:val="16"/>
              </w:rPr>
              <w:t>This product targets high-impact non-CO2 emissions where specialized workflows create differentiation and connect to agrifood, waste, O&amp;G, MRV, and public-sector programs.</w:t>
            </w:r>
          </w:p>
        </w:tc>
      </w:tr>
      <w:tr>
        <w:tc>
          <w:tcPr>
            <w:tcW w:type="dxa" w:w="2448"/>
            <w:vAlign w:val="top"/>
            <w:shd w:fill="EAF2F8"/>
          </w:tcPr>
          <w:p>
            <w:r>
              <w:rPr>
                <w:b/>
                <w:color w:val="1F4E79"/>
                <w:sz w:val="16"/>
              </w:rPr>
              <w:t>Pricing / packaging logic</w:t>
            </w:r>
          </w:p>
        </w:tc>
        <w:tc>
          <w:tcPr>
            <w:tcW w:type="dxa" w:w="8352"/>
            <w:vAlign w:val="top"/>
          </w:tcPr>
          <w:p>
            <w:r>
              <w:rPr>
                <w:sz w:val="16"/>
              </w:rPr>
              <w:t>Subscription by site/program/source count with premium data integrations for sensors/remote sensing and MRV packaging.</w:t>
            </w:r>
          </w:p>
        </w:tc>
      </w:tr>
    </w:tbl>
    <w:p>
      <w:pPr>
        <w:pStyle w:val="Heading3"/>
      </w:pPr>
      <w:r>
        <w:t>CTO final pathway</w:t>
      </w:r>
    </w:p>
    <w:p>
      <w:pPr>
        <w:spacing w:after="80"/>
      </w:pPr>
      <w:r>
        <w:t>Build GreenLang Methane &amp; Nitrogen Monitor as a modular product on the shared substrate. The release target is FY30; GA is gated for FY30 Q4. Launch only with specialized methodology support GA requires source-specific method transparency</w:t>
      </w:r>
    </w:p>
    <w:p>
      <w:pPr>
        <w:pStyle w:val="Heading3"/>
      </w:pPr>
      <w:r>
        <w:t>Why it exists</w:t>
      </w:r>
    </w:p>
    <w:p>
      <w:pPr>
        <w:spacing w:after="80"/>
      </w:pPr>
      <w:r>
        <w:t>Methane and nitrous oxide are short-lived, high-impact GHGs with the biggest regulatory momentum. EU Methane Regulation, US EPA enforcement, OGMP 2.0, and India's CCTS sector expansion are driving measurement mandates. Today this is done with sporadic field surveys and satellite data with no workflow layer.</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agrifood sustainability teams</w:t>
              <w:br/>
              <w:t>waste operators</w:t>
              <w:br/>
              <w:t>O&amp;G emissions teams</w:t>
              <w:br/>
              <w:t>public-sector program managers</w:t>
              <w:br/>
              <w:t>field teams</w:t>
              <w:br/>
              <w:t>verifiers</w:t>
            </w:r>
          </w:p>
        </w:tc>
      </w:tr>
      <w:tr>
        <w:tc>
          <w:tcPr>
            <w:tcW w:type="dxa" w:w="3024"/>
            <w:vAlign w:val="top"/>
          </w:tcPr>
          <w:p>
            <w:r>
              <w:rPr>
                <w:sz w:val="16"/>
              </w:rPr>
              <w:t>Jobs to be done</w:t>
            </w:r>
          </w:p>
        </w:tc>
        <w:tc>
          <w:tcPr>
            <w:tcW w:type="dxa" w:w="8640"/>
            <w:vAlign w:val="top"/>
          </w:tcPr>
          <w:p>
            <w:r>
              <w:rPr>
                <w:sz w:val="16"/>
              </w:rPr>
              <w:t>Identify methane/nitrogen sources and baselines</w:t>
              <w:br/>
              <w:t>Collect measurement and activity data</w:t>
              <w:br/>
              <w:t>Track mitigation actions and performance</w:t>
              <w:br/>
              <w:t>Prepare evidence for programs/MRV/reporting</w:t>
              <w:br/>
              <w:t>Prioritize high-impact interventions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Site-level CH4/N2O inventories by source category.</w:t>
              <w:br/>
              <w:t>Integration with continuous monitoring devices (Project Canary, SeekOps, Kairos, etc.) and satellites (MethaneSAT, GHGSat, Sentinel-5P).</w:t>
              <w:br/>
              <w:t>OGMP 2.0 level 3-5 reporting.</w:t>
              <w:br/>
              <w:t>Mitigation catalog with marginal abatement cost curves.</w:t>
              <w:br/>
              <w:t>Leak-detection triage workflow.</w:t>
              <w:br/>
              <w:t>N2O management for agricultural fertilizer application.</w:t>
              <w:br/>
              <w:t>Credit-project eligibility scoring (links to MRV Studio).</w:t>
            </w:r>
          </w:p>
        </w:tc>
      </w:tr>
      <w:tr>
        <w:tc>
          <w:tcPr>
            <w:tcW w:type="dxa" w:w="3456"/>
            <w:vAlign w:val="top"/>
          </w:tcPr>
          <w:p>
            <w:r>
              <w:rPr>
                <w:sz w:val="16"/>
              </w:rPr>
              <w:t>In-scope product modules</w:t>
            </w:r>
          </w:p>
        </w:tc>
        <w:tc>
          <w:tcPr>
            <w:tcW w:type="dxa" w:w="8352"/>
            <w:vAlign w:val="top"/>
          </w:tcPr>
          <w:p>
            <w:r>
              <w:rPr>
                <w:sz w:val="16"/>
              </w:rPr>
              <w:t>source registry</w:t>
              <w:br/>
              <w:t>measurement ingestion</w:t>
              <w:br/>
              <w:t>estimation and factor model</w:t>
              <w:br/>
              <w:t>mitigation action tracker</w:t>
              <w:br/>
              <w:t>remote-sensing/field evidence workflow</w:t>
              <w:br/>
              <w:t>program reporting</w:t>
              <w:br/>
              <w:t>MRV handoff</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source types</w:t>
              <w:br/>
              <w:t>activity data</w:t>
              <w:br/>
              <w:t>measurement records</w:t>
              <w:br/>
              <w:t>remote-sensing indicators</w:t>
              <w:br/>
              <w:t>field inspections</w:t>
              <w:br/>
              <w:t>equipment/practice data</w:t>
              <w:br/>
              <w:t>emission factors</w:t>
              <w:br/>
              <w:t>mitigation costs</w:t>
              <w:br/>
              <w:t>evidence</w:t>
            </w:r>
          </w:p>
        </w:tc>
      </w:tr>
      <w:tr>
        <w:tc>
          <w:tcPr>
            <w:tcW w:type="dxa" w:w="3384"/>
            <w:vAlign w:val="top"/>
          </w:tcPr>
          <w:p>
            <w:r>
              <w:rPr>
                <w:sz w:val="16"/>
              </w:rPr>
              <w:t>External/product integrations</w:t>
            </w:r>
          </w:p>
        </w:tc>
        <w:tc>
          <w:tcPr>
            <w:tcW w:type="dxa" w:w="8496"/>
            <w:vAlign w:val="top"/>
          </w:tcPr>
          <w:p>
            <w:r>
              <w:rPr>
                <w:sz w:val="16"/>
              </w:rPr>
              <w:t>AgriLandOS; WaterOS; MRV Studio; RiskOS; Evidence Vault; sensor/remote-sensing providers; waste/industrial systems</w:t>
            </w:r>
          </w:p>
        </w:tc>
      </w:tr>
      <w:tr>
        <w:tc>
          <w:tcPr>
            <w:tcW w:type="dxa" w:w="3384"/>
            <w:vAlign w:val="top"/>
          </w:tcPr>
          <w:p>
            <w:r>
              <w:rPr>
                <w:sz w:val="16"/>
              </w:rPr>
              <w:t>GreenLang dependencies</w:t>
            </w:r>
          </w:p>
        </w:tc>
        <w:tc>
          <w:tcPr>
            <w:tcW w:type="dxa" w:w="8496"/>
            <w:vAlign w:val="top"/>
          </w:tcPr>
          <w:p>
            <w:r>
              <w:rPr>
                <w:sz w:val="16"/>
              </w:rPr>
              <w:t>Evidence Vault; Factors; MRV Studio for project claims; AgriLandOS or waste/O&amp;G design partners</w:t>
            </w:r>
          </w:p>
        </w:tc>
      </w:tr>
      <w:tr>
        <w:tc>
          <w:tcPr>
            <w:tcW w:type="dxa" w:w="3384"/>
            <w:vAlign w:val="top"/>
          </w:tcPr>
          <w:p>
            <w:r>
              <w:rPr>
                <w:sz w:val="16"/>
              </w:rPr>
              <w:t>Customer outputs and deliverables</w:t>
            </w:r>
          </w:p>
        </w:tc>
        <w:tc>
          <w:tcPr>
            <w:tcW w:type="dxa" w:w="8496"/>
            <w:vAlign w:val="top"/>
          </w:tcPr>
          <w:p>
            <w:r>
              <w:rPr>
                <w:sz w:val="16"/>
              </w:rPr>
              <w:t>source inventory</w:t>
              <w:br/>
              <w:t>mitigation pipeline</w:t>
              <w:br/>
              <w:t>measurement report</w:t>
              <w:br/>
              <w:t>MRV evidence pack</w:t>
              <w:br/>
              <w:t>program dashboard</w:t>
              <w:br/>
              <w:t>impact estimate</w:t>
            </w:r>
          </w:p>
        </w:tc>
      </w:tr>
    </w:tbl>
    <w:p>
      <w:pPr>
        <w:pStyle w:val="Heading3"/>
      </w:pPr>
      <w:r>
        <w:t>AI and automation behavior</w:t>
      </w:r>
    </w:p>
    <w:p>
      <w:pPr>
        <w:pStyle w:val="ListBullet"/>
        <w:spacing w:after="20"/>
      </w:pPr>
      <w:r>
        <w:t>source anomaly triage</w:t>
      </w:r>
    </w:p>
    <w:p>
      <w:pPr>
        <w:pStyle w:val="ListBullet"/>
        <w:spacing w:after="20"/>
      </w:pPr>
      <w:r>
        <w:t>mitigation prioritization</w:t>
      </w:r>
    </w:p>
    <w:p>
      <w:pPr>
        <w:pStyle w:val="ListBullet"/>
        <w:spacing w:after="20"/>
      </w:pPr>
      <w:r>
        <w:t>field-inspection planning</w:t>
      </w:r>
    </w:p>
    <w:p>
      <w:pPr>
        <w:pStyle w:val="ListBullet"/>
        <w:spacing w:after="20"/>
      </w:pPr>
      <w:r>
        <w:t>measurement-data quality checks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O&amp;G midstream + landfill CH4; 2 design partners.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Dairy + rice paddy; satellite integration (Sentinel-5P, MethaneSAT).</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OGMP 2.0 L3-L5 reporting; leak-detection triage.</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N2O management; MAC curves.</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Wastewater module; insurer integration for parametric products.</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only with specialized methodology support</w:t>
      </w:r>
    </w:p>
    <w:p>
      <w:pPr>
        <w:pStyle w:val="ListBullet"/>
        <w:spacing w:after="20"/>
      </w:pPr>
      <w:r>
        <w:t>GA requires source-specific method transparency</w:t>
      </w:r>
    </w:p>
    <w:p>
      <w:pPr>
        <w:pStyle w:val="ListBullet"/>
        <w:spacing w:after="20"/>
      </w:pPr>
      <w:r>
        <w:t>Do not claim credit-grade reductions without MRV Studio and verifier review</w:t>
      </w:r>
    </w:p>
    <w:p>
      <w:pPr>
        <w:pStyle w:val="ListBullet"/>
        <w:spacing w:after="20"/>
      </w:pPr>
      <w:r>
        <w:t>Sensor partner integration must be validated</w:t>
      </w:r>
    </w:p>
    <w:p>
      <w:pPr>
        <w:pStyle w:val="Heading3"/>
      </w:pPr>
      <w:r>
        <w:t>Key risks to actively manage</w:t>
      </w:r>
    </w:p>
    <w:p>
      <w:pPr>
        <w:pStyle w:val="ListBullet"/>
        <w:spacing w:after="20"/>
      </w:pPr>
      <w:r>
        <w:t>measurement uncertainty</w:t>
      </w:r>
    </w:p>
    <w:p>
      <w:pPr>
        <w:pStyle w:val="ListBullet"/>
        <w:spacing w:after="20"/>
      </w:pPr>
      <w:r>
        <w:t>methodology controversies</w:t>
      </w:r>
    </w:p>
    <w:p>
      <w:pPr>
        <w:pStyle w:val="ListBullet"/>
        <w:spacing w:after="20"/>
      </w:pPr>
      <w:r>
        <w:t>sensor false positives/negatives</w:t>
      </w:r>
    </w:p>
    <w:p>
      <w:pPr>
        <w:pStyle w:val="ListBullet"/>
        <w:spacing w:after="20"/>
      </w:pPr>
      <w:r>
        <w:t>specialized domain complexity</w:t>
      </w:r>
    </w:p>
    <w:p>
      <w:pPr>
        <w:pStyle w:val="Heading3"/>
      </w:pPr>
      <w:r>
        <w:t>Success metrics</w:t>
      </w:r>
    </w:p>
    <w:p>
      <w:pPr>
        <w:pStyle w:val="ListBullet"/>
        <w:spacing w:after="20"/>
      </w:pPr>
      <w:r>
        <w:t>sources monitored</w:t>
      </w:r>
    </w:p>
    <w:p>
      <w:pPr>
        <w:pStyle w:val="ListBullet"/>
        <w:spacing w:after="20"/>
      </w:pPr>
      <w:r>
        <w:t>mitigation actions tracked</w:t>
      </w:r>
    </w:p>
    <w:p>
      <w:pPr>
        <w:pStyle w:val="ListBullet"/>
        <w:spacing w:after="20"/>
      </w:pPr>
      <w:r>
        <w:t>measurement data coverage</w:t>
      </w:r>
    </w:p>
    <w:p>
      <w:pPr>
        <w:pStyle w:val="ListBullet"/>
        <w:spacing w:after="20"/>
      </w:pPr>
      <w:r>
        <w:t>estimated reduction pipeline</w:t>
      </w:r>
    </w:p>
    <w:p>
      <w:pPr>
        <w:pStyle w:val="ListBullet"/>
        <w:spacing w:after="20"/>
      </w:pPr>
      <w:r>
        <w:t>verifier acceptance</w:t>
      </w:r>
    </w:p>
    <w:p>
      <w:pPr>
        <w:pStyle w:val="Heading3"/>
      </w:pPr>
      <w:r>
        <w:t>Dependency notes</w:t>
      </w:r>
    </w:p>
    <w:p>
      <w:pPr>
        <w:pStyle w:val="ListBullet"/>
        <w:spacing w:after="20"/>
      </w:pPr>
      <w:r>
        <w:t>Upstream: Connect, Ledger, Factors.</w:t>
      </w:r>
    </w:p>
    <w:p>
      <w:pPr>
        <w:pStyle w:val="ListBullet"/>
        <w:spacing w:after="20"/>
      </w:pPr>
      <w:r>
        <w:t>Downstream: Comply, Scope Engine, MRV Studio, Carbon Markets Hub, AgriLandOS.</w:t>
      </w:r>
    </w:p>
    <w:p>
      <w:r>
        <w:br w:type="page"/>
      </w:r>
    </w:p>
    <w:p>
      <w:pPr>
        <w:pStyle w:val="Heading2"/>
      </w:pPr>
      <w:r>
        <w:t>27. GreenLang Nature/TNFD Hub</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FY31</w:t>
            </w:r>
          </w:p>
        </w:tc>
      </w:tr>
      <w:tr>
        <w:tc>
          <w:tcPr>
            <w:tcW w:type="dxa" w:w="2448"/>
            <w:vAlign w:val="top"/>
            <w:shd w:fill="EAF2F8"/>
          </w:tcPr>
          <w:p>
            <w:r>
              <w:rPr>
                <w:b/>
                <w:color w:val="1F4E79"/>
                <w:sz w:val="16"/>
              </w:rPr>
              <w:t>Recommended v1.0 GA</w:t>
            </w:r>
          </w:p>
        </w:tc>
        <w:tc>
          <w:tcPr>
            <w:tcW w:type="dxa" w:w="8352"/>
            <w:vAlign w:val="top"/>
          </w:tcPr>
          <w:p>
            <w:r>
              <w:rPr>
                <w:sz w:val="16"/>
              </w:rPr>
              <w:t>FY31 Q4</w:t>
            </w:r>
          </w:p>
        </w:tc>
      </w:tr>
      <w:tr>
        <w:tc>
          <w:tcPr>
            <w:tcW w:type="dxa" w:w="2448"/>
            <w:vAlign w:val="top"/>
            <w:shd w:fill="EAF2F8"/>
          </w:tcPr>
          <w:p>
            <w:r>
              <w:rPr>
                <w:b/>
                <w:color w:val="1F4E79"/>
                <w:sz w:val="16"/>
              </w:rPr>
              <w:t>Cloud / squad</w:t>
            </w:r>
          </w:p>
        </w:tc>
        <w:tc>
          <w:tcPr>
            <w:tcW w:type="dxa" w:w="8352"/>
            <w:vAlign w:val="top"/>
          </w:tcPr>
          <w:p>
            <w:r>
              <w:rPr>
                <w:sz w:val="16"/>
              </w:rPr>
              <w:t xml:space="preserve">Land / Water / Nature / </w:t>
            </w:r>
          </w:p>
        </w:tc>
      </w:tr>
      <w:tr>
        <w:tc>
          <w:tcPr>
            <w:tcW w:type="dxa" w:w="2448"/>
            <w:vAlign w:val="top"/>
            <w:shd w:fill="EAF2F8"/>
          </w:tcPr>
          <w:p>
            <w:r>
              <w:rPr>
                <w:b/>
                <w:color w:val="1F4E79"/>
                <w:sz w:val="16"/>
              </w:rPr>
              <w:t>Primary buyer</w:t>
            </w:r>
          </w:p>
        </w:tc>
        <w:tc>
          <w:tcPr>
            <w:tcW w:type="dxa" w:w="8352"/>
            <w:vAlign w:val="top"/>
          </w:tcPr>
          <w:p>
            <w:r>
              <w:rPr>
                <w:sz w:val="16"/>
              </w:rPr>
              <w:t>Corporates, asset owners, banks, insurers, food/land companies</w:t>
            </w:r>
          </w:p>
        </w:tc>
      </w:tr>
      <w:tr>
        <w:tc>
          <w:tcPr>
            <w:tcW w:type="dxa" w:w="2448"/>
            <w:vAlign w:val="top"/>
            <w:shd w:fill="EAF2F8"/>
          </w:tcPr>
          <w:p>
            <w:r>
              <w:rPr>
                <w:b/>
                <w:color w:val="1F4E79"/>
                <w:sz w:val="16"/>
              </w:rPr>
              <w:t>Revenue model</w:t>
            </w:r>
          </w:p>
        </w:tc>
        <w:tc>
          <w:tcPr>
            <w:tcW w:type="dxa" w:w="8352"/>
            <w:vAlign w:val="top"/>
          </w:tcPr>
          <w:p>
            <w:r>
              <w:rPr>
                <w:sz w:val="16"/>
              </w:rPr>
              <w:t>Module subscription</w:t>
            </w:r>
          </w:p>
        </w:tc>
      </w:tr>
      <w:tr>
        <w:tc>
          <w:tcPr>
            <w:tcW w:type="dxa" w:w="2448"/>
            <w:vAlign w:val="top"/>
            <w:shd w:fill="EAF2F8"/>
          </w:tcPr>
          <w:p>
            <w:r>
              <w:rPr>
                <w:b/>
                <w:color w:val="1F4E79"/>
                <w:sz w:val="16"/>
              </w:rPr>
              <w:t>Definition</w:t>
            </w:r>
          </w:p>
        </w:tc>
        <w:tc>
          <w:tcPr>
            <w:tcW w:type="dxa" w:w="8352"/>
            <w:vAlign w:val="top"/>
          </w:tcPr>
          <w:p>
            <w:r>
              <w:rPr>
                <w:sz w:val="16"/>
              </w:rPr>
              <w:t>A nature-risk, dependency, impact, disclosure, and action-planning module aligned to emerging nature and biodiversity reporting needs, with special strength in sites, supply chains, agrifood, water, and finance portfolios.</w:t>
            </w:r>
          </w:p>
        </w:tc>
      </w:tr>
      <w:tr>
        <w:tc>
          <w:tcPr>
            <w:tcW w:type="dxa" w:w="2448"/>
            <w:vAlign w:val="top"/>
            <w:shd w:fill="EAF2F8"/>
          </w:tcPr>
          <w:p>
            <w:r>
              <w:rPr>
                <w:b/>
                <w:color w:val="1F4E79"/>
                <w:sz w:val="16"/>
              </w:rPr>
              <w:t>Strategic role</w:t>
            </w:r>
          </w:p>
        </w:tc>
        <w:tc>
          <w:tcPr>
            <w:tcW w:type="dxa" w:w="8352"/>
            <w:vAlign w:val="top"/>
          </w:tcPr>
          <w:p>
            <w:r>
              <w:rPr>
                <w:sz w:val="16"/>
              </w:rPr>
              <w:t>Nature/TNFD Hub is a late-horizon expansion that should only launch after GreenLang has enough entity, site, supplier, water, land, and finance data to make nature workflows credible.</w:t>
            </w:r>
          </w:p>
        </w:tc>
      </w:tr>
      <w:tr>
        <w:tc>
          <w:tcPr>
            <w:tcW w:type="dxa" w:w="2448"/>
            <w:vAlign w:val="top"/>
            <w:shd w:fill="EAF2F8"/>
          </w:tcPr>
          <w:p>
            <w:r>
              <w:rPr>
                <w:b/>
                <w:color w:val="1F4E79"/>
                <w:sz w:val="16"/>
              </w:rPr>
              <w:t>Pricing / packaging logic</w:t>
            </w:r>
          </w:p>
        </w:tc>
        <w:tc>
          <w:tcPr>
            <w:tcW w:type="dxa" w:w="8352"/>
            <w:vAlign w:val="top"/>
          </w:tcPr>
          <w:p>
            <w:r>
              <w:rPr>
                <w:sz w:val="16"/>
              </w:rPr>
              <w:t>Module subscription by entity/site/supplier/portfolio size; premium external datasets and finance analytics add-ons.</w:t>
            </w:r>
          </w:p>
        </w:tc>
      </w:tr>
    </w:tbl>
    <w:p>
      <w:pPr>
        <w:pStyle w:val="Heading3"/>
      </w:pPr>
      <w:r>
        <w:t>CTO final pathway</w:t>
      </w:r>
    </w:p>
    <w:p>
      <w:pPr>
        <w:spacing w:after="80"/>
      </w:pPr>
      <w:r>
        <w:t>Build GreenLang Nature/TNFD Hub as a modular product on the shared substrate. The release target is FY31; GA is gated for FY31 Q4. Do not GA until RiskOS/WaterOS/AgriLandOS data are available Nature claims must separate screening from verified ecological impact</w:t>
      </w:r>
    </w:p>
    <w:p>
      <w:pPr>
        <w:pStyle w:val="Heading3"/>
      </w:pPr>
      <w:r>
        <w:t>Why it exists</w:t>
      </w:r>
    </w:p>
    <w:p>
      <w:pPr>
        <w:spacing w:after="80"/>
      </w:pPr>
      <w:r>
        <w:t>TNFD, CSRD E4, SBTN, and ISSB expansion into nature are moving fast. Corporates are being asked to report dependencies and impacts on biodiversity, ecosystems, and pollinators, linked to specific locations. Today this is an early-stage advisory market with almost no software infrastructure.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sustainability teams</w:t>
              <w:br/>
              <w:t>risk teams</w:t>
              <w:br/>
              <w:t>asset owners</w:t>
              <w:br/>
              <w:t>banks/insurers</w:t>
              <w:br/>
              <w:t>agrifood and consumer goods teams</w:t>
              <w:br/>
              <w:t>public-sector planners</w:t>
            </w:r>
          </w:p>
        </w:tc>
      </w:tr>
      <w:tr>
        <w:tc>
          <w:tcPr>
            <w:tcW w:type="dxa" w:w="3024"/>
            <w:vAlign w:val="top"/>
          </w:tcPr>
          <w:p>
            <w:r>
              <w:rPr>
                <w:sz w:val="16"/>
              </w:rPr>
              <w:t>Jobs to be done</w:t>
            </w:r>
          </w:p>
        </w:tc>
        <w:tc>
          <w:tcPr>
            <w:tcW w:type="dxa" w:w="8640"/>
            <w:vAlign w:val="top"/>
          </w:tcPr>
          <w:p>
            <w:r>
              <w:rPr>
                <w:sz w:val="16"/>
              </w:rPr>
              <w:t>Map sites and suppliers to nature dependencies and impacts</w:t>
              <w:br/>
              <w:t>Prioritize nature-related risks and data gaps</w:t>
              <w:br/>
              <w:t>Prepare disclosure-ready outputs</w:t>
              <w:br/>
              <w:t>Track nature action plans</w:t>
              <w:br/>
              <w:t>Connect nature data to finance and supply-chain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LEAP (Locate, Evaluate, Assess, Prepare) workflow support.</w:t>
              <w:br/>
              <w:t>Entity Graph overlays: asset-to-biome, asset-to-watershed, asset-to-biodiversity-priority-area.</w:t>
              <w:br/>
              <w:t>Dependency and impact scoring on ecosystem services (ENCORE, SBTN guidance).</w:t>
              <w:br/>
              <w:t>Pressure indicators (land-use change, pollution, water, invasive species, climate).</w:t>
              <w:br/>
              <w:t>TNFD + CSRD E4 disclosure packaging.</w:t>
              <w:br/>
              <w:t>Scenario analysis on nature-related risk.</w:t>
            </w:r>
          </w:p>
        </w:tc>
      </w:tr>
      <w:tr>
        <w:tc>
          <w:tcPr>
            <w:tcW w:type="dxa" w:w="3456"/>
            <w:vAlign w:val="top"/>
          </w:tcPr>
          <w:p>
            <w:r>
              <w:rPr>
                <w:sz w:val="16"/>
              </w:rPr>
              <w:t>In-scope product modules</w:t>
            </w:r>
          </w:p>
        </w:tc>
        <w:tc>
          <w:tcPr>
            <w:tcW w:type="dxa" w:w="8352"/>
            <w:vAlign w:val="top"/>
          </w:tcPr>
          <w:p>
            <w:r>
              <w:rPr>
                <w:sz w:val="16"/>
              </w:rPr>
              <w:t>site/supply-chain nature screening</w:t>
              <w:br/>
              <w:t>dependency/impact taxonomy</w:t>
              <w:br/>
              <w:t>risk prioritization</w:t>
              <w:br/>
              <w:t>disclosure workflow</w:t>
              <w:br/>
              <w:t>action-plan tracker</w:t>
              <w:br/>
              <w:t>data-gap workflow</w:t>
              <w:br/>
              <w:t>portfolio views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site locations</w:t>
              <w:br/>
              <w:t>supplier locations</w:t>
              <w:br/>
              <w:t>sector activities</w:t>
              <w:br/>
              <w:t>water/land data</w:t>
              <w:br/>
              <w:t>ecosystem risk overlays</w:t>
              <w:br/>
              <w:t>dependencies/impacts</w:t>
              <w:br/>
              <w:t>evidence</w:t>
              <w:br/>
              <w:t>actions</w:t>
              <w:br/>
              <w:t>finance exposure data</w:t>
            </w:r>
          </w:p>
        </w:tc>
      </w:tr>
      <w:tr>
        <w:tc>
          <w:tcPr>
            <w:tcW w:type="dxa" w:w="3384"/>
            <w:vAlign w:val="top"/>
          </w:tcPr>
          <w:p>
            <w:r>
              <w:rPr>
                <w:sz w:val="16"/>
              </w:rPr>
              <w:t>External/product integrations</w:t>
            </w:r>
          </w:p>
        </w:tc>
        <w:tc>
          <w:tcPr>
            <w:tcW w:type="dxa" w:w="8496"/>
            <w:vAlign w:val="top"/>
          </w:tcPr>
          <w:p>
            <w:r>
              <w:rPr>
                <w:sz w:val="16"/>
              </w:rPr>
              <w:t>RiskOS; WaterOS; AgriLandOS; FinanceOS; CityOS; Evidence Vault; external nature/biodiversity datasets</w:t>
            </w:r>
          </w:p>
        </w:tc>
      </w:tr>
      <w:tr>
        <w:tc>
          <w:tcPr>
            <w:tcW w:type="dxa" w:w="3384"/>
            <w:vAlign w:val="top"/>
          </w:tcPr>
          <w:p>
            <w:r>
              <w:rPr>
                <w:sz w:val="16"/>
              </w:rPr>
              <w:t>GreenLang dependencies</w:t>
            </w:r>
          </w:p>
        </w:tc>
        <w:tc>
          <w:tcPr>
            <w:tcW w:type="dxa" w:w="8496"/>
            <w:vAlign w:val="top"/>
          </w:tcPr>
          <w:p>
            <w:r>
              <w:rPr>
                <w:sz w:val="16"/>
              </w:rPr>
              <w:t>RiskOS; WaterOS; AgriLandOS; Entity Graph; Evidence Vault; FinanceOS for asset-owner workflows</w:t>
            </w:r>
          </w:p>
        </w:tc>
      </w:tr>
      <w:tr>
        <w:tc>
          <w:tcPr>
            <w:tcW w:type="dxa" w:w="3384"/>
            <w:vAlign w:val="top"/>
          </w:tcPr>
          <w:p>
            <w:r>
              <w:rPr>
                <w:sz w:val="16"/>
              </w:rPr>
              <w:t>Customer outputs and deliverables</w:t>
            </w:r>
          </w:p>
        </w:tc>
        <w:tc>
          <w:tcPr>
            <w:tcW w:type="dxa" w:w="8496"/>
            <w:vAlign w:val="top"/>
          </w:tcPr>
          <w:p>
            <w:r>
              <w:rPr>
                <w:sz w:val="16"/>
              </w:rPr>
              <w:t>nature risk screen</w:t>
              <w:br/>
              <w:t>TNFD-style disclosure pack</w:t>
              <w:br/>
              <w:t>site/supplier priority list</w:t>
              <w:br/>
              <w:t>action plan</w:t>
              <w:br/>
              <w:t>portfolio exposure view</w:t>
            </w:r>
          </w:p>
        </w:tc>
      </w:tr>
    </w:tbl>
    <w:p>
      <w:pPr>
        <w:pStyle w:val="Heading3"/>
      </w:pPr>
      <w:r>
        <w:t>AI and automation behavior</w:t>
      </w:r>
    </w:p>
    <w:p>
      <w:pPr>
        <w:pStyle w:val="ListBullet"/>
        <w:spacing w:after="20"/>
      </w:pPr>
      <w:r>
        <w:t>nature-risk explanation assistant</w:t>
      </w:r>
    </w:p>
    <w:p>
      <w:pPr>
        <w:pStyle w:val="ListBullet"/>
        <w:spacing w:after="20"/>
      </w:pPr>
      <w:r>
        <w:t>data-gap prioritization</w:t>
      </w:r>
    </w:p>
    <w:p>
      <w:pPr>
        <w:pStyle w:val="ListBullet"/>
        <w:spacing w:after="20"/>
      </w:pPr>
      <w:r>
        <w:t>action recommendation support</w:t>
      </w:r>
    </w:p>
    <w:p>
      <w:pPr>
        <w:pStyle w:val="ListBullet"/>
        <w:spacing w:after="20"/>
      </w:pPr>
      <w:r>
        <w:t>disclosure drafting with citations</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FY31 Q1</w:t>
            </w:r>
          </w:p>
        </w:tc>
        <w:tc>
          <w:tcPr>
            <w:tcW w:type="dxa" w:w="7776"/>
            <w:vAlign w:val="top"/>
          </w:tcPr>
          <w:p>
            <w:r>
              <w:rPr>
                <w:sz w:val="16"/>
              </w:rPr>
              <w:t>LEAP workflow + biome/watershed overlays; 2 design partners.</w:t>
            </w:r>
          </w:p>
        </w:tc>
      </w:tr>
      <w:tr>
        <w:tc>
          <w:tcPr>
            <w:tcW w:type="dxa" w:w="1872"/>
            <w:vAlign w:val="top"/>
          </w:tcPr>
          <w:p>
            <w:r>
              <w:rPr>
                <w:sz w:val="16"/>
              </w:rPr>
              <w:t>v0.5 Closed Beta</w:t>
            </w:r>
          </w:p>
        </w:tc>
        <w:tc>
          <w:tcPr>
            <w:tcW w:type="dxa" w:w="2304"/>
            <w:vAlign w:val="top"/>
          </w:tcPr>
          <w:p>
            <w:r>
              <w:rPr>
                <w:sz w:val="16"/>
              </w:rPr>
              <w:t>FY31 Q2</w:t>
            </w:r>
          </w:p>
        </w:tc>
        <w:tc>
          <w:tcPr>
            <w:tcW w:type="dxa" w:w="7776"/>
            <w:vAlign w:val="top"/>
          </w:tcPr>
          <w:p>
            <w:r>
              <w:rPr>
                <w:sz w:val="16"/>
              </w:rPr>
              <w:t>Dependency scoring; pressure indicators.</w:t>
            </w:r>
          </w:p>
        </w:tc>
      </w:tr>
      <w:tr>
        <w:tc>
          <w:tcPr>
            <w:tcW w:type="dxa" w:w="1872"/>
            <w:vAlign w:val="top"/>
          </w:tcPr>
          <w:p>
            <w:r>
              <w:rPr>
                <w:sz w:val="16"/>
              </w:rPr>
              <w:t>v0.9 Public Beta</w:t>
            </w:r>
          </w:p>
        </w:tc>
        <w:tc>
          <w:tcPr>
            <w:tcW w:type="dxa" w:w="2304"/>
            <w:vAlign w:val="top"/>
          </w:tcPr>
          <w:p>
            <w:r>
              <w:rPr>
                <w:sz w:val="16"/>
              </w:rPr>
              <w:t>FY31 Q3</w:t>
            </w:r>
          </w:p>
        </w:tc>
        <w:tc>
          <w:tcPr>
            <w:tcW w:type="dxa" w:w="7776"/>
            <w:vAlign w:val="top"/>
          </w:tcPr>
          <w:p>
            <w:r>
              <w:rPr>
                <w:sz w:val="16"/>
              </w:rPr>
              <w:t>TNFD + CSRD E4 report packaging.</w:t>
            </w:r>
          </w:p>
        </w:tc>
      </w:tr>
      <w:tr>
        <w:tc>
          <w:tcPr>
            <w:tcW w:type="dxa" w:w="1872"/>
            <w:vAlign w:val="top"/>
          </w:tcPr>
          <w:p>
            <w:r>
              <w:rPr>
                <w:sz w:val="16"/>
              </w:rPr>
              <w:t>v1.0 GA</w:t>
            </w:r>
          </w:p>
        </w:tc>
        <w:tc>
          <w:tcPr>
            <w:tcW w:type="dxa" w:w="2304"/>
            <w:vAlign w:val="top"/>
          </w:tcPr>
          <w:p>
            <w:r>
              <w:rPr>
                <w:sz w:val="16"/>
              </w:rPr>
              <w:t>FY31 Q4</w:t>
            </w:r>
          </w:p>
        </w:tc>
        <w:tc>
          <w:tcPr>
            <w:tcW w:type="dxa" w:w="7776"/>
            <w:vAlign w:val="top"/>
          </w:tcPr>
          <w:p>
            <w:r>
              <w:rPr>
                <w:sz w:val="16"/>
              </w:rPr>
              <w:t>Scenario analysis; FinanceOS portfolio nature overlay.</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GA until RiskOS/WaterOS/AgriLandOS data are available</w:t>
      </w:r>
    </w:p>
    <w:p>
      <w:pPr>
        <w:pStyle w:val="ListBullet"/>
        <w:spacing w:after="20"/>
      </w:pPr>
      <w:r>
        <w:t>Nature claims must separate screening from verified ecological impact</w:t>
      </w:r>
    </w:p>
    <w:p>
      <w:pPr>
        <w:pStyle w:val="ListBullet"/>
        <w:spacing w:after="20"/>
      </w:pPr>
      <w:r>
        <w:t>External datasets require source/version transparency</w:t>
      </w:r>
    </w:p>
    <w:p>
      <w:pPr>
        <w:pStyle w:val="ListBullet"/>
        <w:spacing w:after="20"/>
      </w:pPr>
      <w:r>
        <w:t>Launch initially as decision support, not precise biodiversity accounting</w:t>
      </w:r>
    </w:p>
    <w:p>
      <w:pPr>
        <w:pStyle w:val="Heading3"/>
      </w:pPr>
      <w:r>
        <w:t>Key risks to actively manage</w:t>
      </w:r>
    </w:p>
    <w:p>
      <w:pPr>
        <w:pStyle w:val="ListBullet"/>
        <w:spacing w:after="20"/>
      </w:pPr>
      <w:r>
        <w:t>data scarcity</w:t>
      </w:r>
    </w:p>
    <w:p>
      <w:pPr>
        <w:pStyle w:val="ListBullet"/>
        <w:spacing w:after="20"/>
      </w:pPr>
      <w:r>
        <w:t>methodology uncertainty</w:t>
      </w:r>
    </w:p>
    <w:p>
      <w:pPr>
        <w:pStyle w:val="ListBullet"/>
        <w:spacing w:after="20"/>
      </w:pPr>
      <w:r>
        <w:t>greenwashing concerns</w:t>
      </w:r>
    </w:p>
    <w:p>
      <w:pPr>
        <w:pStyle w:val="ListBullet"/>
        <w:spacing w:after="20"/>
      </w:pPr>
      <w:r>
        <w:t>overextension beyond carbon expertise</w:t>
      </w:r>
    </w:p>
    <w:p>
      <w:pPr>
        <w:pStyle w:val="Heading3"/>
      </w:pPr>
      <w:r>
        <w:t>Success metrics</w:t>
      </w:r>
    </w:p>
    <w:p>
      <w:pPr>
        <w:pStyle w:val="ListBullet"/>
        <w:spacing w:after="20"/>
      </w:pPr>
      <w:r>
        <w:t>sites/suppliers screened</w:t>
      </w:r>
    </w:p>
    <w:p>
      <w:pPr>
        <w:pStyle w:val="ListBullet"/>
        <w:spacing w:after="20"/>
      </w:pPr>
      <w:r>
        <w:t>priority risks identified</w:t>
      </w:r>
    </w:p>
    <w:p>
      <w:pPr>
        <w:pStyle w:val="ListBullet"/>
        <w:spacing w:after="20"/>
      </w:pPr>
      <w:r>
        <w:t>action plans created</w:t>
      </w:r>
    </w:p>
    <w:p>
      <w:pPr>
        <w:pStyle w:val="ListBullet"/>
        <w:spacing w:after="20"/>
      </w:pPr>
      <w:r>
        <w:t>disclosure cycle time</w:t>
      </w:r>
    </w:p>
    <w:p>
      <w:pPr>
        <w:pStyle w:val="ListBullet"/>
        <w:spacing w:after="20"/>
      </w:pPr>
      <w:r>
        <w:t>finance portfolio adoption</w:t>
      </w:r>
    </w:p>
    <w:p>
      <w:pPr>
        <w:pStyle w:val="ListBullet"/>
        <w:spacing w:after="20"/>
      </w:pPr>
      <w:r>
        <w:t>Risk &amp; Public Sector</w:t>
      </w:r>
    </w:p>
    <w:p>
      <w:pPr>
        <w:pStyle w:val="Heading3"/>
      </w:pPr>
      <w:r>
        <w:t>Dependency notes</w:t>
      </w:r>
    </w:p>
    <w:p>
      <w:pPr>
        <w:pStyle w:val="ListBullet"/>
        <w:spacing w:after="20"/>
      </w:pPr>
      <w:r>
        <w:t>Upstream: Entity Graph, WaterOS, AgriLandOS, external nature datasets.</w:t>
      </w:r>
    </w:p>
    <w:p>
      <w:pPr>
        <w:pStyle w:val="ListBullet"/>
        <w:spacing w:after="20"/>
      </w:pPr>
      <w:r>
        <w:t>Downstream: Comply, RiskOS, FinanceOS.</w:t>
      </w:r>
    </w:p>
    <w:p>
      <w:pPr>
        <w:pStyle w:val="ListBullet"/>
        <w:spacing w:after="20"/>
      </w:pPr>
      <w:r>
        <w:t>9. Risk &amp; Public Sector</w:t>
      </w:r>
    </w:p>
    <w:p>
      <w:pPr>
        <w:pStyle w:val="ListBullet"/>
        <w:spacing w:after="20"/>
      </w:pPr>
      <w:r>
        <w:t>This chapter covers 3 products in the Risk &amp; Public Sector. Each product is specified at PRD-lite depth: definition, buyer, core capabilities, data/integrations, revenue model, full version roadmap, success KPIs, and upstream/downstream dependencies.</w:t>
      </w:r>
    </w:p>
    <w:p>
      <w:r>
        <w:br w:type="page"/>
      </w:r>
    </w:p>
    <w:p>
      <w:pPr>
        <w:pStyle w:val="Heading1"/>
      </w:pPr>
      <w:r>
        <w:t>Risk &amp; Public Sector</w:t>
      </w:r>
    </w:p>
    <w:p>
      <w:pPr>
        <w:spacing w:after="80"/>
      </w:pPr>
      <w:r>
        <w:t>Proceed after the Entity Graph and asset/site data are mature. Keep early risk outputs explainable and scenario-based. Public-sector products should require paid pilots or funded deployments, not free civic demos.</w:t>
      </w:r>
    </w:p>
    <w:p>
      <w:r>
        <w:br w:type="page"/>
      </w:r>
    </w:p>
    <w:p>
      <w:pPr>
        <w:pStyle w:val="Heading2"/>
      </w:pPr>
      <w:r>
        <w:t>28. GreenLang RiskOS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Risk &amp; Public Sector / Risk, Adaptation &amp; Public Sector Squad</w:t>
            </w:r>
          </w:p>
        </w:tc>
      </w:tr>
      <w:tr>
        <w:tc>
          <w:tcPr>
            <w:tcW w:type="dxa" w:w="2448"/>
            <w:vAlign w:val="top"/>
            <w:shd w:fill="EAF2F8"/>
          </w:tcPr>
          <w:p>
            <w:r>
              <w:rPr>
                <w:b/>
                <w:color w:val="1F4E79"/>
                <w:sz w:val="16"/>
              </w:rPr>
              <w:t>Primary buyer</w:t>
            </w:r>
          </w:p>
        </w:tc>
        <w:tc>
          <w:tcPr>
            <w:tcW w:type="dxa" w:w="8352"/>
            <w:vAlign w:val="top"/>
          </w:tcPr>
          <w:p>
            <w:r>
              <w:rPr>
                <w:sz w:val="16"/>
              </w:rPr>
              <w:t>Enterprises, financiers, insurers, infrastructure owners</w:t>
            </w:r>
          </w:p>
        </w:tc>
      </w:tr>
      <w:tr>
        <w:tc>
          <w:tcPr>
            <w:tcW w:type="dxa" w:w="2448"/>
            <w:vAlign w:val="top"/>
            <w:shd w:fill="EAF2F8"/>
          </w:tcPr>
          <w:p>
            <w:r>
              <w:rPr>
                <w:b/>
                <w:color w:val="1F4E79"/>
                <w:sz w:val="16"/>
              </w:rPr>
              <w:t>Revenue model</w:t>
            </w:r>
          </w:p>
        </w:tc>
        <w:tc>
          <w:tcPr>
            <w:tcW w:type="dxa" w:w="8352"/>
            <w:vAlign w:val="top"/>
          </w:tcPr>
          <w:p>
            <w:r>
              <w:rPr>
                <w:sz w:val="16"/>
              </w:rPr>
              <w:t>API + enterprise</w:t>
            </w:r>
          </w:p>
        </w:tc>
      </w:tr>
      <w:tr>
        <w:tc>
          <w:tcPr>
            <w:tcW w:type="dxa" w:w="2448"/>
            <w:vAlign w:val="top"/>
            <w:shd w:fill="EAF2F8"/>
          </w:tcPr>
          <w:p>
            <w:r>
              <w:rPr>
                <w:b/>
                <w:color w:val="1F4E79"/>
                <w:sz w:val="16"/>
              </w:rPr>
              <w:t>Definition</w:t>
            </w:r>
          </w:p>
        </w:tc>
        <w:tc>
          <w:tcPr>
            <w:tcW w:type="dxa" w:w="8352"/>
            <w:vAlign w:val="top"/>
          </w:tcPr>
          <w:p>
            <w:r>
              <w:rPr>
                <w:sz w:val="16"/>
              </w:rPr>
              <w:t>A physical and transition climate-risk intelligence product that maps entities, facilities, assets, suppliers, and portfolios to hazards, exposure, vulnerability, emissions-transition pathways, and business/finance impacts.</w:t>
            </w:r>
          </w:p>
        </w:tc>
      </w:tr>
      <w:tr>
        <w:tc>
          <w:tcPr>
            <w:tcW w:type="dxa" w:w="2448"/>
            <w:vAlign w:val="top"/>
            <w:shd w:fill="EAF2F8"/>
          </w:tcPr>
          <w:p>
            <w:r>
              <w:rPr>
                <w:b/>
                <w:color w:val="1F4E79"/>
                <w:sz w:val="16"/>
              </w:rPr>
              <w:t>Strategic role</w:t>
            </w:r>
          </w:p>
        </w:tc>
        <w:tc>
          <w:tcPr>
            <w:tcW w:type="dxa" w:w="8352"/>
            <w:vAlign w:val="top"/>
          </w:tcPr>
          <w:p>
            <w:r>
              <w:rPr>
                <w:sz w:val="16"/>
              </w:rPr>
              <w:t>RiskOS expands GreenLang from emissions management into CFO, insurance, lending, and resilience workflows. It becomes the data bridge between operational assets and financial risk.</w:t>
            </w:r>
          </w:p>
        </w:tc>
      </w:tr>
      <w:tr>
        <w:tc>
          <w:tcPr>
            <w:tcW w:type="dxa" w:w="2448"/>
            <w:vAlign w:val="top"/>
            <w:shd w:fill="EAF2F8"/>
          </w:tcPr>
          <w:p>
            <w:r>
              <w:rPr>
                <w:b/>
                <w:color w:val="1F4E79"/>
                <w:sz w:val="16"/>
              </w:rPr>
              <w:t>Pricing / packaging logic</w:t>
            </w:r>
          </w:p>
        </w:tc>
        <w:tc>
          <w:tcPr>
            <w:tcW w:type="dxa" w:w="8352"/>
            <w:vAlign w:val="top"/>
          </w:tcPr>
          <w:p>
            <w:r>
              <w:rPr>
                <w:sz w:val="16"/>
              </w:rPr>
              <w:t>Enterprise subscription plus API/data pricing by asset, portfolio, or query volume. Premium datasets priced as pass-through/add-on where applicable.</w:t>
            </w:r>
          </w:p>
        </w:tc>
      </w:tr>
    </w:tbl>
    <w:p>
      <w:pPr>
        <w:pStyle w:val="Heading3"/>
      </w:pPr>
      <w:r>
        <w:t>CTO final pathway</w:t>
      </w:r>
    </w:p>
    <w:p>
      <w:pPr>
        <w:spacing w:after="80"/>
      </w:pPr>
      <w:r>
        <w:t>Build GreenLang RiskOS as a modular product on the shared substrate. The release target is FY29; GA is gated for FY29 Q4. Start with screening and workflow, not fully actuarial modeling GA requires dataset licensing and methodology transparency</w:t>
      </w:r>
    </w:p>
    <w:p>
      <w:pPr>
        <w:pStyle w:val="Heading3"/>
      </w:pPr>
      <w:r>
        <w:t>Why it exists</w:t>
      </w:r>
    </w:p>
    <w:p>
      <w:pPr>
        <w:spacing w:after="80"/>
      </w:pPr>
      <w:r>
        <w:t>Climate risk software is dominated by a handful of vendors (Jupiter, Risilience, Munich Re-adjacent tools). But most corporates want risk analytics embedded with their Ledger, Entity Graph, and Comply pipeline - not a siloed risk tool. Same for lenders and insurers who want asset-level views.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risk managers</w:t>
              <w:br/>
              <w:t>finance teams</w:t>
              <w:br/>
              <w:t>insurers</w:t>
              <w:br/>
              <w:t>banks</w:t>
              <w:br/>
              <w:t>asset managers</w:t>
              <w:br/>
              <w:t>infrastructure owners</w:t>
              <w:br/>
              <w:t>sustainability teams</w:t>
            </w:r>
          </w:p>
        </w:tc>
      </w:tr>
      <w:tr>
        <w:tc>
          <w:tcPr>
            <w:tcW w:type="dxa" w:w="3024"/>
            <w:vAlign w:val="top"/>
          </w:tcPr>
          <w:p>
            <w:r>
              <w:rPr>
                <w:sz w:val="16"/>
              </w:rPr>
              <w:t>Jobs to be done</w:t>
            </w:r>
          </w:p>
        </w:tc>
        <w:tc>
          <w:tcPr>
            <w:tcW w:type="dxa" w:w="8640"/>
            <w:vAlign w:val="top"/>
          </w:tcPr>
          <w:p>
            <w:r>
              <w:rPr>
                <w:sz w:val="16"/>
              </w:rPr>
              <w:t>Screen assets and suppliers for climate hazards</w:t>
              <w:br/>
              <w:t>Model exposure and vulnerability by site/portfolio</w:t>
              <w:br/>
              <w:t>Assess transition risk and emissions-related risk</w:t>
              <w:br/>
              <w:t>Prioritize adaptation actions</w:t>
              <w:br/>
              <w:t>Expose risk data through APIs for finance and insurance workflows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Physical risk: acute (flood, wildfire, cyclone, heatwave) and chronic (temperature, sea level, water stress) per asset, per scenario.</w:t>
              <w:br/>
              <w:t>Transition risk: policy, technology, market, reputation, with sector-specific models.</w:t>
              <w:br/>
              <w:t>NGFS scenario alignment + custom scenarios.</w:t>
              <w:br/>
              <w:t>Financial materiality scoring.</w:t>
              <w:br/>
              <w:t>VaR / EaR outputs for finance teams.</w:t>
              <w:br/>
              <w:t>IFRS S2, CSRD E1, SEC Climate disclosure exports.</w:t>
              <w:br/>
              <w:t>Scenario narrative builder.</w:t>
            </w:r>
          </w:p>
        </w:tc>
      </w:tr>
      <w:tr>
        <w:tc>
          <w:tcPr>
            <w:tcW w:type="dxa" w:w="3456"/>
            <w:vAlign w:val="top"/>
          </w:tcPr>
          <w:p>
            <w:r>
              <w:rPr>
                <w:sz w:val="16"/>
              </w:rPr>
              <w:t>In-scope product modules</w:t>
            </w:r>
          </w:p>
        </w:tc>
        <w:tc>
          <w:tcPr>
            <w:tcW w:type="dxa" w:w="8352"/>
            <w:vAlign w:val="top"/>
          </w:tcPr>
          <w:p>
            <w:r>
              <w:rPr>
                <w:sz w:val="16"/>
              </w:rPr>
              <w:t>asset/site risk registry</w:t>
              <w:br/>
              <w:t>hazard overlay integration</w:t>
              <w:br/>
              <w:t>exposure/vulnerability scoring</w:t>
              <w:br/>
              <w:t>transition risk model</w:t>
              <w:br/>
              <w:t>scenario comparison</w:t>
              <w:br/>
              <w:t>risk API</w:t>
              <w:br/>
              <w:t>risk-to-action handoff</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asset locations</w:t>
              <w:br/>
              <w:t>facility data</w:t>
              <w:br/>
              <w:t>supplier locations</w:t>
              <w:br/>
              <w:t>hazard datasets</w:t>
              <w:br/>
              <w:t>financial exposure</w:t>
              <w:br/>
              <w:t>emissions data</w:t>
              <w:br/>
              <w:t>adaptation measures</w:t>
              <w:br/>
              <w:t>insurance/loss data where available</w:t>
              <w:br/>
              <w:t>scenario assumptions</w:t>
            </w:r>
          </w:p>
        </w:tc>
      </w:tr>
      <w:tr>
        <w:tc>
          <w:tcPr>
            <w:tcW w:type="dxa" w:w="3384"/>
            <w:vAlign w:val="top"/>
          </w:tcPr>
          <w:p>
            <w:r>
              <w:rPr>
                <w:sz w:val="16"/>
              </w:rPr>
              <w:t>External/product integrations</w:t>
            </w:r>
          </w:p>
        </w:tc>
        <w:tc>
          <w:tcPr>
            <w:tcW w:type="dxa" w:w="8496"/>
            <w:vAlign w:val="top"/>
          </w:tcPr>
          <w:p>
            <w:r>
              <w:rPr>
                <w:sz w:val="16"/>
              </w:rPr>
              <w:t>Entity Graph; FinanceOS; Adaptation Planner; CityOS; WaterOS; BuildingOS; PlantOS; external hazard/climate datasets</w:t>
            </w:r>
          </w:p>
        </w:tc>
      </w:tr>
      <w:tr>
        <w:tc>
          <w:tcPr>
            <w:tcW w:type="dxa" w:w="3384"/>
            <w:vAlign w:val="top"/>
          </w:tcPr>
          <w:p>
            <w:r>
              <w:rPr>
                <w:sz w:val="16"/>
              </w:rPr>
              <w:t>GreenLang dependencies</w:t>
            </w:r>
          </w:p>
        </w:tc>
        <w:tc>
          <w:tcPr>
            <w:tcW w:type="dxa" w:w="8496"/>
            <w:vAlign w:val="top"/>
          </w:tcPr>
          <w:p>
            <w:r>
              <w:rPr>
                <w:sz w:val="16"/>
              </w:rPr>
              <w:t>Entity Graph; Connect; Evidence Vault; Scope Engine; external risk datasets</w:t>
            </w:r>
          </w:p>
        </w:tc>
      </w:tr>
      <w:tr>
        <w:tc>
          <w:tcPr>
            <w:tcW w:type="dxa" w:w="3384"/>
            <w:vAlign w:val="top"/>
          </w:tcPr>
          <w:p>
            <w:r>
              <w:rPr>
                <w:sz w:val="16"/>
              </w:rPr>
              <w:t>Customer outputs and deliverables</w:t>
            </w:r>
          </w:p>
        </w:tc>
        <w:tc>
          <w:tcPr>
            <w:tcW w:type="dxa" w:w="8496"/>
            <w:vAlign w:val="top"/>
          </w:tcPr>
          <w:p>
            <w:r>
              <w:rPr>
                <w:sz w:val="16"/>
              </w:rPr>
              <w:t>asset risk score</w:t>
              <w:br/>
              <w:t>portfolio risk dashboard</w:t>
              <w:br/>
              <w:t>scenario report</w:t>
              <w:br/>
              <w:t>adaptation priority list</w:t>
              <w:br/>
              <w:t>risk API result</w:t>
              <w:br/>
              <w:t>finance diligence pack</w:t>
            </w:r>
          </w:p>
        </w:tc>
      </w:tr>
    </w:tbl>
    <w:p>
      <w:pPr>
        <w:pStyle w:val="Heading3"/>
      </w:pPr>
      <w:r>
        <w:t>AI and automation behavior</w:t>
      </w:r>
    </w:p>
    <w:p>
      <w:pPr>
        <w:pStyle w:val="ListBullet"/>
        <w:spacing w:after="20"/>
      </w:pPr>
      <w:r>
        <w:t>risk explanation assistant</w:t>
      </w:r>
    </w:p>
    <w:p>
      <w:pPr>
        <w:pStyle w:val="ListBullet"/>
        <w:spacing w:after="20"/>
      </w:pPr>
      <w:r>
        <w:t>scenario summarizer</w:t>
      </w:r>
    </w:p>
    <w:p>
      <w:pPr>
        <w:pStyle w:val="ListBullet"/>
        <w:spacing w:after="20"/>
      </w:pPr>
      <w:r>
        <w:t>data-gap prioritization</w:t>
      </w:r>
    </w:p>
    <w:p>
      <w:pPr>
        <w:pStyle w:val="ListBullet"/>
        <w:spacing w:after="20"/>
      </w:pPr>
      <w:r>
        <w:t>adaptation recommendation support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Flood + cyclone + heat for India, EU; 2 design partners.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Transition risk (policy + tech); NGFS scenarios.</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Financial materiality; IFRS S2 exports.</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Global hazard coverage; API for finance use cases.</w:t>
            </w:r>
          </w:p>
        </w:tc>
      </w:tr>
      <w:tr>
        <w:tc>
          <w:tcPr>
            <w:tcW w:type="dxa" w:w="1872"/>
            <w:vAlign w:val="top"/>
          </w:tcPr>
          <w:p>
            <w:r>
              <w:rPr>
                <w:sz w:val="16"/>
              </w:rPr>
              <w:t>v1.5</w:t>
            </w:r>
          </w:p>
        </w:tc>
        <w:tc>
          <w:tcPr>
            <w:tcW w:type="dxa" w:w="2304"/>
            <w:vAlign w:val="top"/>
          </w:tcPr>
          <w:p>
            <w:r>
              <w:rPr>
                <w:sz w:val="16"/>
              </w:rPr>
              <w:t>FY30 Q3</w:t>
            </w:r>
          </w:p>
        </w:tc>
        <w:tc>
          <w:tcPr>
            <w:tcW w:type="dxa" w:w="7776"/>
            <w:vAlign w:val="top"/>
          </w:tcPr>
          <w:p>
            <w:r>
              <w:rPr>
                <w:sz w:val="16"/>
              </w:rPr>
              <w:t>Sector-specific transition models (steel, cement, auto, real estate).</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Asset-level financial VaR for lenders/insurers; FinanceOS integration.</w:t>
            </w:r>
          </w:p>
        </w:tc>
      </w:tr>
      <w:tr>
        <w:tc>
          <w:tcPr>
            <w:tcW w:type="dxa" w:w="1872"/>
            <w:vAlign w:val="top"/>
          </w:tcPr>
          <w:p>
            <w:r>
              <w:rPr>
                <w:sz w:val="16"/>
              </w:rPr>
              <w:t>v2.5</w:t>
            </w:r>
          </w:p>
        </w:tc>
        <w:tc>
          <w:tcPr>
            <w:tcW w:type="dxa" w:w="2304"/>
            <w:vAlign w:val="top"/>
          </w:tcPr>
          <w:p>
            <w:r>
              <w:rPr>
                <w:sz w:val="16"/>
              </w:rPr>
              <w:t>FY31 Q3</w:t>
            </w:r>
          </w:p>
        </w:tc>
        <w:tc>
          <w:tcPr>
            <w:tcW w:type="dxa" w:w="7776"/>
            <w:vAlign w:val="top"/>
          </w:tcPr>
          <w:p>
            <w:r>
              <w:rPr>
                <w:sz w:val="16"/>
              </w:rPr>
              <w:t>Nature-related risk (via Nature/TNFD Hub); supply-chain cascade risk.</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Start with screening and workflow, not fully actuarial modeling</w:t>
      </w:r>
    </w:p>
    <w:p>
      <w:pPr>
        <w:pStyle w:val="ListBullet"/>
        <w:spacing w:after="20"/>
      </w:pPr>
      <w:r>
        <w:t>GA requires dataset licensing and methodology transparency</w:t>
      </w:r>
    </w:p>
    <w:p>
      <w:pPr>
        <w:pStyle w:val="ListBullet"/>
        <w:spacing w:after="20"/>
      </w:pPr>
      <w:r>
        <w:t>Risk scores must be explainable</w:t>
      </w:r>
    </w:p>
    <w:p>
      <w:pPr>
        <w:pStyle w:val="ListBullet"/>
        <w:spacing w:after="20"/>
      </w:pPr>
      <w:r>
        <w:t>Do not overpromise site-level precision where data is coarse</w:t>
      </w:r>
    </w:p>
    <w:p>
      <w:pPr>
        <w:pStyle w:val="Heading3"/>
      </w:pPr>
      <w:r>
        <w:t>Key risks to actively manage</w:t>
      </w:r>
    </w:p>
    <w:p>
      <w:pPr>
        <w:pStyle w:val="ListBullet"/>
        <w:spacing w:after="20"/>
      </w:pPr>
      <w:r>
        <w:t>climate model uncertainty</w:t>
      </w:r>
    </w:p>
    <w:p>
      <w:pPr>
        <w:pStyle w:val="ListBullet"/>
        <w:spacing w:after="20"/>
      </w:pPr>
      <w:r>
        <w:t>liability from risk scores</w:t>
      </w:r>
    </w:p>
    <w:p>
      <w:pPr>
        <w:pStyle w:val="ListBullet"/>
        <w:spacing w:after="20"/>
      </w:pPr>
      <w:r>
        <w:t>data licensing costs</w:t>
      </w:r>
    </w:p>
    <w:p>
      <w:pPr>
        <w:pStyle w:val="ListBullet"/>
        <w:spacing w:after="20"/>
      </w:pPr>
      <w:r>
        <w:t>user misunderstanding of scenario outputs</w:t>
      </w:r>
    </w:p>
    <w:p>
      <w:pPr>
        <w:pStyle w:val="Heading3"/>
      </w:pPr>
      <w:r>
        <w:t>Success metrics</w:t>
      </w:r>
    </w:p>
    <w:p>
      <w:pPr>
        <w:pStyle w:val="ListBullet"/>
        <w:spacing w:after="20"/>
      </w:pPr>
      <w:r>
        <w:t>assets screened</w:t>
      </w:r>
    </w:p>
    <w:p>
      <w:pPr>
        <w:pStyle w:val="ListBullet"/>
        <w:spacing w:after="20"/>
      </w:pPr>
      <w:r>
        <w:t>API usage</w:t>
      </w:r>
    </w:p>
    <w:p>
      <w:pPr>
        <w:pStyle w:val="ListBullet"/>
        <w:spacing w:after="20"/>
      </w:pPr>
      <w:r>
        <w:t>risk-to-adaptation conversion</w:t>
      </w:r>
    </w:p>
    <w:p>
      <w:pPr>
        <w:pStyle w:val="ListBullet"/>
        <w:spacing w:after="20"/>
      </w:pPr>
      <w:r>
        <w:t>finance/customer adoption</w:t>
      </w:r>
    </w:p>
    <w:p>
      <w:pPr>
        <w:pStyle w:val="ListBullet"/>
        <w:spacing w:after="20"/>
      </w:pPr>
      <w:r>
        <w:t>methodology transparency score</w:t>
      </w:r>
    </w:p>
    <w:p>
      <w:pPr>
        <w:pStyle w:val="Heading3"/>
      </w:pPr>
      <w:r>
        <w:t>Dependency notes</w:t>
      </w:r>
    </w:p>
    <w:p>
      <w:pPr>
        <w:pStyle w:val="ListBullet"/>
        <w:spacing w:after="20"/>
      </w:pPr>
      <w:r>
        <w:t>Upstream: Entity Graph, Factors, external hazard models.</w:t>
      </w:r>
    </w:p>
    <w:p>
      <w:pPr>
        <w:pStyle w:val="ListBullet"/>
        <w:spacing w:after="20"/>
      </w:pPr>
      <w:r>
        <w:t>Downstream: Comply, FinanceOS, Adaptation Planner, Nature/TNFD Hub.</w:t>
      </w:r>
    </w:p>
    <w:p>
      <w:r>
        <w:br w:type="page"/>
      </w:r>
    </w:p>
    <w:p>
      <w:pPr>
        <w:pStyle w:val="Heading2"/>
      </w:pPr>
      <w:r>
        <w:t>29. GreenLang Adaptation Planner</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Risk &amp; Public Sector / Risk, Adaptation &amp; Public Sector Squad</w:t>
            </w:r>
          </w:p>
        </w:tc>
      </w:tr>
      <w:tr>
        <w:tc>
          <w:tcPr>
            <w:tcW w:type="dxa" w:w="2448"/>
            <w:vAlign w:val="top"/>
            <w:shd w:fill="EAF2F8"/>
          </w:tcPr>
          <w:p>
            <w:r>
              <w:rPr>
                <w:b/>
                <w:color w:val="1F4E79"/>
                <w:sz w:val="16"/>
              </w:rPr>
              <w:t>Primary buyer</w:t>
            </w:r>
          </w:p>
        </w:tc>
        <w:tc>
          <w:tcPr>
            <w:tcW w:type="dxa" w:w="8352"/>
            <w:vAlign w:val="top"/>
          </w:tcPr>
          <w:p>
            <w:r>
              <w:rPr>
                <w:sz w:val="16"/>
              </w:rPr>
              <w:t>Infrastructure owners, utilities, cities, campuses, industrial sites</w:t>
            </w:r>
          </w:p>
        </w:tc>
      </w:tr>
      <w:tr>
        <w:tc>
          <w:tcPr>
            <w:tcW w:type="dxa" w:w="2448"/>
            <w:vAlign w:val="top"/>
            <w:shd w:fill="EAF2F8"/>
          </w:tcPr>
          <w:p>
            <w:r>
              <w:rPr>
                <w:b/>
                <w:color w:val="1F4E79"/>
                <w:sz w:val="16"/>
              </w:rPr>
              <w:t>Revenue model</w:t>
            </w:r>
          </w:p>
        </w:tc>
        <w:tc>
          <w:tcPr>
            <w:tcW w:type="dxa" w:w="8352"/>
            <w:vAlign w:val="top"/>
          </w:tcPr>
          <w:p>
            <w:r>
              <w:rPr>
                <w:sz w:val="16"/>
              </w:rPr>
              <w:t>Subscription + services</w:t>
            </w:r>
          </w:p>
        </w:tc>
      </w:tr>
      <w:tr>
        <w:tc>
          <w:tcPr>
            <w:tcW w:type="dxa" w:w="2448"/>
            <w:vAlign w:val="top"/>
            <w:shd w:fill="EAF2F8"/>
          </w:tcPr>
          <w:p>
            <w:r>
              <w:rPr>
                <w:b/>
                <w:color w:val="1F4E79"/>
                <w:sz w:val="16"/>
              </w:rPr>
              <w:t>Definition</w:t>
            </w:r>
          </w:p>
        </w:tc>
        <w:tc>
          <w:tcPr>
            <w:tcW w:type="dxa" w:w="8352"/>
            <w:vAlign w:val="top"/>
          </w:tcPr>
          <w:p>
            <w:r>
              <w:rPr>
                <w:sz w:val="16"/>
              </w:rPr>
              <w:t>A resilience and adaptation planning product for identifying climate hazards, assessing asset vulnerability, designing adaptation measures, sequencing projects, tracking implementation, and preparing finance-ready adaptation plans.</w:t>
            </w:r>
          </w:p>
        </w:tc>
      </w:tr>
      <w:tr>
        <w:tc>
          <w:tcPr>
            <w:tcW w:type="dxa" w:w="2448"/>
            <w:vAlign w:val="top"/>
            <w:shd w:fill="EAF2F8"/>
          </w:tcPr>
          <w:p>
            <w:r>
              <w:rPr>
                <w:b/>
                <w:color w:val="1F4E79"/>
                <w:sz w:val="16"/>
              </w:rPr>
              <w:t>Strategic role</w:t>
            </w:r>
          </w:p>
        </w:tc>
        <w:tc>
          <w:tcPr>
            <w:tcW w:type="dxa" w:w="8352"/>
            <w:vAlign w:val="top"/>
          </w:tcPr>
          <w:p>
            <w:r>
              <w:rPr>
                <w:sz w:val="16"/>
              </w:rPr>
              <w:t>Adaptation Planner turns RiskOS insights into action and project execution. It supports public-sector pilots, utilities, infrastructure owners, water users, and financing workflows.</w:t>
            </w:r>
          </w:p>
        </w:tc>
      </w:tr>
      <w:tr>
        <w:tc>
          <w:tcPr>
            <w:tcW w:type="dxa" w:w="2448"/>
            <w:vAlign w:val="top"/>
            <w:shd w:fill="EAF2F8"/>
          </w:tcPr>
          <w:p>
            <w:r>
              <w:rPr>
                <w:b/>
                <w:color w:val="1F4E79"/>
                <w:sz w:val="16"/>
              </w:rPr>
              <w:t>Pricing / packaging logic</w:t>
            </w:r>
          </w:p>
        </w:tc>
        <w:tc>
          <w:tcPr>
            <w:tcW w:type="dxa" w:w="8352"/>
            <w:vAlign w:val="top"/>
          </w:tcPr>
          <w:p>
            <w:r>
              <w:rPr>
                <w:sz w:val="16"/>
              </w:rPr>
              <w:t>Subscription by asset portfolio/city/utility plus services for planning workshops and partner engineering support. Services must remain productized.</w:t>
            </w:r>
          </w:p>
        </w:tc>
      </w:tr>
    </w:tbl>
    <w:p>
      <w:pPr>
        <w:pStyle w:val="Heading3"/>
      </w:pPr>
      <w:r>
        <w:t>CTO final pathway</w:t>
      </w:r>
    </w:p>
    <w:p>
      <w:pPr>
        <w:spacing w:after="80"/>
      </w:pPr>
      <w:r>
        <w:t>Build GreenLang Adaptation Planner as a modular product on the shared substrate. The release target is FY30; GA is gated for FY30 Q4. Launch after RiskOS and early WaterOS/Microgrid needs are validated GA requires measure library and finance packet templates</w:t>
      </w:r>
    </w:p>
    <w:p>
      <w:pPr>
        <w:pStyle w:val="Heading3"/>
      </w:pPr>
      <w:r>
        <w:t>Why it exists</w:t>
      </w:r>
    </w:p>
    <w:p>
      <w:pPr>
        <w:spacing w:after="80"/>
      </w:pPr>
      <w:r>
        <w:t>UNEP's adaptation gap is $187-359B/year. Cities, utilities, and infra owners are starting to act, but there's no workflow from risk analytics → prioritized adaptation projects → financed capital plans. That's the gap Adaptation Planner fills.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infrastructure owners</w:t>
              <w:br/>
              <w:t>city resilience officers</w:t>
              <w:br/>
              <w:t>utility planners</w:t>
              <w:br/>
              <w:t>campus/facility teams</w:t>
              <w:br/>
              <w:t>finance teams</w:t>
              <w:br/>
              <w:t>engineering partners</w:t>
            </w:r>
          </w:p>
        </w:tc>
      </w:tr>
      <w:tr>
        <w:tc>
          <w:tcPr>
            <w:tcW w:type="dxa" w:w="3024"/>
            <w:vAlign w:val="top"/>
          </w:tcPr>
          <w:p>
            <w:r>
              <w:rPr>
                <w:sz w:val="16"/>
              </w:rPr>
              <w:t>Jobs to be done</w:t>
            </w:r>
          </w:p>
        </w:tc>
        <w:tc>
          <w:tcPr>
            <w:tcW w:type="dxa" w:w="8640"/>
            <w:vAlign w:val="top"/>
          </w:tcPr>
          <w:p>
            <w:r>
              <w:rPr>
                <w:sz w:val="16"/>
              </w:rPr>
              <w:t>Convert risk screens into adaptation projects</w:t>
              <w:br/>
              <w:t>Prioritize measures by risk reduction, cost, emissions, and co-benefits</w:t>
              <w:br/>
              <w:t>Build implementation roadmaps</w:t>
              <w:br/>
              <w:t>Track adaptation project progress</w:t>
              <w:br/>
              <w:t>Prepare grant/finance-ready documentation</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Adaptation-option catalog (nature-based + grey).</w:t>
              <w:br/>
              <w:t>Benefit-cost analysis per option per asset.</w:t>
              <w:br/>
              <w:t>Prioritization (risk-weighted NPV).</w:t>
              <w:br/>
              <w:t>Capital-plan builder aligned to grant + debt + insurance blended finance.</w:t>
              <w:br/>
              <w:t>Resilience-dividend modeling.</w:t>
              <w:br/>
              <w:t>Co-benefit tracking (biodiversity, equity, health).</w:t>
              <w:br/>
              <w:t>Disclosure export (CDP Cities, TCFD-aligned, SBTN adaptation).</w:t>
            </w:r>
          </w:p>
        </w:tc>
      </w:tr>
      <w:tr>
        <w:tc>
          <w:tcPr>
            <w:tcW w:type="dxa" w:w="3456"/>
            <w:vAlign w:val="top"/>
          </w:tcPr>
          <w:p>
            <w:r>
              <w:rPr>
                <w:sz w:val="16"/>
              </w:rPr>
              <w:t>In-scope product modules</w:t>
            </w:r>
          </w:p>
        </w:tc>
        <w:tc>
          <w:tcPr>
            <w:tcW w:type="dxa" w:w="8352"/>
            <w:vAlign w:val="top"/>
          </w:tcPr>
          <w:p>
            <w:r>
              <w:rPr>
                <w:sz w:val="16"/>
              </w:rPr>
              <w:t>adaptation measure library</w:t>
              <w:br/>
              <w:t>asset vulnerability workflow</w:t>
              <w:br/>
              <w:t>project prioritization model</w:t>
              <w:br/>
              <w:t>implementation roadmap</w:t>
              <w:br/>
              <w:t>cost-benefit tracker</w:t>
              <w:br/>
              <w:t>funding/finance packet</w:t>
              <w:br/>
              <w:t>monitoring dashboard</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asset risk scores</w:t>
              <w:br/>
              <w:t>hazard exposures</w:t>
              <w:br/>
              <w:t>asset criticality</w:t>
              <w:br/>
              <w:t>measure options</w:t>
              <w:br/>
              <w:t>capex/opex</w:t>
              <w:br/>
              <w:t>benefits</w:t>
              <w:br/>
              <w:t>implementation status</w:t>
              <w:br/>
              <w:t>evidence</w:t>
              <w:br/>
              <w:t>funding criteria</w:t>
            </w:r>
          </w:p>
        </w:tc>
      </w:tr>
      <w:tr>
        <w:tc>
          <w:tcPr>
            <w:tcW w:type="dxa" w:w="3384"/>
            <w:vAlign w:val="top"/>
          </w:tcPr>
          <w:p>
            <w:r>
              <w:rPr>
                <w:sz w:val="16"/>
              </w:rPr>
              <w:t>External/product integrations</w:t>
            </w:r>
          </w:p>
        </w:tc>
        <w:tc>
          <w:tcPr>
            <w:tcW w:type="dxa" w:w="8496"/>
            <w:vAlign w:val="top"/>
          </w:tcPr>
          <w:p>
            <w:r>
              <w:rPr>
                <w:sz w:val="16"/>
              </w:rPr>
              <w:t>RiskOS; WaterOS; CityOS; Transition Finance Studio; Microgrid Planner; Evidence Vault; engineering partner tools</w:t>
            </w:r>
          </w:p>
        </w:tc>
      </w:tr>
      <w:tr>
        <w:tc>
          <w:tcPr>
            <w:tcW w:type="dxa" w:w="3384"/>
            <w:vAlign w:val="top"/>
          </w:tcPr>
          <w:p>
            <w:r>
              <w:rPr>
                <w:sz w:val="16"/>
              </w:rPr>
              <w:t>GreenLang dependencies</w:t>
            </w:r>
          </w:p>
        </w:tc>
        <w:tc>
          <w:tcPr>
            <w:tcW w:type="dxa" w:w="8496"/>
            <w:vAlign w:val="top"/>
          </w:tcPr>
          <w:p>
            <w:r>
              <w:rPr>
                <w:sz w:val="16"/>
              </w:rPr>
              <w:t>RiskOS; Evidence Vault; WaterOS/Microgrid Planner for key domains; FinanceOS or Transition Finance Studio for finance workflows</w:t>
            </w:r>
          </w:p>
        </w:tc>
      </w:tr>
      <w:tr>
        <w:tc>
          <w:tcPr>
            <w:tcW w:type="dxa" w:w="3384"/>
            <w:vAlign w:val="top"/>
          </w:tcPr>
          <w:p>
            <w:r>
              <w:rPr>
                <w:sz w:val="16"/>
              </w:rPr>
              <w:t>Customer outputs and deliverables</w:t>
            </w:r>
          </w:p>
        </w:tc>
        <w:tc>
          <w:tcPr>
            <w:tcW w:type="dxa" w:w="8496"/>
            <w:vAlign w:val="top"/>
          </w:tcPr>
          <w:p>
            <w:r>
              <w:rPr>
                <w:sz w:val="16"/>
              </w:rPr>
              <w:t>adaptation plan</w:t>
              <w:br/>
              <w:t>project priority list</w:t>
              <w:br/>
              <w:t>cost-benefit report</w:t>
              <w:br/>
              <w:t>implementation dashboard</w:t>
              <w:br/>
              <w:t>funding application data pack</w:t>
              <w:br/>
              <w:t>resilience KPI tracker</w:t>
            </w:r>
          </w:p>
        </w:tc>
      </w:tr>
    </w:tbl>
    <w:p>
      <w:pPr>
        <w:pStyle w:val="Heading3"/>
      </w:pPr>
      <w:r>
        <w:t>AI and automation behavior</w:t>
      </w:r>
    </w:p>
    <w:p>
      <w:pPr>
        <w:pStyle w:val="ListBullet"/>
        <w:spacing w:after="20"/>
      </w:pPr>
      <w:r>
        <w:t>measure recommendation</w:t>
      </w:r>
    </w:p>
    <w:p>
      <w:pPr>
        <w:pStyle w:val="ListBullet"/>
        <w:spacing w:after="20"/>
      </w:pPr>
      <w:r>
        <w:t>funding narrative drafting</w:t>
      </w:r>
    </w:p>
    <w:p>
      <w:pPr>
        <w:pStyle w:val="ListBullet"/>
        <w:spacing w:after="20"/>
      </w:pPr>
      <w:r>
        <w:t>portfolio prioritization assistant</w:t>
      </w:r>
    </w:p>
    <w:p>
      <w:pPr>
        <w:pStyle w:val="ListBullet"/>
        <w:spacing w:after="20"/>
      </w:pPr>
      <w:r>
        <w:t>implementation risk summarizer</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Coastal + flood + heat adaptation options; 2 design partners.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Prioritization + BCA.</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Capital-plan builder; blended-finance templates.</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First financed plan deployed via Transition Finance Studio.</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Resilience-dividend models; co-benefit tracking.</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Launch after RiskOS and early WaterOS/Microgrid needs are validated</w:t>
      </w:r>
    </w:p>
    <w:p>
      <w:pPr>
        <w:pStyle w:val="ListBullet"/>
        <w:spacing w:after="20"/>
      </w:pPr>
      <w:r>
        <w:t>GA requires measure library and finance packet templates</w:t>
      </w:r>
    </w:p>
    <w:p>
      <w:pPr>
        <w:pStyle w:val="ListBullet"/>
        <w:spacing w:after="20"/>
      </w:pPr>
      <w:r>
        <w:t>Do not become bespoke consulting practice</w:t>
      </w:r>
    </w:p>
    <w:p>
      <w:pPr>
        <w:pStyle w:val="ListBullet"/>
        <w:spacing w:after="20"/>
      </w:pPr>
      <w:r>
        <w:t>Public-sector pilots should be standardized into reusable templates</w:t>
      </w:r>
    </w:p>
    <w:p>
      <w:pPr>
        <w:pStyle w:val="Heading3"/>
      </w:pPr>
      <w:r>
        <w:t>Key risks to actively manage</w:t>
      </w:r>
    </w:p>
    <w:p>
      <w:pPr>
        <w:pStyle w:val="ListBullet"/>
        <w:spacing w:after="20"/>
      </w:pPr>
      <w:r>
        <w:t>services-heavy delivery</w:t>
      </w:r>
    </w:p>
    <w:p>
      <w:pPr>
        <w:pStyle w:val="ListBullet"/>
        <w:spacing w:after="20"/>
      </w:pPr>
      <w:r>
        <w:t>adaptation benefits hard to quantify</w:t>
      </w:r>
    </w:p>
    <w:p>
      <w:pPr>
        <w:pStyle w:val="ListBullet"/>
        <w:spacing w:after="20"/>
      </w:pPr>
      <w:r>
        <w:t>public procurement delays</w:t>
      </w:r>
    </w:p>
    <w:p>
      <w:pPr>
        <w:pStyle w:val="ListBullet"/>
        <w:spacing w:after="20"/>
      </w:pPr>
      <w:r>
        <w:t>engineering liability</w:t>
      </w:r>
    </w:p>
    <w:p>
      <w:pPr>
        <w:pStyle w:val="Heading3"/>
      </w:pPr>
      <w:r>
        <w:t>Success metrics</w:t>
      </w:r>
    </w:p>
    <w:p>
      <w:pPr>
        <w:pStyle w:val="ListBullet"/>
        <w:spacing w:after="20"/>
      </w:pPr>
      <w:r>
        <w:t>projects created</w:t>
      </w:r>
    </w:p>
    <w:p>
      <w:pPr>
        <w:pStyle w:val="ListBullet"/>
        <w:spacing w:after="20"/>
      </w:pPr>
      <w:r>
        <w:t>adaptation capital pipeline</w:t>
      </w:r>
    </w:p>
    <w:p>
      <w:pPr>
        <w:pStyle w:val="ListBullet"/>
        <w:spacing w:after="20"/>
      </w:pPr>
      <w:r>
        <w:t>plans funded</w:t>
      </w:r>
    </w:p>
    <w:p>
      <w:pPr>
        <w:pStyle w:val="ListBullet"/>
        <w:spacing w:after="20"/>
      </w:pPr>
      <w:r>
        <w:t>implementation progress</w:t>
      </w:r>
    </w:p>
    <w:p>
      <w:pPr>
        <w:pStyle w:val="ListBullet"/>
        <w:spacing w:after="20"/>
      </w:pPr>
      <w:r>
        <w:t>risk reduction indicators</w:t>
      </w:r>
    </w:p>
    <w:p>
      <w:pPr>
        <w:pStyle w:val="Heading3"/>
      </w:pPr>
      <w:r>
        <w:t>Dependency notes</w:t>
      </w:r>
    </w:p>
    <w:p>
      <w:pPr>
        <w:pStyle w:val="ListBullet"/>
        <w:spacing w:after="20"/>
      </w:pPr>
      <w:r>
        <w:t>Upstream: RiskOS, Entity Graph, WaterOS, Nature/TNFD Hub.</w:t>
      </w:r>
    </w:p>
    <w:p>
      <w:pPr>
        <w:pStyle w:val="ListBullet"/>
        <w:spacing w:after="20"/>
      </w:pPr>
      <w:r>
        <w:t>Downstream: Transition Finance Studio, CityOS, Comply.</w:t>
      </w:r>
    </w:p>
    <w:p>
      <w:r>
        <w:br w:type="page"/>
      </w:r>
    </w:p>
    <w:p>
      <w:pPr>
        <w:pStyle w:val="Heading2"/>
      </w:pPr>
      <w:r>
        <w:t>30. GreenLang CityOS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FY31</w:t>
            </w:r>
          </w:p>
        </w:tc>
      </w:tr>
      <w:tr>
        <w:tc>
          <w:tcPr>
            <w:tcW w:type="dxa" w:w="2448"/>
            <w:vAlign w:val="top"/>
            <w:shd w:fill="EAF2F8"/>
          </w:tcPr>
          <w:p>
            <w:r>
              <w:rPr>
                <w:b/>
                <w:color w:val="1F4E79"/>
                <w:sz w:val="16"/>
              </w:rPr>
              <w:t>Recommended v1.0 GA</w:t>
            </w:r>
          </w:p>
        </w:tc>
        <w:tc>
          <w:tcPr>
            <w:tcW w:type="dxa" w:w="8352"/>
            <w:vAlign w:val="top"/>
          </w:tcPr>
          <w:p>
            <w:r>
              <w:rPr>
                <w:sz w:val="16"/>
              </w:rPr>
              <w:t>FY31 Q4</w:t>
            </w:r>
          </w:p>
        </w:tc>
      </w:tr>
      <w:tr>
        <w:tc>
          <w:tcPr>
            <w:tcW w:type="dxa" w:w="2448"/>
            <w:vAlign w:val="top"/>
            <w:shd w:fill="EAF2F8"/>
          </w:tcPr>
          <w:p>
            <w:r>
              <w:rPr>
                <w:b/>
                <w:color w:val="1F4E79"/>
                <w:sz w:val="16"/>
              </w:rPr>
              <w:t>Cloud / squad</w:t>
            </w:r>
          </w:p>
        </w:tc>
        <w:tc>
          <w:tcPr>
            <w:tcW w:type="dxa" w:w="8352"/>
            <w:vAlign w:val="top"/>
          </w:tcPr>
          <w:p>
            <w:r>
              <w:rPr>
                <w:sz w:val="16"/>
              </w:rPr>
              <w:t>Risk &amp; Public Sector / Risk, Adaptation &amp; Public Sector Squad</w:t>
            </w:r>
          </w:p>
        </w:tc>
      </w:tr>
      <w:tr>
        <w:tc>
          <w:tcPr>
            <w:tcW w:type="dxa" w:w="2448"/>
            <w:vAlign w:val="top"/>
            <w:shd w:fill="EAF2F8"/>
          </w:tcPr>
          <w:p>
            <w:r>
              <w:rPr>
                <w:b/>
                <w:color w:val="1F4E79"/>
                <w:sz w:val="16"/>
              </w:rPr>
              <w:t>Primary buyer</w:t>
            </w:r>
          </w:p>
        </w:tc>
        <w:tc>
          <w:tcPr>
            <w:tcW w:type="dxa" w:w="8352"/>
            <w:vAlign w:val="top"/>
          </w:tcPr>
          <w:p>
            <w:r>
              <w:rPr>
                <w:sz w:val="16"/>
              </w:rPr>
              <w:t>Cities, states, utilities, public agencies, infrastructure coalitions</w:t>
            </w:r>
          </w:p>
        </w:tc>
      </w:tr>
      <w:tr>
        <w:tc>
          <w:tcPr>
            <w:tcW w:type="dxa" w:w="2448"/>
            <w:vAlign w:val="top"/>
            <w:shd w:fill="EAF2F8"/>
          </w:tcPr>
          <w:p>
            <w:r>
              <w:rPr>
                <w:b/>
                <w:color w:val="1F4E79"/>
                <w:sz w:val="16"/>
              </w:rPr>
              <w:t>Revenue model</w:t>
            </w:r>
          </w:p>
        </w:tc>
        <w:tc>
          <w:tcPr>
            <w:tcW w:type="dxa" w:w="8352"/>
            <w:vAlign w:val="top"/>
          </w:tcPr>
          <w:p>
            <w:r>
              <w:rPr>
                <w:sz w:val="16"/>
              </w:rPr>
              <w:t>Multi-year licenses</w:t>
            </w:r>
          </w:p>
        </w:tc>
      </w:tr>
      <w:tr>
        <w:tc>
          <w:tcPr>
            <w:tcW w:type="dxa" w:w="2448"/>
            <w:vAlign w:val="top"/>
            <w:shd w:fill="EAF2F8"/>
          </w:tcPr>
          <w:p>
            <w:r>
              <w:rPr>
                <w:b/>
                <w:color w:val="1F4E79"/>
                <w:sz w:val="16"/>
              </w:rPr>
              <w:t>Definition</w:t>
            </w:r>
          </w:p>
        </w:tc>
        <w:tc>
          <w:tcPr>
            <w:tcW w:type="dxa" w:w="8352"/>
            <w:vAlign w:val="top"/>
          </w:tcPr>
          <w:p>
            <w:r>
              <w:rPr>
                <w:sz w:val="16"/>
              </w:rPr>
              <w:t>A public-sector climate operating layer for city and regional emissions, risk, adaptation, infrastructure planning, water, waste/circularity, public dashboards, project portfolios, and multi-stakeholder collaboration.</w:t>
            </w:r>
          </w:p>
        </w:tc>
      </w:tr>
      <w:tr>
        <w:tc>
          <w:tcPr>
            <w:tcW w:type="dxa" w:w="2448"/>
            <w:vAlign w:val="top"/>
            <w:shd w:fill="EAF2F8"/>
          </w:tcPr>
          <w:p>
            <w:r>
              <w:rPr>
                <w:b/>
                <w:color w:val="1F4E79"/>
                <w:sz w:val="16"/>
              </w:rPr>
              <w:t>Strategic role</w:t>
            </w:r>
          </w:p>
        </w:tc>
        <w:tc>
          <w:tcPr>
            <w:tcW w:type="dxa" w:w="8352"/>
            <w:vAlign w:val="top"/>
          </w:tcPr>
          <w:p>
            <w:r>
              <w:rPr>
                <w:sz w:val="16"/>
              </w:rPr>
              <w:t>CityOS is a FY31 expansion that should only happen when the enterprise substrate is strong. It provides strategic public-sector visibility and long-duration licenses but has procurement complexity.</w:t>
            </w:r>
          </w:p>
        </w:tc>
      </w:tr>
      <w:tr>
        <w:tc>
          <w:tcPr>
            <w:tcW w:type="dxa" w:w="2448"/>
            <w:vAlign w:val="top"/>
            <w:shd w:fill="EAF2F8"/>
          </w:tcPr>
          <w:p>
            <w:r>
              <w:rPr>
                <w:b/>
                <w:color w:val="1F4E79"/>
                <w:sz w:val="16"/>
              </w:rPr>
              <w:t>Pricing / packaging logic</w:t>
            </w:r>
          </w:p>
        </w:tc>
        <w:tc>
          <w:tcPr>
            <w:tcW w:type="dxa" w:w="8352"/>
            <w:vAlign w:val="top"/>
          </w:tcPr>
          <w:p>
            <w:r>
              <w:rPr>
                <w:sz w:val="16"/>
              </w:rPr>
              <w:t>Multi-year public-sector license with implementation partner model; pricing by population, departments, assets, and modules. Avoid one-off grant-funded custom builds.</w:t>
            </w:r>
          </w:p>
        </w:tc>
      </w:tr>
    </w:tbl>
    <w:p>
      <w:pPr>
        <w:pStyle w:val="Heading3"/>
      </w:pPr>
      <w:r>
        <w:t>CTO final pathway</w:t>
      </w:r>
    </w:p>
    <w:p>
      <w:pPr>
        <w:spacing w:after="80"/>
      </w:pPr>
      <w:r>
        <w:t>Build GreenLang CityOS as a modular product on the shared substrate. The release target is FY31; GA is gated for FY31 Q4. Do not launch before RiskOS and Adaptation Planner mature Requires public-sector procurement/channel partner</w:t>
      </w:r>
    </w:p>
    <w:p>
      <w:pPr>
        <w:pStyle w:val="Heading3"/>
      </w:pPr>
      <w:r>
        <w:t>Why it exists</w:t>
      </w:r>
    </w:p>
    <w:p>
      <w:pPr>
        <w:spacing w:after="80"/>
      </w:pPr>
      <w:r>
        <w:t>Cities are climate's front line but run on disconnected tools. GPC inventories are done in Excel; action plans in Word; adaptation in separate consultancy reports; resident engagement nowhere. Climate cities (C40, GCoM) are ready to consolidate on a platform.</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city sustainability offices</w:t>
              <w:br/>
              <w:t>resilience offices</w:t>
              <w:br/>
              <w:t>utilities</w:t>
              <w:br/>
              <w:t>transport/waste departments</w:t>
              <w:br/>
              <w:t>public finance teams</w:t>
              <w:br/>
              <w:t>consultants and implementation partners</w:t>
            </w:r>
          </w:p>
        </w:tc>
      </w:tr>
      <w:tr>
        <w:tc>
          <w:tcPr>
            <w:tcW w:type="dxa" w:w="3024"/>
            <w:vAlign w:val="top"/>
          </w:tcPr>
          <w:p>
            <w:r>
              <w:rPr>
                <w:sz w:val="16"/>
              </w:rPr>
              <w:t>Jobs to be done</w:t>
            </w:r>
          </w:p>
        </w:tc>
        <w:tc>
          <w:tcPr>
            <w:tcW w:type="dxa" w:w="8640"/>
            <w:vAlign w:val="top"/>
          </w:tcPr>
          <w:p>
            <w:r>
              <w:rPr>
                <w:sz w:val="16"/>
              </w:rPr>
              <w:t>Maintain city emissions and risk inventory</w:t>
              <w:br/>
              <w:t>Coordinate adaptation and decarbonization projects</w:t>
              <w:br/>
              <w:t>Track public-sector targets and funding opportunities</w:t>
              <w:br/>
              <w:t>Integrate utility, water, transport, and waste data</w:t>
              <w:br/>
              <w:t>Publish stakeholder-facing dashboards where appropriate</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GPC-aligned community GHG inventory.</w:t>
              <w:br/>
              <w:t>Climate Action Plan builder with modeled trajectories.</w:t>
              <w:br/>
              <w:t>Adaptation Planner integration for resilience.</w:t>
              <w:br/>
              <w:t>Procurement module (embodied carbon in city procurement).</w:t>
              <w:br/>
              <w:t>Resident engagement (disclosure dashboards, feedback).</w:t>
              <w:br/>
              <w:t>CDP Cities + GCoM reporting.</w:t>
              <w:br/>
              <w:t>Grant/funding tracker (DOE, EU Mission Cities, MDB support).</w:t>
            </w:r>
          </w:p>
        </w:tc>
      </w:tr>
      <w:tr>
        <w:tc>
          <w:tcPr>
            <w:tcW w:type="dxa" w:w="3456"/>
            <w:vAlign w:val="top"/>
          </w:tcPr>
          <w:p>
            <w:r>
              <w:rPr>
                <w:sz w:val="16"/>
              </w:rPr>
              <w:t>In-scope product modules</w:t>
            </w:r>
          </w:p>
        </w:tc>
        <w:tc>
          <w:tcPr>
            <w:tcW w:type="dxa" w:w="8352"/>
            <w:vAlign w:val="top"/>
          </w:tcPr>
          <w:p>
            <w:r>
              <w:rPr>
                <w:sz w:val="16"/>
              </w:rPr>
              <w:t>city entity/asset graph</w:t>
              <w:br/>
              <w:t>community and municipal emissions modules</w:t>
              <w:br/>
              <w:t>risk/adaptation portfolio</w:t>
              <w:br/>
              <w:t>project portfolio dashboard</w:t>
              <w:br/>
              <w:t>public reporting layer</w:t>
              <w:br/>
              <w:t>department collaboration</w:t>
              <w:br/>
              <w:t>funding tracker</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municipal assets</w:t>
              <w:br/>
              <w:t>community emissions inputs</w:t>
              <w:br/>
              <w:t>utility data</w:t>
              <w:br/>
              <w:t>transport/waste/water data</w:t>
              <w:br/>
              <w:t>risk overlays</w:t>
              <w:br/>
              <w:t>project data</w:t>
              <w:br/>
              <w:t>budgets</w:t>
              <w:br/>
              <w:t>funding sources</w:t>
              <w:br/>
              <w:t>public evidence</w:t>
            </w:r>
          </w:p>
        </w:tc>
      </w:tr>
      <w:tr>
        <w:tc>
          <w:tcPr>
            <w:tcW w:type="dxa" w:w="3384"/>
            <w:vAlign w:val="top"/>
          </w:tcPr>
          <w:p>
            <w:r>
              <w:rPr>
                <w:sz w:val="16"/>
              </w:rPr>
              <w:t>External/product integrations</w:t>
            </w:r>
          </w:p>
        </w:tc>
        <w:tc>
          <w:tcPr>
            <w:tcW w:type="dxa" w:w="8496"/>
            <w:vAlign w:val="top"/>
          </w:tcPr>
          <w:p>
            <w:r>
              <w:rPr>
                <w:sz w:val="16"/>
              </w:rPr>
              <w:t>RiskOS; Adaptation Planner; WaterOS; Circularity Hub; FleetOS; BuildingOS; FinanceOS; public data portals</w:t>
            </w:r>
          </w:p>
        </w:tc>
      </w:tr>
      <w:tr>
        <w:tc>
          <w:tcPr>
            <w:tcW w:type="dxa" w:w="3384"/>
            <w:vAlign w:val="top"/>
          </w:tcPr>
          <w:p>
            <w:r>
              <w:rPr>
                <w:sz w:val="16"/>
              </w:rPr>
              <w:t>GreenLang dependencies</w:t>
            </w:r>
          </w:p>
        </w:tc>
        <w:tc>
          <w:tcPr>
            <w:tcW w:type="dxa" w:w="8496"/>
            <w:vAlign w:val="top"/>
          </w:tcPr>
          <w:p>
            <w:r>
              <w:rPr>
                <w:sz w:val="16"/>
              </w:rPr>
              <w:t>RiskOS; Adaptation Planner; WaterOS; Entity Graph; Evidence Vault; public-sector partner channel</w:t>
            </w:r>
          </w:p>
        </w:tc>
      </w:tr>
      <w:tr>
        <w:tc>
          <w:tcPr>
            <w:tcW w:type="dxa" w:w="3384"/>
            <w:vAlign w:val="top"/>
          </w:tcPr>
          <w:p>
            <w:r>
              <w:rPr>
                <w:sz w:val="16"/>
              </w:rPr>
              <w:t>Customer outputs and deliverables</w:t>
            </w:r>
          </w:p>
        </w:tc>
        <w:tc>
          <w:tcPr>
            <w:tcW w:type="dxa" w:w="8496"/>
            <w:vAlign w:val="top"/>
          </w:tcPr>
          <w:p>
            <w:r>
              <w:rPr>
                <w:sz w:val="16"/>
              </w:rPr>
              <w:t>city climate dashboard</w:t>
              <w:br/>
              <w:t>project portfolio</w:t>
              <w:br/>
              <w:t>adaptation plan</w:t>
              <w:br/>
              <w:t>emissions inventory</w:t>
              <w:br/>
              <w:t>public dashboard</w:t>
              <w:br/>
              <w:t>funding pipeline report</w:t>
            </w:r>
          </w:p>
        </w:tc>
      </w:tr>
    </w:tbl>
    <w:p>
      <w:pPr>
        <w:pStyle w:val="Heading3"/>
      </w:pPr>
      <w:r>
        <w:t>AI and automation behavior</w:t>
      </w:r>
    </w:p>
    <w:p>
      <w:pPr>
        <w:pStyle w:val="ListBullet"/>
        <w:spacing w:after="20"/>
      </w:pPr>
      <w:r>
        <w:t>public dashboard narrative drafting</w:t>
      </w:r>
    </w:p>
    <w:p>
      <w:pPr>
        <w:pStyle w:val="ListBullet"/>
        <w:spacing w:after="20"/>
      </w:pPr>
      <w:r>
        <w:t>project prioritization assistant</w:t>
      </w:r>
    </w:p>
    <w:p>
      <w:pPr>
        <w:pStyle w:val="ListBullet"/>
        <w:spacing w:after="20"/>
      </w:pPr>
      <w:r>
        <w:t>grant/funding application support</w:t>
      </w:r>
    </w:p>
    <w:p>
      <w:pPr>
        <w:pStyle w:val="ListBullet"/>
        <w:spacing w:after="20"/>
      </w:pPr>
      <w:r>
        <w:t>department data-gap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FY31 Q1</w:t>
            </w:r>
          </w:p>
        </w:tc>
        <w:tc>
          <w:tcPr>
            <w:tcW w:type="dxa" w:w="7776"/>
            <w:vAlign w:val="top"/>
          </w:tcPr>
          <w:p>
            <w:r>
              <w:rPr>
                <w:sz w:val="16"/>
              </w:rPr>
              <w:t>GPC inventory + CAP builder; 2 design-partner cities.</w:t>
            </w:r>
          </w:p>
        </w:tc>
      </w:tr>
      <w:tr>
        <w:tc>
          <w:tcPr>
            <w:tcW w:type="dxa" w:w="1872"/>
            <w:vAlign w:val="top"/>
          </w:tcPr>
          <w:p>
            <w:r>
              <w:rPr>
                <w:sz w:val="16"/>
              </w:rPr>
              <w:t>v0.5 Closed Beta</w:t>
            </w:r>
          </w:p>
        </w:tc>
        <w:tc>
          <w:tcPr>
            <w:tcW w:type="dxa" w:w="2304"/>
            <w:vAlign w:val="top"/>
          </w:tcPr>
          <w:p>
            <w:r>
              <w:rPr>
                <w:sz w:val="16"/>
              </w:rPr>
              <w:t>FY31 Q2</w:t>
            </w:r>
          </w:p>
        </w:tc>
        <w:tc>
          <w:tcPr>
            <w:tcW w:type="dxa" w:w="7776"/>
            <w:vAlign w:val="top"/>
          </w:tcPr>
          <w:p>
            <w:r>
              <w:rPr>
                <w:sz w:val="16"/>
              </w:rPr>
              <w:t>Adaptation integration; CDP Cities export.</w:t>
            </w:r>
          </w:p>
        </w:tc>
      </w:tr>
      <w:tr>
        <w:tc>
          <w:tcPr>
            <w:tcW w:type="dxa" w:w="1872"/>
            <w:vAlign w:val="top"/>
          </w:tcPr>
          <w:p>
            <w:r>
              <w:rPr>
                <w:sz w:val="16"/>
              </w:rPr>
              <w:t>v0.9 Public Beta</w:t>
            </w:r>
          </w:p>
        </w:tc>
        <w:tc>
          <w:tcPr>
            <w:tcW w:type="dxa" w:w="2304"/>
            <w:vAlign w:val="top"/>
          </w:tcPr>
          <w:p>
            <w:r>
              <w:rPr>
                <w:sz w:val="16"/>
              </w:rPr>
              <w:t>FY31 Q3</w:t>
            </w:r>
          </w:p>
        </w:tc>
        <w:tc>
          <w:tcPr>
            <w:tcW w:type="dxa" w:w="7776"/>
            <w:vAlign w:val="top"/>
          </w:tcPr>
          <w:p>
            <w:r>
              <w:rPr>
                <w:sz w:val="16"/>
              </w:rPr>
              <w:t>Procurement module; resident portal.</w:t>
            </w:r>
          </w:p>
        </w:tc>
      </w:tr>
      <w:tr>
        <w:tc>
          <w:tcPr>
            <w:tcW w:type="dxa" w:w="1872"/>
            <w:vAlign w:val="top"/>
          </w:tcPr>
          <w:p>
            <w:r>
              <w:rPr>
                <w:sz w:val="16"/>
              </w:rPr>
              <w:t>v1.0 GA</w:t>
            </w:r>
          </w:p>
        </w:tc>
        <w:tc>
          <w:tcPr>
            <w:tcW w:type="dxa" w:w="2304"/>
            <w:vAlign w:val="top"/>
          </w:tcPr>
          <w:p>
            <w:r>
              <w:rPr>
                <w:sz w:val="16"/>
              </w:rPr>
              <w:t>FY31 Q4</w:t>
            </w:r>
          </w:p>
        </w:tc>
        <w:tc>
          <w:tcPr>
            <w:tcW w:type="dxa" w:w="7776"/>
            <w:vAlign w:val="top"/>
          </w:tcPr>
          <w:p>
            <w:r>
              <w:rPr>
                <w:sz w:val="16"/>
              </w:rPr>
              <w:t>First multi-year enterprise deployment live.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launch before RiskOS and Adaptation Planner mature</w:t>
      </w:r>
    </w:p>
    <w:p>
      <w:pPr>
        <w:pStyle w:val="ListBullet"/>
        <w:spacing w:after="20"/>
      </w:pPr>
      <w:r>
        <w:t>Requires public-sector procurement/channel partner</w:t>
      </w:r>
    </w:p>
    <w:p>
      <w:pPr>
        <w:pStyle w:val="ListBullet"/>
        <w:spacing w:after="20"/>
      </w:pPr>
      <w:r>
        <w:t>Start with paid pilots, not free civic demos</w:t>
      </w:r>
    </w:p>
    <w:p>
      <w:pPr>
        <w:pStyle w:val="ListBullet"/>
        <w:spacing w:after="20"/>
      </w:pPr>
      <w:r>
        <w:t>Public data sharing and privacy must be governed</w:t>
      </w:r>
    </w:p>
    <w:p>
      <w:pPr>
        <w:pStyle w:val="Heading3"/>
      </w:pPr>
      <w:r>
        <w:t>Key risks to actively manage</w:t>
      </w:r>
    </w:p>
    <w:p>
      <w:pPr>
        <w:pStyle w:val="ListBullet"/>
        <w:spacing w:after="20"/>
      </w:pPr>
      <w:r>
        <w:t>slow procurement</w:t>
      </w:r>
    </w:p>
    <w:p>
      <w:pPr>
        <w:pStyle w:val="ListBullet"/>
        <w:spacing w:after="20"/>
      </w:pPr>
      <w:r>
        <w:t>custom political requirements</w:t>
      </w:r>
    </w:p>
    <w:p>
      <w:pPr>
        <w:pStyle w:val="ListBullet"/>
        <w:spacing w:after="20"/>
      </w:pPr>
      <w:r>
        <w:t>data fragmentation across departments</w:t>
      </w:r>
    </w:p>
    <w:p>
      <w:pPr>
        <w:pStyle w:val="ListBullet"/>
        <w:spacing w:after="20"/>
      </w:pPr>
      <w:r>
        <w:t>low-margin services</w:t>
      </w:r>
    </w:p>
    <w:p>
      <w:pPr>
        <w:pStyle w:val="Heading3"/>
      </w:pPr>
      <w:r>
        <w:t>Success metrics</w:t>
      </w:r>
    </w:p>
    <w:p>
      <w:pPr>
        <w:pStyle w:val="ListBullet"/>
        <w:spacing w:after="20"/>
      </w:pPr>
      <w:r>
        <w:t>multi-year licenses</w:t>
      </w:r>
    </w:p>
    <w:p>
      <w:pPr>
        <w:pStyle w:val="ListBullet"/>
        <w:spacing w:after="20"/>
      </w:pPr>
      <w:r>
        <w:t>departments onboarded</w:t>
      </w:r>
    </w:p>
    <w:p>
      <w:pPr>
        <w:pStyle w:val="ListBullet"/>
        <w:spacing w:after="20"/>
      </w:pPr>
      <w:r>
        <w:t>projects tracked</w:t>
      </w:r>
    </w:p>
    <w:p>
      <w:pPr>
        <w:pStyle w:val="ListBullet"/>
        <w:spacing w:after="20"/>
      </w:pPr>
      <w:r>
        <w:t>public dashboards published</w:t>
      </w:r>
    </w:p>
    <w:p>
      <w:pPr>
        <w:pStyle w:val="ListBullet"/>
        <w:spacing w:after="20"/>
      </w:pPr>
      <w:r>
        <w:t>renewal/funding success</w:t>
      </w:r>
    </w:p>
    <w:p>
      <w:pPr>
        <w:pStyle w:val="ListBullet"/>
        <w:spacing w:after="20"/>
      </w:pPr>
      <w:r>
        <w:t>Finance &amp; Markets</w:t>
      </w:r>
    </w:p>
    <w:p>
      <w:pPr>
        <w:pStyle w:val="Heading3"/>
      </w:pPr>
      <w:r>
        <w:t>Dependency notes</w:t>
      </w:r>
    </w:p>
    <w:p>
      <w:pPr>
        <w:pStyle w:val="ListBullet"/>
        <w:spacing w:after="20"/>
      </w:pPr>
      <w:r>
        <w:t>Upstream: Ledger, Entity Graph, RiskOS, Adaptation Planner.</w:t>
      </w:r>
    </w:p>
    <w:p>
      <w:pPr>
        <w:pStyle w:val="ListBullet"/>
        <w:spacing w:after="20"/>
      </w:pPr>
      <w:r>
        <w:t>Downstream: Transition Finance Studio, Comply (city-level disclosure).</w:t>
      </w:r>
    </w:p>
    <w:p>
      <w:pPr>
        <w:pStyle w:val="ListBullet"/>
        <w:spacing w:after="20"/>
      </w:pPr>
      <w:r>
        <w:t>10. Finance &amp; Markets</w:t>
      </w:r>
    </w:p>
    <w:p>
      <w:pPr>
        <w:pStyle w:val="ListBullet"/>
        <w:spacing w:after="20"/>
      </w:pPr>
      <w:r>
        <w:t>This chapter covers 5 products in the Finance &amp; Markets. Each product is specified at PRD-lite depth: definition, buyer, core capabilities, data/integrations, revenue model, full version roadmap, success KPIs, and upstream/downstream dependencies.</w:t>
      </w:r>
    </w:p>
    <w:p>
      <w:r>
        <w:br w:type="page"/>
      </w:r>
    </w:p>
    <w:p>
      <w:pPr>
        <w:pStyle w:val="Heading1"/>
      </w:pPr>
      <w:r>
        <w:t>Finance &amp; Markets</w:t>
      </w:r>
    </w:p>
    <w:p>
      <w:pPr>
        <w:spacing w:after="80"/>
      </w:pPr>
      <w:r>
        <w:t>Proceed after the trust substrate is credible. Keep analytics separate from regulated financial advice, require legal review for transaction/take-rate flows, and sequence MRV before marketplaces or CDR portfolios.</w:t>
      </w:r>
    </w:p>
    <w:p>
      <w:r>
        <w:br w:type="page"/>
      </w:r>
    </w:p>
    <w:p>
      <w:pPr>
        <w:pStyle w:val="Heading2"/>
      </w:pPr>
      <w:r>
        <w:t>31. GreenLang FinanceOS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Finance &amp; Markets / Finance, MRV &amp; Markets Squad</w:t>
            </w:r>
          </w:p>
        </w:tc>
      </w:tr>
      <w:tr>
        <w:tc>
          <w:tcPr>
            <w:tcW w:type="dxa" w:w="2448"/>
            <w:vAlign w:val="top"/>
            <w:shd w:fill="EAF2F8"/>
          </w:tcPr>
          <w:p>
            <w:r>
              <w:rPr>
                <w:b/>
                <w:color w:val="1F4E79"/>
                <w:sz w:val="16"/>
              </w:rPr>
              <w:t>Primary buyer</w:t>
            </w:r>
          </w:p>
        </w:tc>
        <w:tc>
          <w:tcPr>
            <w:tcW w:type="dxa" w:w="8352"/>
            <w:vAlign w:val="top"/>
          </w:tcPr>
          <w:p>
            <w:r>
              <w:rPr>
                <w:sz w:val="16"/>
              </w:rPr>
              <w:t>Banks, private equity, asset managers, lenders, insurers, corporate finance teams</w:t>
            </w:r>
          </w:p>
        </w:tc>
      </w:tr>
      <w:tr>
        <w:tc>
          <w:tcPr>
            <w:tcW w:type="dxa" w:w="2448"/>
            <w:vAlign w:val="top"/>
            <w:shd w:fill="EAF2F8"/>
          </w:tcPr>
          <w:p>
            <w:r>
              <w:rPr>
                <w:b/>
                <w:color w:val="1F4E79"/>
                <w:sz w:val="16"/>
              </w:rPr>
              <w:t>Revenue model</w:t>
            </w:r>
          </w:p>
        </w:tc>
        <w:tc>
          <w:tcPr>
            <w:tcW w:type="dxa" w:w="8352"/>
            <w:vAlign w:val="top"/>
          </w:tcPr>
          <w:p>
            <w:r>
              <w:rPr>
                <w:sz w:val="16"/>
              </w:rPr>
              <w:t>Enterprise subscription</w:t>
            </w:r>
          </w:p>
        </w:tc>
      </w:tr>
      <w:tr>
        <w:tc>
          <w:tcPr>
            <w:tcW w:type="dxa" w:w="2448"/>
            <w:vAlign w:val="top"/>
            <w:shd w:fill="EAF2F8"/>
          </w:tcPr>
          <w:p>
            <w:r>
              <w:rPr>
                <w:b/>
                <w:color w:val="1F4E79"/>
                <w:sz w:val="16"/>
              </w:rPr>
              <w:t>Definition</w:t>
            </w:r>
          </w:p>
        </w:tc>
        <w:tc>
          <w:tcPr>
            <w:tcW w:type="dxa" w:w="8352"/>
            <w:vAlign w:val="top"/>
          </w:tcPr>
          <w:p>
            <w:r>
              <w:rPr>
                <w:sz w:val="16"/>
              </w:rPr>
              <w:t>A portfolio climate analytics product for financed emissions, transition exposure, borrower/company climate data, asset risk, covenant/reporting workflows, and investment/lending decision support.</w:t>
            </w:r>
          </w:p>
        </w:tc>
      </w:tr>
      <w:tr>
        <w:tc>
          <w:tcPr>
            <w:tcW w:type="dxa" w:w="2448"/>
            <w:vAlign w:val="top"/>
            <w:shd w:fill="EAF2F8"/>
          </w:tcPr>
          <w:p>
            <w:r>
              <w:rPr>
                <w:b/>
                <w:color w:val="1F4E79"/>
                <w:sz w:val="16"/>
              </w:rPr>
              <w:t>Strategic role</w:t>
            </w:r>
          </w:p>
        </w:tc>
        <w:tc>
          <w:tcPr>
            <w:tcW w:type="dxa" w:w="8352"/>
            <w:vAlign w:val="top"/>
          </w:tcPr>
          <w:p>
            <w:r>
              <w:rPr>
                <w:sz w:val="16"/>
              </w:rPr>
              <w:t>FinanceOS expands GreenLang into CFO, investor, lender, and insurance buyer categories. It monetizes enterprise climate data as finance-grade portfolio intelligence.</w:t>
            </w:r>
          </w:p>
        </w:tc>
      </w:tr>
      <w:tr>
        <w:tc>
          <w:tcPr>
            <w:tcW w:type="dxa" w:w="2448"/>
            <w:vAlign w:val="top"/>
            <w:shd w:fill="EAF2F8"/>
          </w:tcPr>
          <w:p>
            <w:r>
              <w:rPr>
                <w:b/>
                <w:color w:val="1F4E79"/>
                <w:sz w:val="16"/>
              </w:rPr>
              <w:t>Pricing / packaging logic</w:t>
            </w:r>
          </w:p>
        </w:tc>
        <w:tc>
          <w:tcPr>
            <w:tcW w:type="dxa" w:w="8352"/>
            <w:vAlign w:val="top"/>
          </w:tcPr>
          <w:p>
            <w:r>
              <w:rPr>
                <w:sz w:val="16"/>
              </w:rPr>
              <w:t>Enterprise subscription by portfolio size, asset classes, users, and data/API volume. Premium datasets and borrower network workflows add-on.</w:t>
            </w:r>
          </w:p>
        </w:tc>
      </w:tr>
    </w:tbl>
    <w:p>
      <w:pPr>
        <w:pStyle w:val="Heading3"/>
      </w:pPr>
      <w:r>
        <w:t>CTO final pathway</w:t>
      </w:r>
    </w:p>
    <w:p>
      <w:pPr>
        <w:spacing w:after="80"/>
      </w:pPr>
      <w:r>
        <w:t>Build GreenLang FinanceOS as a modular product on the shared substrate. The release target is FY29; GA is gated for FY29 Q4. GA after enough enterprise/asset data exists to support finance-grade outputs Methodology and assumptions must be explicit</w:t>
      </w:r>
    </w:p>
    <w:p>
      <w:pPr>
        <w:pStyle w:val="Heading3"/>
      </w:pPr>
      <w:r>
        <w:t>Why it exists</w:t>
      </w:r>
    </w:p>
    <w:p>
      <w:pPr>
        <w:spacing w:after="80"/>
      </w:pPr>
      <w:r>
        <w:t>Every major financial institution must disclose financed emissions (PCAF), transition plans (GFANZ, ISSB S2), and increasingly nature risk. Today this is a patchwork of consultant spreadsheets and niche tools (OS-Climate, Manifest, Persefoni FI). The integrated substrate - portfolio + emissions + risk + engagement + disclosure - is missing.</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banks</w:t>
              <w:br/>
              <w:t>PE firms</w:t>
              <w:br/>
              <w:t>asset managers</w:t>
              <w:br/>
              <w:t>lenders</w:t>
              <w:br/>
              <w:t>insurers</w:t>
              <w:br/>
              <w:t>corporate treasury/finance teams</w:t>
              <w:br/>
              <w:t>risk analysts</w:t>
            </w:r>
          </w:p>
        </w:tc>
      </w:tr>
      <w:tr>
        <w:tc>
          <w:tcPr>
            <w:tcW w:type="dxa" w:w="3024"/>
            <w:vAlign w:val="top"/>
          </w:tcPr>
          <w:p>
            <w:r>
              <w:rPr>
                <w:sz w:val="16"/>
              </w:rPr>
              <w:t>Jobs to be done</w:t>
            </w:r>
          </w:p>
        </w:tc>
        <w:tc>
          <w:tcPr>
            <w:tcW w:type="dxa" w:w="8640"/>
            <w:vAlign w:val="top"/>
          </w:tcPr>
          <w:p>
            <w:r>
              <w:rPr>
                <w:sz w:val="16"/>
              </w:rPr>
              <w:t>Aggregate borrower/company emissions and transition data</w:t>
              <w:br/>
              <w:t>Analyze portfolio exposure and financed emissions</w:t>
              <w:br/>
              <w:t>Track climate covenants and reporting requirements</w:t>
              <w:br/>
              <w:t>Screen investments for transition/risk alignment</w:t>
              <w:br/>
              <w:t>Prepare IC/credit/portfolio reports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Portfolio ingestion: loans, bonds, equity, insurance underwriting.</w:t>
              <w:br/>
              <w:t>PCAF-aligned financed emissions across asset classes.</w:t>
              <w:br/>
              <w:t>Data-quality scoring per asset.</w:t>
              <w:br/>
              <w:t>Climate VaR / financed physical+transition risk (via RiskOS).</w:t>
              <w:br/>
              <w:t>Transition plan tracking for portfolio companies.</w:t>
              <w:br/>
              <w:t>Engagement workflow with investees/borrowers.</w:t>
              <w:br/>
              <w:t>Disclosure exports: PCAF, TCFD/ISSB S2, EU SFDR, RBI climate-risk guidance, net-zero commitments.</w:t>
              <w:br/>
              <w:t>Deal-level carbon metrics for origination desks.</w:t>
            </w:r>
          </w:p>
        </w:tc>
      </w:tr>
      <w:tr>
        <w:tc>
          <w:tcPr>
            <w:tcW w:type="dxa" w:w="3456"/>
            <w:vAlign w:val="top"/>
          </w:tcPr>
          <w:p>
            <w:r>
              <w:rPr>
                <w:sz w:val="16"/>
              </w:rPr>
              <w:t>In-scope product modules</w:t>
            </w:r>
          </w:p>
        </w:tc>
        <w:tc>
          <w:tcPr>
            <w:tcW w:type="dxa" w:w="8352"/>
            <w:vAlign w:val="top"/>
          </w:tcPr>
          <w:p>
            <w:r>
              <w:rPr>
                <w:sz w:val="16"/>
              </w:rPr>
              <w:t>portfolio entity registry</w:t>
              <w:br/>
              <w:t>financed emissions workflow</w:t>
              <w:br/>
              <w:t>transition risk analytics</w:t>
              <w:br/>
              <w:t>borrower data room</w:t>
              <w:br/>
              <w:t>climate covenant tracker</w:t>
              <w:br/>
              <w:t>portfolio dashboards</w:t>
              <w:br/>
              <w:t>reporting exports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portfolio holdings/loans</w:t>
              <w:br/>
              <w:t>borrower entities</w:t>
              <w:br/>
              <w:t>emissions data</w:t>
              <w:br/>
              <w:t>sector data</w:t>
              <w:br/>
              <w:t>financial exposure</w:t>
              <w:br/>
              <w:t>ownership percentages</w:t>
              <w:br/>
              <w:t>risk scores</w:t>
              <w:br/>
              <w:t>evidence</w:t>
              <w:br/>
              <w:t>covenants</w:t>
              <w:br/>
              <w:t>reporting requirements</w:t>
            </w:r>
          </w:p>
        </w:tc>
      </w:tr>
      <w:tr>
        <w:tc>
          <w:tcPr>
            <w:tcW w:type="dxa" w:w="3384"/>
            <w:vAlign w:val="top"/>
          </w:tcPr>
          <w:p>
            <w:r>
              <w:rPr>
                <w:sz w:val="16"/>
              </w:rPr>
              <w:t>External/product integrations</w:t>
            </w:r>
          </w:p>
        </w:tc>
        <w:tc>
          <w:tcPr>
            <w:tcW w:type="dxa" w:w="8496"/>
            <w:vAlign w:val="top"/>
          </w:tcPr>
          <w:p>
            <w:r>
              <w:rPr>
                <w:sz w:val="16"/>
              </w:rPr>
              <w:t>RiskOS; Scope Engine; Entity Graph; Evidence Vault; Transition Finance Studio; PCF/Supplier data where relevant; portfolio management systems</w:t>
            </w:r>
          </w:p>
        </w:tc>
      </w:tr>
      <w:tr>
        <w:tc>
          <w:tcPr>
            <w:tcW w:type="dxa" w:w="3384"/>
            <w:vAlign w:val="top"/>
          </w:tcPr>
          <w:p>
            <w:r>
              <w:rPr>
                <w:sz w:val="16"/>
              </w:rPr>
              <w:t>GreenLang dependencies</w:t>
            </w:r>
          </w:p>
        </w:tc>
        <w:tc>
          <w:tcPr>
            <w:tcW w:type="dxa" w:w="8496"/>
            <w:vAlign w:val="top"/>
          </w:tcPr>
          <w:p>
            <w:r>
              <w:rPr>
                <w:sz w:val="16"/>
              </w:rPr>
              <w:t>Entity Graph; RiskOS; Scope Engine; Evidence Vault; Policy Graph; PCAF-style methodology support</w:t>
            </w:r>
          </w:p>
        </w:tc>
      </w:tr>
      <w:tr>
        <w:tc>
          <w:tcPr>
            <w:tcW w:type="dxa" w:w="3384"/>
            <w:vAlign w:val="top"/>
          </w:tcPr>
          <w:p>
            <w:r>
              <w:rPr>
                <w:sz w:val="16"/>
              </w:rPr>
              <w:t>Customer outputs and deliverables</w:t>
            </w:r>
          </w:p>
        </w:tc>
        <w:tc>
          <w:tcPr>
            <w:tcW w:type="dxa" w:w="8496"/>
            <w:vAlign w:val="top"/>
          </w:tcPr>
          <w:p>
            <w:r>
              <w:rPr>
                <w:sz w:val="16"/>
              </w:rPr>
              <w:t>portfolio climate dashboard</w:t>
              <w:br/>
              <w:t>financed emissions report</w:t>
              <w:br/>
              <w:t>borrower data request</w:t>
              <w:br/>
              <w:t>risk/transition screen</w:t>
              <w:br/>
              <w:t>IC memo pack</w:t>
              <w:br/>
              <w:t>covenant tracking report</w:t>
            </w:r>
          </w:p>
        </w:tc>
      </w:tr>
    </w:tbl>
    <w:p>
      <w:pPr>
        <w:pStyle w:val="Heading3"/>
      </w:pPr>
      <w:r>
        <w:t>AI and automation behavior</w:t>
      </w:r>
    </w:p>
    <w:p>
      <w:pPr>
        <w:pStyle w:val="ListBullet"/>
        <w:spacing w:after="20"/>
      </w:pPr>
      <w:r>
        <w:t>borrower data-gap assistant</w:t>
      </w:r>
    </w:p>
    <w:p>
      <w:pPr>
        <w:pStyle w:val="ListBullet"/>
        <w:spacing w:after="20"/>
      </w:pPr>
      <w:r>
        <w:t>portfolio summarizer</w:t>
      </w:r>
    </w:p>
    <w:p>
      <w:pPr>
        <w:pStyle w:val="ListBullet"/>
        <w:spacing w:after="20"/>
      </w:pPr>
      <w:r>
        <w:t>IC memo drafting with citations</w:t>
      </w:r>
    </w:p>
    <w:p>
      <w:pPr>
        <w:pStyle w:val="ListBullet"/>
        <w:spacing w:after="20"/>
      </w:pPr>
      <w:r>
        <w:t>risk/transition explanation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Loans + corporate bonds PCAF; 2 design partners.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Listed equity + real estate + project finance.</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Data-quality scoring; engagement workflow.</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PCAF + TCFD/ISSB S2 exports; SFDR; RBI guidance.</w:t>
            </w:r>
          </w:p>
        </w:tc>
      </w:tr>
      <w:tr>
        <w:tc>
          <w:tcPr>
            <w:tcW w:type="dxa" w:w="1872"/>
            <w:vAlign w:val="top"/>
          </w:tcPr>
          <w:p>
            <w:r>
              <w:rPr>
                <w:sz w:val="16"/>
              </w:rPr>
              <w:t>v1.5</w:t>
            </w:r>
          </w:p>
        </w:tc>
        <w:tc>
          <w:tcPr>
            <w:tcW w:type="dxa" w:w="2304"/>
            <w:vAlign w:val="top"/>
          </w:tcPr>
          <w:p>
            <w:r>
              <w:rPr>
                <w:sz w:val="16"/>
              </w:rPr>
              <w:t>FY30 Q3</w:t>
            </w:r>
          </w:p>
        </w:tc>
        <w:tc>
          <w:tcPr>
            <w:tcW w:type="dxa" w:w="7776"/>
            <w:vAlign w:val="top"/>
          </w:tcPr>
          <w:p>
            <w:r>
              <w:rPr>
                <w:sz w:val="16"/>
              </w:rPr>
              <w:t>Financed physical risk (RiskOS integration).</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Deal-desk carbon metrics; origination integration.</w:t>
            </w:r>
          </w:p>
        </w:tc>
      </w:tr>
      <w:tr>
        <w:tc>
          <w:tcPr>
            <w:tcW w:type="dxa" w:w="1872"/>
            <w:vAlign w:val="top"/>
          </w:tcPr>
          <w:p>
            <w:r>
              <w:rPr>
                <w:sz w:val="16"/>
              </w:rPr>
              <w:t>v2.5</w:t>
            </w:r>
          </w:p>
        </w:tc>
        <w:tc>
          <w:tcPr>
            <w:tcW w:type="dxa" w:w="2304"/>
            <w:vAlign w:val="top"/>
          </w:tcPr>
          <w:p>
            <w:r>
              <w:rPr>
                <w:sz w:val="16"/>
              </w:rPr>
              <w:t>FY31 Q3</w:t>
            </w:r>
          </w:p>
        </w:tc>
        <w:tc>
          <w:tcPr>
            <w:tcW w:type="dxa" w:w="7776"/>
            <w:vAlign w:val="top"/>
          </w:tcPr>
          <w:p>
            <w:r>
              <w:rPr>
                <w:sz w:val="16"/>
              </w:rPr>
              <w:t>Nature-related financed risk (Nature/TNFD Hub).</w:t>
            </w:r>
          </w:p>
        </w:tc>
      </w:tr>
      <w:tr>
        <w:tc>
          <w:tcPr>
            <w:tcW w:type="dxa" w:w="1872"/>
            <w:vAlign w:val="top"/>
          </w:tcPr>
          <w:p>
            <w:r>
              <w:rPr>
                <w:sz w:val="16"/>
              </w:rPr>
              <w:t>v3.0</w:t>
            </w:r>
          </w:p>
        </w:tc>
        <w:tc>
          <w:tcPr>
            <w:tcW w:type="dxa" w:w="2304"/>
            <w:vAlign w:val="top"/>
          </w:tcPr>
          <w:p>
            <w:r>
              <w:rPr>
                <w:sz w:val="16"/>
              </w:rPr>
              <w:t>FY31 Q4</w:t>
            </w:r>
          </w:p>
        </w:tc>
        <w:tc>
          <w:tcPr>
            <w:tcW w:type="dxa" w:w="7776"/>
            <w:vAlign w:val="top"/>
          </w:tcPr>
          <w:p>
            <w:r>
              <w:rPr>
                <w:sz w:val="16"/>
              </w:rPr>
              <w:t>Portfolio optimizer - carbon / risk / return tradeoff engine.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GA after enough enterprise/asset data exists to support finance-grade outputs</w:t>
      </w:r>
    </w:p>
    <w:p>
      <w:pPr>
        <w:pStyle w:val="ListBullet"/>
        <w:spacing w:after="20"/>
      </w:pPr>
      <w:r>
        <w:t>Methodology and assumptions must be explicit</w:t>
      </w:r>
    </w:p>
    <w:p>
      <w:pPr>
        <w:pStyle w:val="ListBullet"/>
        <w:spacing w:after="20"/>
      </w:pPr>
      <w:r>
        <w:t>Do not overstate investment advice</w:t>
      </w:r>
    </w:p>
    <w:p>
      <w:pPr>
        <w:pStyle w:val="ListBullet"/>
        <w:spacing w:after="20"/>
      </w:pPr>
      <w:r>
        <w:t>Borrower permissioning and confidentiality critical</w:t>
      </w:r>
    </w:p>
    <w:p>
      <w:pPr>
        <w:pStyle w:val="Heading3"/>
      </w:pPr>
      <w:r>
        <w:t>Key risks to actively manage</w:t>
      </w:r>
    </w:p>
    <w:p>
      <w:pPr>
        <w:pStyle w:val="ListBullet"/>
        <w:spacing w:after="20"/>
      </w:pPr>
      <w:r>
        <w:t>finance-grade data quality expectations</w:t>
      </w:r>
    </w:p>
    <w:p>
      <w:pPr>
        <w:pStyle w:val="ListBullet"/>
        <w:spacing w:after="20"/>
      </w:pPr>
      <w:r>
        <w:t>liability around investment decisions</w:t>
      </w:r>
    </w:p>
    <w:p>
      <w:pPr>
        <w:pStyle w:val="ListBullet"/>
        <w:spacing w:after="20"/>
      </w:pPr>
      <w:r>
        <w:t>methodology disputes</w:t>
      </w:r>
    </w:p>
    <w:p>
      <w:pPr>
        <w:pStyle w:val="ListBullet"/>
        <w:spacing w:after="20"/>
      </w:pPr>
      <w:r>
        <w:t>sensitive portfolio data</w:t>
      </w:r>
    </w:p>
    <w:p>
      <w:pPr>
        <w:pStyle w:val="Heading3"/>
      </w:pPr>
      <w:r>
        <w:t>Success metrics</w:t>
      </w:r>
    </w:p>
    <w:p>
      <w:pPr>
        <w:pStyle w:val="ListBullet"/>
        <w:spacing w:after="20"/>
      </w:pPr>
      <w:r>
        <w:t>AUM/loan exposure analyzed</w:t>
      </w:r>
    </w:p>
    <w:p>
      <w:pPr>
        <w:pStyle w:val="ListBullet"/>
        <w:spacing w:after="20"/>
      </w:pPr>
      <w:r>
        <w:t>portfolios onboarded</w:t>
      </w:r>
    </w:p>
    <w:p>
      <w:pPr>
        <w:pStyle w:val="ListBullet"/>
        <w:spacing w:after="20"/>
      </w:pPr>
      <w:r>
        <w:t>borrower data rooms created</w:t>
      </w:r>
    </w:p>
    <w:p>
      <w:pPr>
        <w:pStyle w:val="ListBullet"/>
        <w:spacing w:after="20"/>
      </w:pPr>
      <w:r>
        <w:t>reports generated</w:t>
      </w:r>
    </w:p>
    <w:p>
      <w:pPr>
        <w:pStyle w:val="ListBullet"/>
        <w:spacing w:after="20"/>
      </w:pPr>
      <w:r>
        <w:t>expansion from RiskOS/customers</w:t>
      </w:r>
    </w:p>
    <w:p>
      <w:pPr>
        <w:pStyle w:val="Heading3"/>
      </w:pPr>
      <w:r>
        <w:t>Dependency notes</w:t>
      </w:r>
    </w:p>
    <w:p>
      <w:pPr>
        <w:pStyle w:val="ListBullet"/>
        <w:spacing w:after="20"/>
      </w:pPr>
      <w:r>
        <w:t>Upstream: Entity Graph, Scope Engine, RiskOS, Ledger.</w:t>
      </w:r>
    </w:p>
    <w:p>
      <w:pPr>
        <w:pStyle w:val="ListBullet"/>
        <w:spacing w:after="20"/>
      </w:pPr>
      <w:r>
        <w:t>Downstream: Transition Finance Studio, Carbon Markets Hub, Nature/TNFD Hub, Comply.</w:t>
      </w:r>
    </w:p>
    <w:p>
      <w:r>
        <w:br w:type="page"/>
      </w:r>
    </w:p>
    <w:p>
      <w:pPr>
        <w:pStyle w:val="Heading2"/>
      </w:pPr>
      <w:r>
        <w:t>32. GreenLang Transition Finance Studio</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Finance &amp; Markets / Finance, MRV &amp; Markets Squad</w:t>
            </w:r>
          </w:p>
        </w:tc>
      </w:tr>
      <w:tr>
        <w:tc>
          <w:tcPr>
            <w:tcW w:type="dxa" w:w="2448"/>
            <w:vAlign w:val="top"/>
            <w:shd w:fill="EAF2F8"/>
          </w:tcPr>
          <w:p>
            <w:r>
              <w:rPr>
                <w:b/>
                <w:color w:val="1F4E79"/>
                <w:sz w:val="16"/>
              </w:rPr>
              <w:t>Primary buyer</w:t>
            </w:r>
          </w:p>
        </w:tc>
        <w:tc>
          <w:tcPr>
            <w:tcW w:type="dxa" w:w="8352"/>
            <w:vAlign w:val="top"/>
          </w:tcPr>
          <w:p>
            <w:r>
              <w:rPr>
                <w:sz w:val="16"/>
              </w:rPr>
              <w:t>Project finance teams, banks, green-bond issuers, corporates, infrastructure developers</w:t>
            </w:r>
          </w:p>
        </w:tc>
      </w:tr>
      <w:tr>
        <w:tc>
          <w:tcPr>
            <w:tcW w:type="dxa" w:w="2448"/>
            <w:vAlign w:val="top"/>
            <w:shd w:fill="EAF2F8"/>
          </w:tcPr>
          <w:p>
            <w:r>
              <w:rPr>
                <w:b/>
                <w:color w:val="1F4E79"/>
                <w:sz w:val="16"/>
              </w:rPr>
              <w:t>Revenue model</w:t>
            </w:r>
          </w:p>
        </w:tc>
        <w:tc>
          <w:tcPr>
            <w:tcW w:type="dxa" w:w="8352"/>
            <w:vAlign w:val="top"/>
          </w:tcPr>
          <w:p>
            <w:r>
              <w:rPr>
                <w:sz w:val="16"/>
              </w:rPr>
              <w:t>Deal + subscription</w:t>
            </w:r>
          </w:p>
        </w:tc>
      </w:tr>
      <w:tr>
        <w:tc>
          <w:tcPr>
            <w:tcW w:type="dxa" w:w="2448"/>
            <w:vAlign w:val="top"/>
            <w:shd w:fill="EAF2F8"/>
          </w:tcPr>
          <w:p>
            <w:r>
              <w:rPr>
                <w:b/>
                <w:color w:val="1F4E79"/>
                <w:sz w:val="16"/>
              </w:rPr>
              <w:t>Definition</w:t>
            </w:r>
          </w:p>
        </w:tc>
        <w:tc>
          <w:tcPr>
            <w:tcW w:type="dxa" w:w="8352"/>
            <w:vAlign w:val="top"/>
          </w:tcPr>
          <w:p>
            <w:r>
              <w:rPr>
                <w:sz w:val="16"/>
              </w:rPr>
              <w:t>A project and deal workspace for packaging decarbonization, energy, microgrid, adaptation, and resilience projects into finance-ready documentation, impact models, diligence packs, covenants, and post-financing monitoring.</w:t>
            </w:r>
          </w:p>
        </w:tc>
      </w:tr>
      <w:tr>
        <w:tc>
          <w:tcPr>
            <w:tcW w:type="dxa" w:w="2448"/>
            <w:vAlign w:val="top"/>
            <w:shd w:fill="EAF2F8"/>
          </w:tcPr>
          <w:p>
            <w:r>
              <w:rPr>
                <w:b/>
                <w:color w:val="1F4E79"/>
                <w:sz w:val="16"/>
              </w:rPr>
              <w:t>Strategic role</w:t>
            </w:r>
          </w:p>
        </w:tc>
        <w:tc>
          <w:tcPr>
            <w:tcW w:type="dxa" w:w="8352"/>
            <w:vAlign w:val="top"/>
          </w:tcPr>
          <w:p>
            <w:r>
              <w:rPr>
                <w:sz w:val="16"/>
              </w:rPr>
              <w:t>Transition Finance Studio links GreenLang operational insights to capital. It creates deal-level revenue, partner finance channels, and a path to transaction take-rate without becoming a bank.</w:t>
            </w:r>
          </w:p>
        </w:tc>
      </w:tr>
      <w:tr>
        <w:tc>
          <w:tcPr>
            <w:tcW w:type="dxa" w:w="2448"/>
            <w:vAlign w:val="top"/>
            <w:shd w:fill="EAF2F8"/>
          </w:tcPr>
          <w:p>
            <w:r>
              <w:rPr>
                <w:b/>
                <w:color w:val="1F4E79"/>
                <w:sz w:val="16"/>
              </w:rPr>
              <w:t>Pricing / packaging logic</w:t>
            </w:r>
          </w:p>
        </w:tc>
        <w:tc>
          <w:tcPr>
            <w:tcW w:type="dxa" w:w="8352"/>
            <w:vAlign w:val="top"/>
          </w:tcPr>
          <w:p>
            <w:r>
              <w:rPr>
                <w:sz w:val="16"/>
              </w:rPr>
              <w:t>Subscription for project portfolio users plus per-deal fee and eventual success/take-rate where legally and commercially appropriate.</w:t>
            </w:r>
          </w:p>
        </w:tc>
      </w:tr>
    </w:tbl>
    <w:p>
      <w:pPr>
        <w:pStyle w:val="Heading3"/>
      </w:pPr>
      <w:r>
        <w:t>CTO final pathway</w:t>
      </w:r>
    </w:p>
    <w:p>
      <w:pPr>
        <w:spacing w:after="80"/>
      </w:pPr>
      <w:r>
        <w:t>Build GreenLang Transition Finance Studio as a modular product on the shared substrate. The release target is FY30; GA is gated for FY30 Q4. Do not enter regulated financial intermediation without counsel GA requires at least one lender/finance partner channel</w:t>
      </w:r>
    </w:p>
    <w:p>
      <w:pPr>
        <w:pStyle w:val="Heading3"/>
      </w:pPr>
      <w:r>
        <w:t>Why it exists</w:t>
      </w:r>
    </w:p>
    <w:p>
      <w:pPr>
        <w:spacing w:after="80"/>
      </w:pPr>
      <w:r>
        <w:t>Green and transition finance is growing but deal origination and structuring remains bespoke. KPI selection, target calibration, second-party opinions, and post-issuance monitoring are spread across consultants and SPOs. This slows deals and limits scale.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corporate finance teams</w:t>
              <w:br/>
              <w:t>banks/lenders</w:t>
              <w:br/>
              <w:t>project developers</w:t>
              <w:br/>
              <w:t>infrastructure funds</w:t>
              <w:br/>
              <w:t>green-bond teams</w:t>
              <w:br/>
              <w:t>energy/adaptation project owners</w:t>
            </w:r>
          </w:p>
        </w:tc>
      </w:tr>
      <w:tr>
        <w:tc>
          <w:tcPr>
            <w:tcW w:type="dxa" w:w="3024"/>
            <w:vAlign w:val="top"/>
          </w:tcPr>
          <w:p>
            <w:r>
              <w:rPr>
                <w:sz w:val="16"/>
              </w:rPr>
              <w:t>Jobs to be done</w:t>
            </w:r>
          </w:p>
        </w:tc>
        <w:tc>
          <w:tcPr>
            <w:tcW w:type="dxa" w:w="8640"/>
            <w:vAlign w:val="top"/>
          </w:tcPr>
          <w:p>
            <w:r>
              <w:rPr>
                <w:sz w:val="16"/>
              </w:rPr>
              <w:t>Create finance-ready project data rooms</w:t>
              <w:br/>
              <w:t>Model emissions, savings, capex, risk, and payback</w:t>
              <w:br/>
              <w:t>Prepare green/transition finance impact documentation</w:t>
              <w:br/>
              <w:t>Track covenants and post-financing performance</w:t>
              <w:br/>
              <w:t>Connect projects to lenders/investors/partners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Framework builder aligned to ICMA Green Bond Principles, SLL Principles, Climate Bonds Standard, EU Green Bond Standard.</w:t>
              <w:br/>
              <w:t>KPI and SPT calibration (science-aligned targets).</w:t>
              <w:br/>
              <w:t>SPO workflow.</w:t>
              <w:br/>
              <w:t>Use-of-proceeds tracking and allocation reporting.</w:t>
              <w:br/>
              <w:t>Post-issuance KPI monitoring via Ledger + Comply integration.</w:t>
              <w:br/>
              <w:t>Transition-plan credibility scoring.</w:t>
              <w:br/>
              <w:t>Investor reporting templates.</w:t>
            </w:r>
          </w:p>
        </w:tc>
      </w:tr>
      <w:tr>
        <w:tc>
          <w:tcPr>
            <w:tcW w:type="dxa" w:w="3456"/>
            <w:vAlign w:val="top"/>
          </w:tcPr>
          <w:p>
            <w:r>
              <w:rPr>
                <w:sz w:val="16"/>
              </w:rPr>
              <w:t>In-scope product modules</w:t>
            </w:r>
          </w:p>
        </w:tc>
        <w:tc>
          <w:tcPr>
            <w:tcW w:type="dxa" w:w="8352"/>
            <w:vAlign w:val="top"/>
          </w:tcPr>
          <w:p>
            <w:r>
              <w:rPr>
                <w:sz w:val="16"/>
              </w:rPr>
              <w:t>project registry</w:t>
              <w:br/>
              <w:t>impact and finance model</w:t>
              <w:br/>
              <w:t>deal data room</w:t>
              <w:br/>
              <w:t>diligence checklist</w:t>
              <w:br/>
              <w:t>covenant/monitoring workflow</w:t>
              <w:br/>
              <w:t>lender/investor collaboration</w:t>
              <w:br/>
              <w:t>post-financing impact tracking</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project scope</w:t>
              <w:br/>
              <w:t>capex/opex</w:t>
              <w:br/>
              <w:t>savings/revenue</w:t>
              <w:br/>
              <w:t>emissions impact</w:t>
              <w:br/>
              <w:t>risk data</w:t>
              <w:br/>
              <w:t>engineering assumptions</w:t>
              <w:br/>
              <w:t>contracts</w:t>
              <w:br/>
              <w:t>evidence</w:t>
              <w:br/>
              <w:t>financing terms</w:t>
              <w:br/>
              <w:t>monitoring data</w:t>
            </w:r>
          </w:p>
        </w:tc>
      </w:tr>
      <w:tr>
        <w:tc>
          <w:tcPr>
            <w:tcW w:type="dxa" w:w="3384"/>
            <w:vAlign w:val="top"/>
          </w:tcPr>
          <w:p>
            <w:r>
              <w:rPr>
                <w:sz w:val="16"/>
              </w:rPr>
              <w:t>External/product integrations</w:t>
            </w:r>
          </w:p>
        </w:tc>
        <w:tc>
          <w:tcPr>
            <w:tcW w:type="dxa" w:w="8496"/>
            <w:vAlign w:val="top"/>
          </w:tcPr>
          <w:p>
            <w:r>
              <w:rPr>
                <w:sz w:val="16"/>
              </w:rPr>
              <w:t>PlantOS; BuildingOS; PowerOS; Microgrid Planner; Adaptation Planner; FinanceOS; Evidence Vault; Climate Ledger</w:t>
            </w:r>
          </w:p>
        </w:tc>
      </w:tr>
      <w:tr>
        <w:tc>
          <w:tcPr>
            <w:tcW w:type="dxa" w:w="3384"/>
            <w:vAlign w:val="top"/>
          </w:tcPr>
          <w:p>
            <w:r>
              <w:rPr>
                <w:sz w:val="16"/>
              </w:rPr>
              <w:t>GreenLang dependencies</w:t>
            </w:r>
          </w:p>
        </w:tc>
        <w:tc>
          <w:tcPr>
            <w:tcW w:type="dxa" w:w="8496"/>
            <w:vAlign w:val="top"/>
          </w:tcPr>
          <w:p>
            <w:r>
              <w:rPr>
                <w:sz w:val="16"/>
              </w:rPr>
              <w:t>FinanceOS; Evidence Vault; Climate Ledger; operational products with project pipelines; partner lender network</w:t>
            </w:r>
          </w:p>
        </w:tc>
      </w:tr>
      <w:tr>
        <w:tc>
          <w:tcPr>
            <w:tcW w:type="dxa" w:w="3384"/>
            <w:vAlign w:val="top"/>
          </w:tcPr>
          <w:p>
            <w:r>
              <w:rPr>
                <w:sz w:val="16"/>
              </w:rPr>
              <w:t>Customer outputs and deliverables</w:t>
            </w:r>
          </w:p>
        </w:tc>
        <w:tc>
          <w:tcPr>
            <w:tcW w:type="dxa" w:w="8496"/>
            <w:vAlign w:val="top"/>
          </w:tcPr>
          <w:p>
            <w:r>
              <w:rPr>
                <w:sz w:val="16"/>
              </w:rPr>
              <w:t>finance-ready project pack</w:t>
              <w:br/>
              <w:t>impact report</w:t>
              <w:br/>
              <w:t>diligence checklist</w:t>
              <w:br/>
              <w:t>green/transition finance data room</w:t>
              <w:br/>
              <w:t>covenant monitoring dashboard</w:t>
              <w:br/>
              <w:t>post-financing report</w:t>
            </w:r>
          </w:p>
        </w:tc>
      </w:tr>
    </w:tbl>
    <w:p>
      <w:pPr>
        <w:pStyle w:val="Heading3"/>
      </w:pPr>
      <w:r>
        <w:t>AI and automation behavior</w:t>
      </w:r>
    </w:p>
    <w:p>
      <w:pPr>
        <w:pStyle w:val="ListBullet"/>
        <w:spacing w:after="20"/>
      </w:pPr>
      <w:r>
        <w:t>deal memo drafting</w:t>
      </w:r>
    </w:p>
    <w:p>
      <w:pPr>
        <w:pStyle w:val="ListBullet"/>
        <w:spacing w:after="20"/>
      </w:pPr>
      <w:r>
        <w:t>diligence gap detection</w:t>
      </w:r>
    </w:p>
    <w:p>
      <w:pPr>
        <w:pStyle w:val="ListBullet"/>
        <w:spacing w:after="20"/>
      </w:pPr>
      <w:r>
        <w:t>impact narrative generator</w:t>
      </w:r>
    </w:p>
    <w:p>
      <w:pPr>
        <w:pStyle w:val="ListBullet"/>
        <w:spacing w:after="20"/>
      </w:pPr>
      <w:r>
        <w:t>scenario sensitivity assistant</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Green bond + SLL frameworks; 2 design partners.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SPO workflow; KPI calibration.</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Post-issuance monitoring; investor reporting.</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First deal priced and issued via platform.</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EU Green Bond Standard; transition bonds; project finance module.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enter regulated financial intermediation without counsel</w:t>
      </w:r>
    </w:p>
    <w:p>
      <w:pPr>
        <w:pStyle w:val="ListBullet"/>
        <w:spacing w:after="20"/>
      </w:pPr>
      <w:r>
        <w:t>GA requires at least one lender/finance partner channel</w:t>
      </w:r>
    </w:p>
    <w:p>
      <w:pPr>
        <w:pStyle w:val="ListBullet"/>
        <w:spacing w:after="20"/>
      </w:pPr>
      <w:r>
        <w:t>Project impact must trace to operational data/evidence</w:t>
      </w:r>
    </w:p>
    <w:p>
      <w:pPr>
        <w:pStyle w:val="ListBullet"/>
        <w:spacing w:after="20"/>
      </w:pPr>
      <w:r>
        <w:t>Deal templates must be jurisdiction-aware</w:t>
      </w:r>
    </w:p>
    <w:p>
      <w:pPr>
        <w:pStyle w:val="Heading3"/>
      </w:pPr>
      <w:r>
        <w:t>Key risks to actively manage</w:t>
      </w:r>
    </w:p>
    <w:p>
      <w:pPr>
        <w:pStyle w:val="ListBullet"/>
        <w:spacing w:after="20"/>
      </w:pPr>
      <w:r>
        <w:t>financial regulatory exposure</w:t>
      </w:r>
    </w:p>
    <w:p>
      <w:pPr>
        <w:pStyle w:val="ListBullet"/>
        <w:spacing w:after="20"/>
      </w:pPr>
      <w:r>
        <w:t>project execution risk</w:t>
      </w:r>
    </w:p>
    <w:p>
      <w:pPr>
        <w:pStyle w:val="ListBullet"/>
        <w:spacing w:after="20"/>
      </w:pPr>
      <w:r>
        <w:t>over-customized deal work</w:t>
      </w:r>
    </w:p>
    <w:p>
      <w:pPr>
        <w:pStyle w:val="ListBullet"/>
        <w:spacing w:after="20"/>
      </w:pPr>
      <w:r>
        <w:t>lender trust barrier</w:t>
      </w:r>
    </w:p>
    <w:p>
      <w:pPr>
        <w:pStyle w:val="Heading3"/>
      </w:pPr>
      <w:r>
        <w:t>Success metrics</w:t>
      </w:r>
    </w:p>
    <w:p>
      <w:pPr>
        <w:pStyle w:val="ListBullet"/>
        <w:spacing w:after="20"/>
      </w:pPr>
      <w:r>
        <w:t>projects packaged</w:t>
      </w:r>
    </w:p>
    <w:p>
      <w:pPr>
        <w:pStyle w:val="ListBullet"/>
        <w:spacing w:after="20"/>
      </w:pPr>
      <w:r>
        <w:t>capital pipeline value</w:t>
      </w:r>
    </w:p>
    <w:p>
      <w:pPr>
        <w:pStyle w:val="ListBullet"/>
        <w:spacing w:after="20"/>
      </w:pPr>
      <w:r>
        <w:t>deal conversion rate</w:t>
      </w:r>
    </w:p>
    <w:p>
      <w:pPr>
        <w:pStyle w:val="ListBullet"/>
        <w:spacing w:after="20"/>
      </w:pPr>
      <w:r>
        <w:t>monitoring compliance</w:t>
      </w:r>
    </w:p>
    <w:p>
      <w:pPr>
        <w:pStyle w:val="ListBullet"/>
        <w:spacing w:after="20"/>
      </w:pPr>
      <w:r>
        <w:t>per-deal revenue</w:t>
      </w:r>
    </w:p>
    <w:p>
      <w:pPr>
        <w:pStyle w:val="Heading3"/>
      </w:pPr>
      <w:r>
        <w:t>Dependency notes</w:t>
      </w:r>
    </w:p>
    <w:p>
      <w:pPr>
        <w:pStyle w:val="ListBullet"/>
        <w:spacing w:after="20"/>
      </w:pPr>
      <w:r>
        <w:t>Upstream: Ledger, Comply, FinanceOS, Microgrid Planner (for PF), Adaptation Planner.</w:t>
      </w:r>
    </w:p>
    <w:p>
      <w:pPr>
        <w:pStyle w:val="ListBullet"/>
        <w:spacing w:after="20"/>
      </w:pPr>
      <w:r>
        <w:t>Downstream: regulator/investor reporting.</w:t>
      </w:r>
    </w:p>
    <w:p>
      <w:r>
        <w:br w:type="page"/>
      </w:r>
    </w:p>
    <w:p>
      <w:pPr>
        <w:pStyle w:val="Heading2"/>
      </w:pPr>
      <w:r>
        <w:t>33. GreenLang MRV Studio</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FY29</w:t>
            </w:r>
          </w:p>
        </w:tc>
      </w:tr>
      <w:tr>
        <w:tc>
          <w:tcPr>
            <w:tcW w:type="dxa" w:w="2448"/>
            <w:vAlign w:val="top"/>
            <w:shd w:fill="EAF2F8"/>
          </w:tcPr>
          <w:p>
            <w:r>
              <w:rPr>
                <w:b/>
                <w:color w:val="1F4E79"/>
                <w:sz w:val="16"/>
              </w:rPr>
              <w:t>Recommended v1.0 GA</w:t>
            </w:r>
          </w:p>
        </w:tc>
        <w:tc>
          <w:tcPr>
            <w:tcW w:type="dxa" w:w="8352"/>
            <w:vAlign w:val="top"/>
          </w:tcPr>
          <w:p>
            <w:r>
              <w:rPr>
                <w:sz w:val="16"/>
              </w:rPr>
              <w:t>FY29 Q4</w:t>
            </w:r>
          </w:p>
        </w:tc>
      </w:tr>
      <w:tr>
        <w:tc>
          <w:tcPr>
            <w:tcW w:type="dxa" w:w="2448"/>
            <w:vAlign w:val="top"/>
            <w:shd w:fill="EAF2F8"/>
          </w:tcPr>
          <w:p>
            <w:r>
              <w:rPr>
                <w:b/>
                <w:color w:val="1F4E79"/>
                <w:sz w:val="16"/>
              </w:rPr>
              <w:t>Cloud / squad</w:t>
            </w:r>
          </w:p>
        </w:tc>
        <w:tc>
          <w:tcPr>
            <w:tcW w:type="dxa" w:w="8352"/>
            <w:vAlign w:val="top"/>
          </w:tcPr>
          <w:p>
            <w:r>
              <w:rPr>
                <w:sz w:val="16"/>
              </w:rPr>
              <w:t>Finance &amp; Markets / Finance, MRV &amp; Markets Squad</w:t>
            </w:r>
          </w:p>
        </w:tc>
      </w:tr>
      <w:tr>
        <w:tc>
          <w:tcPr>
            <w:tcW w:type="dxa" w:w="2448"/>
            <w:vAlign w:val="top"/>
            <w:shd w:fill="EAF2F8"/>
          </w:tcPr>
          <w:p>
            <w:r>
              <w:rPr>
                <w:b/>
                <w:color w:val="1F4E79"/>
                <w:sz w:val="16"/>
              </w:rPr>
              <w:t>Primary buyer</w:t>
            </w:r>
          </w:p>
        </w:tc>
        <w:tc>
          <w:tcPr>
            <w:tcW w:type="dxa" w:w="8352"/>
            <w:vAlign w:val="top"/>
          </w:tcPr>
          <w:p>
            <w:r>
              <w:rPr>
                <w:sz w:val="16"/>
              </w:rPr>
              <w:t>Project developers, verifiers, corporates, climate-program operators</w:t>
            </w:r>
          </w:p>
        </w:tc>
      </w:tr>
      <w:tr>
        <w:tc>
          <w:tcPr>
            <w:tcW w:type="dxa" w:w="2448"/>
            <w:vAlign w:val="top"/>
            <w:shd w:fill="EAF2F8"/>
          </w:tcPr>
          <w:p>
            <w:r>
              <w:rPr>
                <w:b/>
                <w:color w:val="1F4E79"/>
                <w:sz w:val="16"/>
              </w:rPr>
              <w:t>Revenue model</w:t>
            </w:r>
          </w:p>
        </w:tc>
        <w:tc>
          <w:tcPr>
            <w:tcW w:type="dxa" w:w="8352"/>
            <w:vAlign w:val="top"/>
          </w:tcPr>
          <w:p>
            <w:r>
              <w:rPr>
                <w:sz w:val="16"/>
              </w:rPr>
              <w:t>Platform + per-project</w:t>
            </w:r>
          </w:p>
        </w:tc>
      </w:tr>
      <w:tr>
        <w:tc>
          <w:tcPr>
            <w:tcW w:type="dxa" w:w="2448"/>
            <w:vAlign w:val="top"/>
            <w:shd w:fill="EAF2F8"/>
          </w:tcPr>
          <w:p>
            <w:r>
              <w:rPr>
                <w:b/>
                <w:color w:val="1F4E79"/>
                <w:sz w:val="16"/>
              </w:rPr>
              <w:t>Definition</w:t>
            </w:r>
          </w:p>
        </w:tc>
        <w:tc>
          <w:tcPr>
            <w:tcW w:type="dxa" w:w="8352"/>
            <w:vAlign w:val="top"/>
          </w:tcPr>
          <w:p>
            <w:r>
              <w:rPr>
                <w:sz w:val="16"/>
              </w:rPr>
              <w:t>A monitoring, reporting, and verification workspace for carbon, methane, nature, energy, and adaptation-related projects. It manages project design, baseline, monitoring plans, evidence, calculations, verifier workflow, and issuance/readiness documentation.</w:t>
            </w:r>
          </w:p>
        </w:tc>
      </w:tr>
      <w:tr>
        <w:tc>
          <w:tcPr>
            <w:tcW w:type="dxa" w:w="2448"/>
            <w:vAlign w:val="top"/>
            <w:shd w:fill="EAF2F8"/>
          </w:tcPr>
          <w:p>
            <w:r>
              <w:rPr>
                <w:b/>
                <w:color w:val="1F4E79"/>
                <w:sz w:val="16"/>
              </w:rPr>
              <w:t>Strategic role</w:t>
            </w:r>
          </w:p>
        </w:tc>
        <w:tc>
          <w:tcPr>
            <w:tcW w:type="dxa" w:w="8352"/>
            <w:vAlign w:val="top"/>
          </w:tcPr>
          <w:p>
            <w:r>
              <w:rPr>
                <w:sz w:val="16"/>
              </w:rPr>
              <w:t>MRV Studio is the foundation for credible carbon markets, CDR, methane, land, and transition projects. It should precede Carbon Markets Hub and CDR Portfolio Manager.</w:t>
            </w:r>
          </w:p>
        </w:tc>
      </w:tr>
      <w:tr>
        <w:tc>
          <w:tcPr>
            <w:tcW w:type="dxa" w:w="2448"/>
            <w:vAlign w:val="top"/>
            <w:shd w:fill="EAF2F8"/>
          </w:tcPr>
          <w:p>
            <w:r>
              <w:rPr>
                <w:b/>
                <w:color w:val="1F4E79"/>
                <w:sz w:val="16"/>
              </w:rPr>
              <w:t>Pricing / packaging logic</w:t>
            </w:r>
          </w:p>
        </w:tc>
        <w:tc>
          <w:tcPr>
            <w:tcW w:type="dxa" w:w="8352"/>
            <w:vAlign w:val="top"/>
          </w:tcPr>
          <w:p>
            <w:r>
              <w:rPr>
                <w:sz w:val="16"/>
              </w:rPr>
              <w:t>Platform fee plus per-project pricing; verifier collaboration seats; premium remote-sensing/sensor integrations.</w:t>
            </w:r>
          </w:p>
        </w:tc>
      </w:tr>
    </w:tbl>
    <w:p>
      <w:pPr>
        <w:pStyle w:val="Heading3"/>
      </w:pPr>
      <w:r>
        <w:t>CTO final pathway</w:t>
      </w:r>
    </w:p>
    <w:p>
      <w:pPr>
        <w:spacing w:after="80"/>
      </w:pPr>
      <w:r>
        <w:t>Build GreenLang MRV Studio as a modular product on the shared substrate. The release target is FY29; GA is gated for FY29 Q4. GA only for selected project types, not all carbon markets Methodology support must be explicit and reviewed</w:t>
      </w:r>
    </w:p>
    <w:p>
      <w:pPr>
        <w:pStyle w:val="Heading3"/>
      </w:pPr>
      <w:r>
        <w:t>Why it exists</w:t>
      </w:r>
    </w:p>
    <w:p>
      <w:pPr>
        <w:spacing w:after="80"/>
      </w:pPr>
      <w:r>
        <w:t>Voluntary and compliance carbon markets are crawling out of a trust crisis. ICVCM CCPs, VCMI, SBTi Removals, and the 2028 Article 6 implementation all demand better MRV. Today, project developers spend months on spreadsheets and auditors struggle with uneven data. Good MRV software is a chokepoint.</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project developers</w:t>
              <w:br/>
              <w:t>verifiers</w:t>
              <w:br/>
              <w:t>corporate project teams</w:t>
              <w:br/>
              <w:t>program managers</w:t>
              <w:br/>
              <w:t>field teams</w:t>
              <w:br/>
              <w:t>buyers evaluating project quality</w:t>
            </w:r>
          </w:p>
        </w:tc>
      </w:tr>
      <w:tr>
        <w:tc>
          <w:tcPr>
            <w:tcW w:type="dxa" w:w="3024"/>
            <w:vAlign w:val="top"/>
          </w:tcPr>
          <w:p>
            <w:r>
              <w:rPr>
                <w:sz w:val="16"/>
              </w:rPr>
              <w:t>Jobs to be done</w:t>
            </w:r>
          </w:p>
        </w:tc>
        <w:tc>
          <w:tcPr>
            <w:tcW w:type="dxa" w:w="8640"/>
            <w:vAlign w:val="top"/>
          </w:tcPr>
          <w:p>
            <w:r>
              <w:rPr>
                <w:sz w:val="16"/>
              </w:rPr>
              <w:t>Create project design and baseline records</w:t>
              <w:br/>
              <w:t>Collect monitoring evidence and data</w:t>
              <w:br/>
              <w:t>Calculate project outcomes and uncertainty</w:t>
              <w:br/>
              <w:t>Manage verifier review and findings</w:t>
              <w:br/>
              <w:t>Prepare issuance or buyer diligence packets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Project onboarding with standards alignment (Verra, Gold Standard, ACR, CAR, Puro, Isometric, Article 6).</w:t>
              <w:br/>
              <w:t>Activity data ingestion (IoT, remote sensing, field).</w:t>
              <w:br/>
              <w:t>Methodology execution with transparent calculation.</w:t>
              <w:br/>
              <w:t>Monitoring plan scheduling and field-team management.</w:t>
              <w:br/>
              <w:t>Verification workflow with Proof Hub handoff.</w:t>
              <w:br/>
              <w:t>Issuance package generation.</w:t>
              <w:br/>
              <w:t>Credit lifecycle tracking (issued, retired, transferred).</w:t>
            </w:r>
          </w:p>
        </w:tc>
      </w:tr>
      <w:tr>
        <w:tc>
          <w:tcPr>
            <w:tcW w:type="dxa" w:w="3456"/>
            <w:vAlign w:val="top"/>
          </w:tcPr>
          <w:p>
            <w:r>
              <w:rPr>
                <w:sz w:val="16"/>
              </w:rPr>
              <w:t>In-scope product modules</w:t>
            </w:r>
          </w:p>
        </w:tc>
        <w:tc>
          <w:tcPr>
            <w:tcW w:type="dxa" w:w="8352"/>
            <w:vAlign w:val="top"/>
          </w:tcPr>
          <w:p>
            <w:r>
              <w:rPr>
                <w:sz w:val="16"/>
              </w:rPr>
              <w:t>project registry</w:t>
              <w:br/>
              <w:t>baseline and methodology model</w:t>
              <w:br/>
              <w:t>monitoring plan</w:t>
              <w:br/>
              <w:t>evidence workflow</w:t>
              <w:br/>
              <w:t>calculation engine</w:t>
              <w:br/>
              <w:t>verifier workspace</w:t>
              <w:br/>
              <w:t>issuance/readiness packet</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project boundaries</w:t>
              <w:br/>
              <w:t>baseline assumptions</w:t>
              <w:br/>
              <w:t>monitoring data</w:t>
              <w:br/>
              <w:t>field evidence</w:t>
              <w:br/>
              <w:t>remote-sensing/sensor data</w:t>
              <w:br/>
              <w:t>methodology references</w:t>
              <w:br/>
              <w:t>calculation results</w:t>
              <w:br/>
              <w:t>verifier findings</w:t>
              <w:br/>
              <w:t>risk assessments</w:t>
            </w:r>
          </w:p>
        </w:tc>
      </w:tr>
      <w:tr>
        <w:tc>
          <w:tcPr>
            <w:tcW w:type="dxa" w:w="3384"/>
            <w:vAlign w:val="top"/>
          </w:tcPr>
          <w:p>
            <w:r>
              <w:rPr>
                <w:sz w:val="16"/>
              </w:rPr>
              <w:t>External/product integrations</w:t>
            </w:r>
          </w:p>
        </w:tc>
        <w:tc>
          <w:tcPr>
            <w:tcW w:type="dxa" w:w="8496"/>
            <w:vAlign w:val="top"/>
          </w:tcPr>
          <w:p>
            <w:r>
              <w:rPr>
                <w:sz w:val="16"/>
              </w:rPr>
              <w:t>Evidence Vault; Proof Hub; Climate Ledger; Methane &amp; Nitrogen Monitor; AgriLandOS; Carbon Markets Hub; CDR Portfolio Manager</w:t>
            </w:r>
          </w:p>
        </w:tc>
      </w:tr>
      <w:tr>
        <w:tc>
          <w:tcPr>
            <w:tcW w:type="dxa" w:w="3384"/>
            <w:vAlign w:val="top"/>
          </w:tcPr>
          <w:p>
            <w:r>
              <w:rPr>
                <w:sz w:val="16"/>
              </w:rPr>
              <w:t>GreenLang dependencies</w:t>
            </w:r>
          </w:p>
        </w:tc>
        <w:tc>
          <w:tcPr>
            <w:tcW w:type="dxa" w:w="8496"/>
            <w:vAlign w:val="top"/>
          </w:tcPr>
          <w:p>
            <w:r>
              <w:rPr>
                <w:sz w:val="16"/>
              </w:rPr>
              <w:t>Evidence Vault; Climate Ledger; Proof Hub readiness; Factors; project methodology expertise</w:t>
            </w:r>
          </w:p>
        </w:tc>
      </w:tr>
      <w:tr>
        <w:tc>
          <w:tcPr>
            <w:tcW w:type="dxa" w:w="3384"/>
            <w:vAlign w:val="top"/>
          </w:tcPr>
          <w:p>
            <w:r>
              <w:rPr>
                <w:sz w:val="16"/>
              </w:rPr>
              <w:t>Customer outputs and deliverables</w:t>
            </w:r>
          </w:p>
        </w:tc>
        <w:tc>
          <w:tcPr>
            <w:tcW w:type="dxa" w:w="8496"/>
            <w:vAlign w:val="top"/>
          </w:tcPr>
          <w:p>
            <w:r>
              <w:rPr>
                <w:sz w:val="16"/>
              </w:rPr>
              <w:t>project design record</w:t>
              <w:br/>
              <w:t>monitoring report</w:t>
              <w:br/>
              <w:t>verification pack</w:t>
              <w:br/>
              <w:t>findings tracker</w:t>
              <w:br/>
              <w:t>issuance readiness pack</w:t>
              <w:br/>
              <w:t>buyer diligence report</w:t>
            </w:r>
          </w:p>
        </w:tc>
      </w:tr>
    </w:tbl>
    <w:p>
      <w:pPr>
        <w:pStyle w:val="Heading3"/>
      </w:pPr>
      <w:r>
        <w:t>AI and automation behavior</w:t>
      </w:r>
    </w:p>
    <w:p>
      <w:pPr>
        <w:pStyle w:val="ListBullet"/>
        <w:spacing w:after="20"/>
      </w:pPr>
      <w:r>
        <w:t>monitoring evidence triage</w:t>
      </w:r>
    </w:p>
    <w:p>
      <w:pPr>
        <w:pStyle w:val="ListBullet"/>
        <w:spacing w:after="20"/>
      </w:pPr>
      <w:r>
        <w:t>methodology checklist assistant</w:t>
      </w:r>
    </w:p>
    <w:p>
      <w:pPr>
        <w:pStyle w:val="ListBullet"/>
        <w:spacing w:after="20"/>
      </w:pPr>
      <w:r>
        <w:t>verification question drafting</w:t>
      </w:r>
    </w:p>
    <w:p>
      <w:pPr>
        <w:pStyle w:val="ListBullet"/>
        <w:spacing w:after="20"/>
      </w:pPr>
      <w:r>
        <w:t>data anomaly detection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FY29 Q1</w:t>
            </w:r>
          </w:p>
        </w:tc>
        <w:tc>
          <w:tcPr>
            <w:tcW w:type="dxa" w:w="7776"/>
            <w:vAlign w:val="top"/>
          </w:tcPr>
          <w:p>
            <w:r>
              <w:rPr>
                <w:sz w:val="16"/>
              </w:rPr>
              <w:t>Nature-based + clean cooking; 2 design-partner projects.</w:t>
            </w:r>
          </w:p>
        </w:tc>
      </w:tr>
      <w:tr>
        <w:tc>
          <w:tcPr>
            <w:tcW w:type="dxa" w:w="1872"/>
            <w:vAlign w:val="top"/>
          </w:tcPr>
          <w:p>
            <w:r>
              <w:rPr>
                <w:sz w:val="16"/>
              </w:rPr>
              <w:t>v0.5 Closed Beta</w:t>
            </w:r>
          </w:p>
        </w:tc>
        <w:tc>
          <w:tcPr>
            <w:tcW w:type="dxa" w:w="2304"/>
            <w:vAlign w:val="top"/>
          </w:tcPr>
          <w:p>
            <w:r>
              <w:rPr>
                <w:sz w:val="16"/>
              </w:rPr>
              <w:t>FY29 Q2</w:t>
            </w:r>
          </w:p>
        </w:tc>
        <w:tc>
          <w:tcPr>
            <w:tcW w:type="dxa" w:w="7776"/>
            <w:vAlign w:val="top"/>
          </w:tcPr>
          <w:p>
            <w:r>
              <w:rPr>
                <w:sz w:val="16"/>
              </w:rPr>
              <w:t>Biochar + avoided methane; field-ops workflow.</w:t>
            </w:r>
          </w:p>
        </w:tc>
      </w:tr>
      <w:tr>
        <w:tc>
          <w:tcPr>
            <w:tcW w:type="dxa" w:w="1872"/>
            <w:vAlign w:val="top"/>
          </w:tcPr>
          <w:p>
            <w:r>
              <w:rPr>
                <w:sz w:val="16"/>
              </w:rPr>
              <w:t>v0.9 Public Beta</w:t>
            </w:r>
          </w:p>
        </w:tc>
        <w:tc>
          <w:tcPr>
            <w:tcW w:type="dxa" w:w="2304"/>
            <w:vAlign w:val="top"/>
          </w:tcPr>
          <w:p>
            <w:r>
              <w:rPr>
                <w:sz w:val="16"/>
              </w:rPr>
              <w:t>FY29 Q3</w:t>
            </w:r>
          </w:p>
        </w:tc>
        <w:tc>
          <w:tcPr>
            <w:tcW w:type="dxa" w:w="7776"/>
            <w:vAlign w:val="top"/>
          </w:tcPr>
          <w:p>
            <w:r>
              <w:rPr>
                <w:sz w:val="16"/>
              </w:rPr>
              <w:t>Verification + issuance workflow; Verra/Gold Standard integration.</w:t>
            </w:r>
          </w:p>
        </w:tc>
      </w:tr>
      <w:tr>
        <w:tc>
          <w:tcPr>
            <w:tcW w:type="dxa" w:w="1872"/>
            <w:vAlign w:val="top"/>
          </w:tcPr>
          <w:p>
            <w:r>
              <w:rPr>
                <w:sz w:val="16"/>
              </w:rPr>
              <w:t>v1.0 GA</w:t>
            </w:r>
          </w:p>
        </w:tc>
        <w:tc>
          <w:tcPr>
            <w:tcW w:type="dxa" w:w="2304"/>
            <w:vAlign w:val="top"/>
          </w:tcPr>
          <w:p>
            <w:r>
              <w:rPr>
                <w:sz w:val="16"/>
              </w:rPr>
              <w:t>FY29 Q4</w:t>
            </w:r>
          </w:p>
        </w:tc>
        <w:tc>
          <w:tcPr>
            <w:tcW w:type="dxa" w:w="7776"/>
            <w:vAlign w:val="top"/>
          </w:tcPr>
          <w:p>
            <w:r>
              <w:rPr>
                <w:sz w:val="16"/>
              </w:rPr>
              <w:t>First credits issued via platform with independent verification.</w:t>
            </w:r>
          </w:p>
        </w:tc>
      </w:tr>
      <w:tr>
        <w:tc>
          <w:tcPr>
            <w:tcW w:type="dxa" w:w="1872"/>
            <w:vAlign w:val="top"/>
          </w:tcPr>
          <w:p>
            <w:r>
              <w:rPr>
                <w:sz w:val="16"/>
              </w:rPr>
              <w:t>v1.5</w:t>
            </w:r>
          </w:p>
        </w:tc>
        <w:tc>
          <w:tcPr>
            <w:tcW w:type="dxa" w:w="2304"/>
            <w:vAlign w:val="top"/>
          </w:tcPr>
          <w:p>
            <w:r>
              <w:rPr>
                <w:sz w:val="16"/>
              </w:rPr>
              <w:t>FY30 Q2</w:t>
            </w:r>
          </w:p>
        </w:tc>
        <w:tc>
          <w:tcPr>
            <w:tcW w:type="dxa" w:w="7776"/>
            <w:vAlign w:val="top"/>
          </w:tcPr>
          <w:p>
            <w:r>
              <w:rPr>
                <w:sz w:val="16"/>
              </w:rPr>
              <w:t>Article 6 compliance pathway; ICVCM CCP alignment tooling.</w:t>
            </w:r>
          </w:p>
        </w:tc>
      </w:tr>
      <w:tr>
        <w:tc>
          <w:tcPr>
            <w:tcW w:type="dxa" w:w="1872"/>
            <w:vAlign w:val="top"/>
          </w:tcPr>
          <w:p>
            <w:r>
              <w:rPr>
                <w:sz w:val="16"/>
              </w:rPr>
              <w:t>v2.0</w:t>
            </w:r>
          </w:p>
        </w:tc>
        <w:tc>
          <w:tcPr>
            <w:tcW w:type="dxa" w:w="2304"/>
            <w:vAlign w:val="top"/>
          </w:tcPr>
          <w:p>
            <w:r>
              <w:rPr>
                <w:sz w:val="16"/>
              </w:rPr>
              <w:t>FY30 Q4</w:t>
            </w:r>
          </w:p>
        </w:tc>
        <w:tc>
          <w:tcPr>
            <w:tcW w:type="dxa" w:w="7776"/>
            <w:vAlign w:val="top"/>
          </w:tcPr>
          <w:p>
            <w:r>
              <w:rPr>
                <w:sz w:val="16"/>
              </w:rPr>
              <w:t>Durable removals (DAC, enhanced weathering, ocean); Isometric/Puro integrations.</w:t>
            </w:r>
          </w:p>
        </w:tc>
      </w:tr>
      <w:tr>
        <w:tc>
          <w:tcPr>
            <w:tcW w:type="dxa" w:w="1872"/>
            <w:vAlign w:val="top"/>
          </w:tcPr>
          <w:p>
            <w:r>
              <w:rPr>
                <w:sz w:val="16"/>
              </w:rPr>
              <w:t>v2.5</w:t>
            </w:r>
          </w:p>
        </w:tc>
        <w:tc>
          <w:tcPr>
            <w:tcW w:type="dxa" w:w="2304"/>
            <w:vAlign w:val="top"/>
          </w:tcPr>
          <w:p>
            <w:r>
              <w:rPr>
                <w:sz w:val="16"/>
              </w:rPr>
              <w:t>FY31 Q3</w:t>
            </w:r>
          </w:p>
        </w:tc>
        <w:tc>
          <w:tcPr>
            <w:tcW w:type="dxa" w:w="7776"/>
            <w:vAlign w:val="top"/>
          </w:tcPr>
          <w:p>
            <w:r>
              <w:rPr>
                <w:sz w:val="16"/>
              </w:rPr>
              <w:t>Jurisdictional MRV (REDD+, J-REDD); public-sector-grade issuance.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GA only for selected project types, not all carbon markets</w:t>
      </w:r>
    </w:p>
    <w:p>
      <w:pPr>
        <w:pStyle w:val="ListBullet"/>
        <w:spacing w:after="20"/>
      </w:pPr>
      <w:r>
        <w:t>Methodology support must be explicit and reviewed</w:t>
      </w:r>
    </w:p>
    <w:p>
      <w:pPr>
        <w:pStyle w:val="ListBullet"/>
        <w:spacing w:after="20"/>
      </w:pPr>
      <w:r>
        <w:t>Verifier workflow required before buyer-facing claims</w:t>
      </w:r>
    </w:p>
    <w:p>
      <w:pPr>
        <w:pStyle w:val="ListBullet"/>
        <w:spacing w:after="20"/>
      </w:pPr>
      <w:r>
        <w:t>Avoid becoming registry unless strategically necessary</w:t>
      </w:r>
    </w:p>
    <w:p>
      <w:pPr>
        <w:pStyle w:val="Heading3"/>
      </w:pPr>
      <w:r>
        <w:t>Key risks to actively manage</w:t>
      </w:r>
    </w:p>
    <w:p>
      <w:pPr>
        <w:pStyle w:val="ListBullet"/>
        <w:spacing w:after="20"/>
      </w:pPr>
      <w:r>
        <w:t>methodology complexity</w:t>
      </w:r>
    </w:p>
    <w:p>
      <w:pPr>
        <w:pStyle w:val="ListBullet"/>
        <w:spacing w:after="20"/>
      </w:pPr>
      <w:r>
        <w:t>verification liability</w:t>
      </w:r>
    </w:p>
    <w:p>
      <w:pPr>
        <w:pStyle w:val="ListBullet"/>
        <w:spacing w:after="20"/>
      </w:pPr>
      <w:r>
        <w:t>project-type sprawl</w:t>
      </w:r>
    </w:p>
    <w:p>
      <w:pPr>
        <w:pStyle w:val="ListBullet"/>
        <w:spacing w:after="20"/>
      </w:pPr>
      <w:r>
        <w:t>carbon market credibility concerns</w:t>
      </w:r>
    </w:p>
    <w:p>
      <w:pPr>
        <w:pStyle w:val="Heading3"/>
      </w:pPr>
      <w:r>
        <w:t>Success metrics</w:t>
      </w:r>
    </w:p>
    <w:p>
      <w:pPr>
        <w:pStyle w:val="ListBullet"/>
        <w:spacing w:after="20"/>
      </w:pPr>
      <w:r>
        <w:t>projects onboarded</w:t>
      </w:r>
    </w:p>
    <w:p>
      <w:pPr>
        <w:pStyle w:val="ListBullet"/>
        <w:spacing w:after="20"/>
      </w:pPr>
      <w:r>
        <w:t>monitoring reports generated</w:t>
      </w:r>
    </w:p>
    <w:p>
      <w:pPr>
        <w:pStyle w:val="ListBullet"/>
        <w:spacing w:after="20"/>
      </w:pPr>
      <w:r>
        <w:t>verification cycle time</w:t>
      </w:r>
    </w:p>
    <w:p>
      <w:pPr>
        <w:pStyle w:val="ListBullet"/>
        <w:spacing w:after="20"/>
      </w:pPr>
      <w:r>
        <w:t>findings closure rate</w:t>
      </w:r>
    </w:p>
    <w:p>
      <w:pPr>
        <w:pStyle w:val="ListBullet"/>
        <w:spacing w:after="20"/>
      </w:pPr>
      <w:r>
        <w:t>buyer/verifier acceptance</w:t>
      </w:r>
    </w:p>
    <w:p>
      <w:pPr>
        <w:pStyle w:val="Heading3"/>
      </w:pPr>
      <w:r>
        <w:t>Dependency notes</w:t>
      </w:r>
    </w:p>
    <w:p>
      <w:pPr>
        <w:pStyle w:val="ListBullet"/>
        <w:spacing w:after="20"/>
      </w:pPr>
      <w:r>
        <w:t>Upstream: Ledger, Factors, Connect, Methane &amp; Nitrogen Monitor, AgriLandOS.</w:t>
      </w:r>
    </w:p>
    <w:p>
      <w:pPr>
        <w:pStyle w:val="ListBullet"/>
        <w:spacing w:after="20"/>
      </w:pPr>
      <w:r>
        <w:t>Downstream: Carbon Markets Hub, CDR Portfolio Manager, Proof Hub.</w:t>
      </w:r>
    </w:p>
    <w:p>
      <w:r>
        <w:br w:type="page"/>
      </w:r>
    </w:p>
    <w:p>
      <w:pPr>
        <w:pStyle w:val="Heading2"/>
      </w:pPr>
      <w:r>
        <w:t>34. GreenLang Carbon Markets Hub</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FY30</w:t>
            </w:r>
          </w:p>
        </w:tc>
      </w:tr>
      <w:tr>
        <w:tc>
          <w:tcPr>
            <w:tcW w:type="dxa" w:w="2448"/>
            <w:vAlign w:val="top"/>
            <w:shd w:fill="EAF2F8"/>
          </w:tcPr>
          <w:p>
            <w:r>
              <w:rPr>
                <w:b/>
                <w:color w:val="1F4E79"/>
                <w:sz w:val="16"/>
              </w:rPr>
              <w:t>Recommended v1.0 GA</w:t>
            </w:r>
          </w:p>
        </w:tc>
        <w:tc>
          <w:tcPr>
            <w:tcW w:type="dxa" w:w="8352"/>
            <w:vAlign w:val="top"/>
          </w:tcPr>
          <w:p>
            <w:r>
              <w:rPr>
                <w:sz w:val="16"/>
              </w:rPr>
              <w:t>FY30 Q4</w:t>
            </w:r>
          </w:p>
        </w:tc>
      </w:tr>
      <w:tr>
        <w:tc>
          <w:tcPr>
            <w:tcW w:type="dxa" w:w="2448"/>
            <w:vAlign w:val="top"/>
            <w:shd w:fill="EAF2F8"/>
          </w:tcPr>
          <w:p>
            <w:r>
              <w:rPr>
                <w:b/>
                <w:color w:val="1F4E79"/>
                <w:sz w:val="16"/>
              </w:rPr>
              <w:t>Cloud / squad</w:t>
            </w:r>
          </w:p>
        </w:tc>
        <w:tc>
          <w:tcPr>
            <w:tcW w:type="dxa" w:w="8352"/>
            <w:vAlign w:val="top"/>
          </w:tcPr>
          <w:p>
            <w:r>
              <w:rPr>
                <w:sz w:val="16"/>
              </w:rPr>
              <w:t>Finance &amp; Markets / Finance, MRV &amp; Markets Squad</w:t>
            </w:r>
          </w:p>
        </w:tc>
      </w:tr>
      <w:tr>
        <w:tc>
          <w:tcPr>
            <w:tcW w:type="dxa" w:w="2448"/>
            <w:vAlign w:val="top"/>
            <w:shd w:fill="EAF2F8"/>
          </w:tcPr>
          <w:p>
            <w:r>
              <w:rPr>
                <w:b/>
                <w:color w:val="1F4E79"/>
                <w:sz w:val="16"/>
              </w:rPr>
              <w:t>Primary buyer</w:t>
            </w:r>
          </w:p>
        </w:tc>
        <w:tc>
          <w:tcPr>
            <w:tcW w:type="dxa" w:w="8352"/>
            <w:vAlign w:val="top"/>
          </w:tcPr>
          <w:p>
            <w:r>
              <w:rPr>
                <w:sz w:val="16"/>
              </w:rPr>
              <w:t>Corporates, traders, marketplaces, project developers, procurement teams</w:t>
            </w:r>
          </w:p>
        </w:tc>
      </w:tr>
      <w:tr>
        <w:tc>
          <w:tcPr>
            <w:tcW w:type="dxa" w:w="2448"/>
            <w:vAlign w:val="top"/>
            <w:shd w:fill="EAF2F8"/>
          </w:tcPr>
          <w:p>
            <w:r>
              <w:rPr>
                <w:b/>
                <w:color w:val="1F4E79"/>
                <w:sz w:val="16"/>
              </w:rPr>
              <w:t>Revenue model</w:t>
            </w:r>
          </w:p>
        </w:tc>
        <w:tc>
          <w:tcPr>
            <w:tcW w:type="dxa" w:w="8352"/>
            <w:vAlign w:val="top"/>
          </w:tcPr>
          <w:p>
            <w:r>
              <w:rPr>
                <w:sz w:val="16"/>
              </w:rPr>
              <w:t>Take-rate + analytics</w:t>
            </w:r>
          </w:p>
        </w:tc>
      </w:tr>
      <w:tr>
        <w:tc>
          <w:tcPr>
            <w:tcW w:type="dxa" w:w="2448"/>
            <w:vAlign w:val="top"/>
            <w:shd w:fill="EAF2F8"/>
          </w:tcPr>
          <w:p>
            <w:r>
              <w:rPr>
                <w:b/>
                <w:color w:val="1F4E79"/>
                <w:sz w:val="16"/>
              </w:rPr>
              <w:t>Definition</w:t>
            </w:r>
          </w:p>
        </w:tc>
        <w:tc>
          <w:tcPr>
            <w:tcW w:type="dxa" w:w="8352"/>
            <w:vAlign w:val="top"/>
          </w:tcPr>
          <w:p>
            <w:r>
              <w:rPr>
                <w:sz w:val="16"/>
              </w:rPr>
              <w:t>A carbon credit sourcing, diligence, portfolio, transaction-support, and post-purchase monitoring layer built on MRV Studio, Proof Hub, Evidence Vault, and project-quality analytics.</w:t>
            </w:r>
          </w:p>
        </w:tc>
      </w:tr>
      <w:tr>
        <w:tc>
          <w:tcPr>
            <w:tcW w:type="dxa" w:w="2448"/>
            <w:vAlign w:val="top"/>
            <w:shd w:fill="EAF2F8"/>
          </w:tcPr>
          <w:p>
            <w:r>
              <w:rPr>
                <w:b/>
                <w:color w:val="1F4E79"/>
                <w:sz w:val="16"/>
              </w:rPr>
              <w:t>Strategic role</w:t>
            </w:r>
          </w:p>
        </w:tc>
        <w:tc>
          <w:tcPr>
            <w:tcW w:type="dxa" w:w="8352"/>
            <w:vAlign w:val="top"/>
          </w:tcPr>
          <w:p>
            <w:r>
              <w:rPr>
                <w:sz w:val="16"/>
              </w:rPr>
              <w:t>Carbon Markets Hub is a transaction upside product, but it should be sequenced after GreenLang has credible MRV/proof infrastructure. It must prioritize quality and diligence over marketplace theater.</w:t>
            </w:r>
          </w:p>
        </w:tc>
      </w:tr>
      <w:tr>
        <w:tc>
          <w:tcPr>
            <w:tcW w:type="dxa" w:w="2448"/>
            <w:vAlign w:val="top"/>
            <w:shd w:fill="EAF2F8"/>
          </w:tcPr>
          <w:p>
            <w:r>
              <w:rPr>
                <w:b/>
                <w:color w:val="1F4E79"/>
                <w:sz w:val="16"/>
              </w:rPr>
              <w:t>Pricing / packaging logic</w:t>
            </w:r>
          </w:p>
        </w:tc>
        <w:tc>
          <w:tcPr>
            <w:tcW w:type="dxa" w:w="8352"/>
            <w:vAlign w:val="top"/>
          </w:tcPr>
          <w:p>
            <w:r>
              <w:rPr>
                <w:sz w:val="16"/>
              </w:rPr>
              <w:t>Analytics subscription plus transaction take-rate where permitted. Avoid take-rate before legal and trust foundation exists.</w:t>
            </w:r>
          </w:p>
        </w:tc>
      </w:tr>
    </w:tbl>
    <w:p>
      <w:pPr>
        <w:pStyle w:val="Heading3"/>
      </w:pPr>
      <w:r>
        <w:t>CTO final pathway</w:t>
      </w:r>
    </w:p>
    <w:p>
      <w:pPr>
        <w:spacing w:after="80"/>
      </w:pPr>
      <w:r>
        <w:t>Build GreenLang Carbon Markets Hub as a modular product on the shared substrate. The release target is FY30; GA is gated for FY30 Q4. No GA before MRV Studio and Proof Hub are credible Legal review required for transaction roles</w:t>
      </w:r>
    </w:p>
    <w:p>
      <w:pPr>
        <w:pStyle w:val="Heading3"/>
      </w:pPr>
      <w:r>
        <w:t>Why it exists</w:t>
      </w:r>
    </w:p>
    <w:p>
      <w:pPr>
        <w:spacing w:after="80"/>
      </w:pPr>
      <w:r>
        <w:t>Corporate buyers and traders face a fragmented, low-transparency market. CORSIA, Article 6, CCTS, EU ETS, and voluntary markets all have different units, registries, and quality bars. Good procurement infrastructure is missing.</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corporate buyers</w:t>
              <w:br/>
              <w:t>climate procurement teams</w:t>
              <w:br/>
              <w:t>traders</w:t>
              <w:br/>
              <w:t>marketplaces</w:t>
              <w:br/>
              <w:t>project developers</w:t>
              <w:br/>
              <w:t>finance/treasury teams</w:t>
              <w:br/>
              <w:t>risk teams</w:t>
            </w:r>
          </w:p>
        </w:tc>
      </w:tr>
      <w:tr>
        <w:tc>
          <w:tcPr>
            <w:tcW w:type="dxa" w:w="3024"/>
            <w:vAlign w:val="top"/>
          </w:tcPr>
          <w:p>
            <w:r>
              <w:rPr>
                <w:sz w:val="16"/>
              </w:rPr>
              <w:t>Jobs to be done</w:t>
            </w:r>
          </w:p>
        </w:tc>
        <w:tc>
          <w:tcPr>
            <w:tcW w:type="dxa" w:w="8640"/>
            <w:vAlign w:val="top"/>
          </w:tcPr>
          <w:p>
            <w:r>
              <w:rPr>
                <w:sz w:val="16"/>
              </w:rPr>
              <w:t>Evaluate project and credit quality</w:t>
              <w:br/>
              <w:t>Build credit purchase portfolios</w:t>
              <w:br/>
              <w:t>Track claims, retirements, and evidence</w:t>
              <w:br/>
              <w:t>Monitor project performance over time</w:t>
              <w:br/>
              <w:t>Support transactions where legally appropriate</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Credit discovery with quality scoring (ICVCM CCPs, CORSIA EEUs, SBTi alignment).</w:t>
              <w:br/>
              <w:t>Procurement workflow (RFI/RFP, legal templates, KYC).</w:t>
              <w:br/>
              <w:t>Portfolio analytics (quality, vintage, geography, type).</w:t>
              <w:br/>
              <w:t>Retirement and attestation.</w:t>
              <w:br/>
              <w:t>Price benchmarks.</w:t>
              <w:br/>
              <w:t>Registry integrations (Verra, Gold Standard, ART, Puro, Isometric, CBAM, India CCTS).</w:t>
              <w:br/>
              <w:t>Internal carbon budget management.</w:t>
            </w:r>
          </w:p>
        </w:tc>
      </w:tr>
      <w:tr>
        <w:tc>
          <w:tcPr>
            <w:tcW w:type="dxa" w:w="3456"/>
            <w:vAlign w:val="top"/>
          </w:tcPr>
          <w:p>
            <w:r>
              <w:rPr>
                <w:sz w:val="16"/>
              </w:rPr>
              <w:t>In-scope product modules</w:t>
            </w:r>
          </w:p>
        </w:tc>
        <w:tc>
          <w:tcPr>
            <w:tcW w:type="dxa" w:w="8352"/>
            <w:vAlign w:val="top"/>
          </w:tcPr>
          <w:p>
            <w:r>
              <w:rPr>
                <w:sz w:val="16"/>
              </w:rPr>
              <w:t>project/credit diligence database</w:t>
              <w:br/>
              <w:t>portfolio builder</w:t>
              <w:br/>
              <w:t>quality/risk scoring</w:t>
              <w:br/>
              <w:t>transaction workflow support</w:t>
              <w:br/>
              <w:t>claim and retirement tracker</w:t>
              <w:br/>
              <w:t>market analytics</w:t>
              <w:br/>
              <w:t>buyer/project collaboration</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project records</w:t>
              <w:br/>
              <w:t>credit vintages</w:t>
              <w:br/>
              <w:t>methodologies</w:t>
              <w:br/>
              <w:t>MRV evidence</w:t>
              <w:br/>
              <w:t>verifier status</w:t>
              <w:br/>
              <w:t>prices</w:t>
              <w:br/>
              <w:t>retirements</w:t>
              <w:br/>
              <w:t>claims</w:t>
              <w:br/>
              <w:t>counterparties</w:t>
              <w:br/>
              <w:t>risk flags</w:t>
            </w:r>
          </w:p>
        </w:tc>
      </w:tr>
      <w:tr>
        <w:tc>
          <w:tcPr>
            <w:tcW w:type="dxa" w:w="3384"/>
            <w:vAlign w:val="top"/>
          </w:tcPr>
          <w:p>
            <w:r>
              <w:rPr>
                <w:sz w:val="16"/>
              </w:rPr>
              <w:t>External/product integrations</w:t>
            </w:r>
          </w:p>
        </w:tc>
        <w:tc>
          <w:tcPr>
            <w:tcW w:type="dxa" w:w="8496"/>
            <w:vAlign w:val="top"/>
          </w:tcPr>
          <w:p>
            <w:r>
              <w:rPr>
                <w:sz w:val="16"/>
              </w:rPr>
              <w:t>MRV Studio; Proof Hub; Evidence Vault; CDR Portfolio Manager; FinanceOS; external registries/marketplaces where available</w:t>
            </w:r>
          </w:p>
        </w:tc>
      </w:tr>
      <w:tr>
        <w:tc>
          <w:tcPr>
            <w:tcW w:type="dxa" w:w="3384"/>
            <w:vAlign w:val="top"/>
          </w:tcPr>
          <w:p>
            <w:r>
              <w:rPr>
                <w:sz w:val="16"/>
              </w:rPr>
              <w:t>GreenLang dependencies</w:t>
            </w:r>
          </w:p>
        </w:tc>
        <w:tc>
          <w:tcPr>
            <w:tcW w:type="dxa" w:w="8496"/>
            <w:vAlign w:val="top"/>
          </w:tcPr>
          <w:p>
            <w:r>
              <w:rPr>
                <w:sz w:val="16"/>
              </w:rPr>
              <w:t>MRV Studio; Proof Hub; Evidence Vault; legal/compliance review for take-rate; buyer/project developer network</w:t>
            </w:r>
          </w:p>
        </w:tc>
      </w:tr>
      <w:tr>
        <w:tc>
          <w:tcPr>
            <w:tcW w:type="dxa" w:w="3384"/>
            <w:vAlign w:val="top"/>
          </w:tcPr>
          <w:p>
            <w:r>
              <w:rPr>
                <w:sz w:val="16"/>
              </w:rPr>
              <w:t>Customer outputs and deliverables</w:t>
            </w:r>
          </w:p>
        </w:tc>
        <w:tc>
          <w:tcPr>
            <w:tcW w:type="dxa" w:w="8496"/>
            <w:vAlign w:val="top"/>
          </w:tcPr>
          <w:p>
            <w:r>
              <w:rPr>
                <w:sz w:val="16"/>
              </w:rPr>
              <w:t>credit diligence report</w:t>
              <w:br/>
              <w:t>portfolio recommendation</w:t>
              <w:br/>
              <w:t>retirement/claim evidence pack</w:t>
              <w:br/>
              <w:t>market analytics dashboard</w:t>
              <w:br/>
              <w:t>transaction data room</w:t>
            </w:r>
          </w:p>
        </w:tc>
      </w:tr>
    </w:tbl>
    <w:p>
      <w:pPr>
        <w:pStyle w:val="Heading3"/>
      </w:pPr>
      <w:r>
        <w:t>AI and automation behavior</w:t>
      </w:r>
    </w:p>
    <w:p>
      <w:pPr>
        <w:pStyle w:val="ListBullet"/>
        <w:spacing w:after="20"/>
      </w:pPr>
      <w:r>
        <w:t>credit-quality triage</w:t>
      </w:r>
    </w:p>
    <w:p>
      <w:pPr>
        <w:pStyle w:val="ListBullet"/>
        <w:spacing w:after="20"/>
      </w:pPr>
      <w:r>
        <w:t>portfolio recommendation assistant</w:t>
      </w:r>
    </w:p>
    <w:p>
      <w:pPr>
        <w:pStyle w:val="ListBullet"/>
        <w:spacing w:after="20"/>
      </w:pPr>
      <w:r>
        <w:t>risk flag summarizer</w:t>
      </w:r>
    </w:p>
    <w:p>
      <w:pPr>
        <w:pStyle w:val="ListBullet"/>
        <w:spacing w:after="20"/>
      </w:pPr>
      <w:r>
        <w:t>claim language review</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FY30 Q1</w:t>
            </w:r>
          </w:p>
        </w:tc>
        <w:tc>
          <w:tcPr>
            <w:tcW w:type="dxa" w:w="7776"/>
            <w:vAlign w:val="top"/>
          </w:tcPr>
          <w:p>
            <w:r>
              <w:rPr>
                <w:sz w:val="16"/>
              </w:rPr>
              <w:t>Voluntary credit discovery + retirement; 2 design partners.</w:t>
            </w:r>
          </w:p>
        </w:tc>
      </w:tr>
      <w:tr>
        <w:tc>
          <w:tcPr>
            <w:tcW w:type="dxa" w:w="1872"/>
            <w:vAlign w:val="top"/>
          </w:tcPr>
          <w:p>
            <w:r>
              <w:rPr>
                <w:sz w:val="16"/>
              </w:rPr>
              <w:t>v0.5 Closed Beta</w:t>
            </w:r>
          </w:p>
        </w:tc>
        <w:tc>
          <w:tcPr>
            <w:tcW w:type="dxa" w:w="2304"/>
            <w:vAlign w:val="top"/>
          </w:tcPr>
          <w:p>
            <w:r>
              <w:rPr>
                <w:sz w:val="16"/>
              </w:rPr>
              <w:t>FY30 Q2</w:t>
            </w:r>
          </w:p>
        </w:tc>
        <w:tc>
          <w:tcPr>
            <w:tcW w:type="dxa" w:w="7776"/>
            <w:vAlign w:val="top"/>
          </w:tcPr>
          <w:p>
            <w:r>
              <w:rPr>
                <w:sz w:val="16"/>
              </w:rPr>
              <w:t>Procurement workflow; ICVCM CCP scoring.</w:t>
            </w:r>
          </w:p>
        </w:tc>
      </w:tr>
      <w:tr>
        <w:tc>
          <w:tcPr>
            <w:tcW w:type="dxa" w:w="1872"/>
            <w:vAlign w:val="top"/>
          </w:tcPr>
          <w:p>
            <w:r>
              <w:rPr>
                <w:sz w:val="16"/>
              </w:rPr>
              <w:t>v0.9 Public Beta</w:t>
            </w:r>
          </w:p>
        </w:tc>
        <w:tc>
          <w:tcPr>
            <w:tcW w:type="dxa" w:w="2304"/>
            <w:vAlign w:val="top"/>
          </w:tcPr>
          <w:p>
            <w:r>
              <w:rPr>
                <w:sz w:val="16"/>
              </w:rPr>
              <w:t>FY30 Q3</w:t>
            </w:r>
          </w:p>
        </w:tc>
        <w:tc>
          <w:tcPr>
            <w:tcW w:type="dxa" w:w="7776"/>
            <w:vAlign w:val="top"/>
          </w:tcPr>
          <w:p>
            <w:r>
              <w:rPr>
                <w:sz w:val="16"/>
              </w:rPr>
              <w:t>Portfolio analytics; CORSIA EEUs.</w:t>
            </w:r>
          </w:p>
        </w:tc>
      </w:tr>
      <w:tr>
        <w:tc>
          <w:tcPr>
            <w:tcW w:type="dxa" w:w="1872"/>
            <w:vAlign w:val="top"/>
          </w:tcPr>
          <w:p>
            <w:r>
              <w:rPr>
                <w:sz w:val="16"/>
              </w:rPr>
              <w:t>v1.0 GA</w:t>
            </w:r>
          </w:p>
        </w:tc>
        <w:tc>
          <w:tcPr>
            <w:tcW w:type="dxa" w:w="2304"/>
            <w:vAlign w:val="top"/>
          </w:tcPr>
          <w:p>
            <w:r>
              <w:rPr>
                <w:sz w:val="16"/>
              </w:rPr>
              <w:t>FY30 Q4</w:t>
            </w:r>
          </w:p>
        </w:tc>
        <w:tc>
          <w:tcPr>
            <w:tcW w:type="dxa" w:w="7776"/>
            <w:vAlign w:val="top"/>
          </w:tcPr>
          <w:p>
            <w:r>
              <w:rPr>
                <w:sz w:val="16"/>
              </w:rPr>
              <w:t>Take-rate live; registry integrations.</w:t>
            </w:r>
          </w:p>
        </w:tc>
      </w:tr>
      <w:tr>
        <w:tc>
          <w:tcPr>
            <w:tcW w:type="dxa" w:w="1872"/>
            <w:vAlign w:val="top"/>
          </w:tcPr>
          <w:p>
            <w:r>
              <w:rPr>
                <w:sz w:val="16"/>
              </w:rPr>
              <w:t>v1.5</w:t>
            </w:r>
          </w:p>
        </w:tc>
        <w:tc>
          <w:tcPr>
            <w:tcW w:type="dxa" w:w="2304"/>
            <w:vAlign w:val="top"/>
          </w:tcPr>
          <w:p>
            <w:r>
              <w:rPr>
                <w:sz w:val="16"/>
              </w:rPr>
              <w:t>FY31 Q3</w:t>
            </w:r>
          </w:p>
        </w:tc>
        <w:tc>
          <w:tcPr>
            <w:tcW w:type="dxa" w:w="7776"/>
            <w:vAlign w:val="top"/>
          </w:tcPr>
          <w:p>
            <w:r>
              <w:rPr>
                <w:sz w:val="16"/>
              </w:rPr>
              <w:t>India CCTS + Article 6 support; secondary-market trading.</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No GA before MRV Studio and Proof Hub are credible</w:t>
      </w:r>
    </w:p>
    <w:p>
      <w:pPr>
        <w:pStyle w:val="ListBullet"/>
        <w:spacing w:after="20"/>
      </w:pPr>
      <w:r>
        <w:t>Legal review required for transaction roles</w:t>
      </w:r>
    </w:p>
    <w:p>
      <w:pPr>
        <w:pStyle w:val="ListBullet"/>
        <w:spacing w:after="20"/>
      </w:pPr>
      <w:r>
        <w:t>Clear disclaimers around investment/quality advice</w:t>
      </w:r>
    </w:p>
    <w:p>
      <w:pPr>
        <w:pStyle w:val="ListBullet"/>
        <w:spacing w:after="20"/>
      </w:pPr>
      <w:r>
        <w:t>Start with analytics and diligence before marketplace liquidity</w:t>
      </w:r>
    </w:p>
    <w:p>
      <w:pPr>
        <w:pStyle w:val="Heading3"/>
      </w:pPr>
      <w:r>
        <w:t>Key risks to actively manage</w:t>
      </w:r>
    </w:p>
    <w:p>
      <w:pPr>
        <w:pStyle w:val="ListBullet"/>
        <w:spacing w:after="20"/>
      </w:pPr>
      <w:r>
        <w:t>carbon market reputational risk</w:t>
      </w:r>
    </w:p>
    <w:p>
      <w:pPr>
        <w:pStyle w:val="ListBullet"/>
        <w:spacing w:after="20"/>
      </w:pPr>
      <w:r>
        <w:t>legal/regulatory exposure</w:t>
      </w:r>
    </w:p>
    <w:p>
      <w:pPr>
        <w:pStyle w:val="ListBullet"/>
        <w:spacing w:after="20"/>
      </w:pPr>
      <w:r>
        <w:t>low-quality credits</w:t>
      </w:r>
    </w:p>
    <w:p>
      <w:pPr>
        <w:pStyle w:val="ListBullet"/>
        <w:spacing w:after="20"/>
      </w:pPr>
      <w:r>
        <w:t>conflicts of interest</w:t>
      </w:r>
    </w:p>
    <w:p>
      <w:pPr>
        <w:pStyle w:val="Heading3"/>
      </w:pPr>
      <w:r>
        <w:t>Success metrics</w:t>
      </w:r>
    </w:p>
    <w:p>
      <w:pPr>
        <w:pStyle w:val="ListBullet"/>
        <w:spacing w:after="20"/>
      </w:pPr>
      <w:r>
        <w:t>credits/projects analyzed</w:t>
      </w:r>
    </w:p>
    <w:p>
      <w:pPr>
        <w:pStyle w:val="ListBullet"/>
        <w:spacing w:after="20"/>
      </w:pPr>
      <w:r>
        <w:t>buyer portfolios created</w:t>
      </w:r>
    </w:p>
    <w:p>
      <w:pPr>
        <w:pStyle w:val="ListBullet"/>
        <w:spacing w:after="20"/>
      </w:pPr>
      <w:r>
        <w:t>transaction volume influenced</w:t>
      </w:r>
    </w:p>
    <w:p>
      <w:pPr>
        <w:pStyle w:val="ListBullet"/>
        <w:spacing w:after="20"/>
      </w:pPr>
      <w:r>
        <w:t>retirement evidence completeness</w:t>
      </w:r>
    </w:p>
    <w:p>
      <w:pPr>
        <w:pStyle w:val="ListBullet"/>
        <w:spacing w:after="20"/>
      </w:pPr>
      <w:r>
        <w:t>quality-risk alerts acted on</w:t>
      </w:r>
    </w:p>
    <w:p>
      <w:pPr>
        <w:pStyle w:val="Heading3"/>
      </w:pPr>
      <w:r>
        <w:t>Dependency notes</w:t>
      </w:r>
    </w:p>
    <w:p>
      <w:pPr>
        <w:pStyle w:val="ListBullet"/>
        <w:spacing w:after="20"/>
      </w:pPr>
      <w:r>
        <w:t>Upstream: MRV Studio, Factors.</w:t>
      </w:r>
    </w:p>
    <w:p>
      <w:pPr>
        <w:pStyle w:val="ListBullet"/>
        <w:spacing w:after="20"/>
      </w:pPr>
      <w:r>
        <w:t>Downstream: CDR Portfolio Manager, Comply, FinanceOS.</w:t>
      </w:r>
    </w:p>
    <w:p>
      <w:r>
        <w:br w:type="page"/>
      </w:r>
    </w:p>
    <w:p>
      <w:pPr>
        <w:pStyle w:val="Heading2"/>
      </w:pPr>
      <w:r>
        <w:t>35. GreenLang CDR Portfolio Manager</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FY31</w:t>
            </w:r>
          </w:p>
        </w:tc>
      </w:tr>
      <w:tr>
        <w:tc>
          <w:tcPr>
            <w:tcW w:type="dxa" w:w="2448"/>
            <w:vAlign w:val="top"/>
            <w:shd w:fill="EAF2F8"/>
          </w:tcPr>
          <w:p>
            <w:r>
              <w:rPr>
                <w:b/>
                <w:color w:val="1F4E79"/>
                <w:sz w:val="16"/>
              </w:rPr>
              <w:t>Recommended v1.0 GA</w:t>
            </w:r>
          </w:p>
        </w:tc>
        <w:tc>
          <w:tcPr>
            <w:tcW w:type="dxa" w:w="8352"/>
            <w:vAlign w:val="top"/>
          </w:tcPr>
          <w:p>
            <w:r>
              <w:rPr>
                <w:sz w:val="16"/>
              </w:rPr>
              <w:t>FY31 Q4</w:t>
            </w:r>
          </w:p>
        </w:tc>
      </w:tr>
      <w:tr>
        <w:tc>
          <w:tcPr>
            <w:tcW w:type="dxa" w:w="2448"/>
            <w:vAlign w:val="top"/>
            <w:shd w:fill="EAF2F8"/>
          </w:tcPr>
          <w:p>
            <w:r>
              <w:rPr>
                <w:b/>
                <w:color w:val="1F4E79"/>
                <w:sz w:val="16"/>
              </w:rPr>
              <w:t>Cloud / squad</w:t>
            </w:r>
          </w:p>
        </w:tc>
        <w:tc>
          <w:tcPr>
            <w:tcW w:type="dxa" w:w="8352"/>
            <w:vAlign w:val="top"/>
          </w:tcPr>
          <w:p>
            <w:r>
              <w:rPr>
                <w:sz w:val="16"/>
              </w:rPr>
              <w:t>Finance &amp; Markets / Finance, MRV &amp; Markets Squad</w:t>
            </w:r>
          </w:p>
        </w:tc>
      </w:tr>
      <w:tr>
        <w:tc>
          <w:tcPr>
            <w:tcW w:type="dxa" w:w="2448"/>
            <w:vAlign w:val="top"/>
            <w:shd w:fill="EAF2F8"/>
          </w:tcPr>
          <w:p>
            <w:r>
              <w:rPr>
                <w:b/>
                <w:color w:val="1F4E79"/>
                <w:sz w:val="16"/>
              </w:rPr>
              <w:t>Primary buyer</w:t>
            </w:r>
          </w:p>
        </w:tc>
        <w:tc>
          <w:tcPr>
            <w:tcW w:type="dxa" w:w="8352"/>
            <w:vAlign w:val="top"/>
          </w:tcPr>
          <w:p>
            <w:r>
              <w:rPr>
                <w:sz w:val="16"/>
              </w:rPr>
              <w:t>Large buyers, intermediaries, climate procurement teams, CDR portfolio managers</w:t>
            </w:r>
          </w:p>
        </w:tc>
      </w:tr>
      <w:tr>
        <w:tc>
          <w:tcPr>
            <w:tcW w:type="dxa" w:w="2448"/>
            <w:vAlign w:val="top"/>
            <w:shd w:fill="EAF2F8"/>
          </w:tcPr>
          <w:p>
            <w:r>
              <w:rPr>
                <w:b/>
                <w:color w:val="1F4E79"/>
                <w:sz w:val="16"/>
              </w:rPr>
              <w:t>Revenue model</w:t>
            </w:r>
          </w:p>
        </w:tc>
        <w:tc>
          <w:tcPr>
            <w:tcW w:type="dxa" w:w="8352"/>
            <w:vAlign w:val="top"/>
          </w:tcPr>
          <w:p>
            <w:r>
              <w:rPr>
                <w:sz w:val="16"/>
              </w:rPr>
              <w:t>Subscription + take-rate</w:t>
            </w:r>
          </w:p>
        </w:tc>
      </w:tr>
      <w:tr>
        <w:tc>
          <w:tcPr>
            <w:tcW w:type="dxa" w:w="2448"/>
            <w:vAlign w:val="top"/>
            <w:shd w:fill="EAF2F8"/>
          </w:tcPr>
          <w:p>
            <w:r>
              <w:rPr>
                <w:b/>
                <w:color w:val="1F4E79"/>
                <w:sz w:val="16"/>
              </w:rPr>
              <w:t>Definition</w:t>
            </w:r>
          </w:p>
        </w:tc>
        <w:tc>
          <w:tcPr>
            <w:tcW w:type="dxa" w:w="8352"/>
            <w:vAlign w:val="top"/>
          </w:tcPr>
          <w:p>
            <w:r>
              <w:rPr>
                <w:sz w:val="16"/>
              </w:rPr>
              <w:t>A carbon dioxide removal portfolio management product for evaluating CDR methods, suppliers, deliveries, permanence, MRV evidence, offtake terms, portfolio risk, and retirement/claim integrity.</w:t>
            </w:r>
          </w:p>
        </w:tc>
      </w:tr>
      <w:tr>
        <w:tc>
          <w:tcPr>
            <w:tcW w:type="dxa" w:w="2448"/>
            <w:vAlign w:val="top"/>
            <w:shd w:fill="EAF2F8"/>
          </w:tcPr>
          <w:p>
            <w:r>
              <w:rPr>
                <w:b/>
                <w:color w:val="1F4E79"/>
                <w:sz w:val="16"/>
              </w:rPr>
              <w:t>Strategic role</w:t>
            </w:r>
          </w:p>
        </w:tc>
        <w:tc>
          <w:tcPr>
            <w:tcW w:type="dxa" w:w="8352"/>
            <w:vAlign w:val="top"/>
          </w:tcPr>
          <w:p>
            <w:r>
              <w:rPr>
                <w:sz w:val="16"/>
              </w:rPr>
              <w:t>CDR Portfolio Manager is a specialized FY31 product for high-quality removal buyers. It should launch after MRV Studio, Proof Hub, and Carbon Markets Hub provide diligence and evidence infrastructure.</w:t>
            </w:r>
          </w:p>
        </w:tc>
      </w:tr>
      <w:tr>
        <w:tc>
          <w:tcPr>
            <w:tcW w:type="dxa" w:w="2448"/>
            <w:vAlign w:val="top"/>
            <w:shd w:fill="EAF2F8"/>
          </w:tcPr>
          <w:p>
            <w:r>
              <w:rPr>
                <w:b/>
                <w:color w:val="1F4E79"/>
                <w:sz w:val="16"/>
              </w:rPr>
              <w:t>Pricing / packaging logic</w:t>
            </w:r>
          </w:p>
        </w:tc>
        <w:tc>
          <w:tcPr>
            <w:tcW w:type="dxa" w:w="8352"/>
            <w:vAlign w:val="top"/>
          </w:tcPr>
          <w:p>
            <w:r>
              <w:rPr>
                <w:sz w:val="16"/>
              </w:rPr>
              <w:t>Subscription by portfolio size plus take-rate or success fee where permitted; premium diligence reports and buyer data rooms.</w:t>
            </w:r>
          </w:p>
        </w:tc>
      </w:tr>
    </w:tbl>
    <w:p>
      <w:pPr>
        <w:pStyle w:val="Heading3"/>
      </w:pPr>
      <w:r>
        <w:t>CTO final pathway</w:t>
      </w:r>
    </w:p>
    <w:p>
      <w:pPr>
        <w:spacing w:after="80"/>
      </w:pPr>
      <w:r>
        <w:t>Build GreenLang CDR Portfolio Manager as a modular product on the shared substrate. The release target is FY31; GA is gated for FY31 Q4. Do not launch before CDR buyer demand and MRV/proof stack mature Start with portfolio management, not exchange operations</w:t>
      </w:r>
    </w:p>
    <w:p>
      <w:pPr>
        <w:pStyle w:val="Heading3"/>
      </w:pPr>
      <w:r>
        <w:t>Why it exists</w:t>
      </w:r>
    </w:p>
    <w:p>
      <w:pPr>
        <w:spacing w:after="80"/>
      </w:pPr>
      <w:r>
        <w:t>Durable CDR (DAC, enhanced weathering, biochar, ocean, bio-oil) is a young market where buyers are building portfolios of offtake with complex delivery timelines (5-20 years). Watershed/Frontier/Isometric provide parts of this, but buyers want integrated portfolio infrastructure.</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large corporate buyers</w:t>
              <w:br/>
              <w:t>CDR procurement teams</w:t>
              <w:br/>
              <w:t>intermediaries</w:t>
              <w:br/>
              <w:t>climate funds</w:t>
              <w:br/>
              <w:t>treasury/sustainability teams</w:t>
              <w:br/>
              <w:t>auditors/verifiers</w:t>
            </w:r>
          </w:p>
        </w:tc>
      </w:tr>
      <w:tr>
        <w:tc>
          <w:tcPr>
            <w:tcW w:type="dxa" w:w="3024"/>
            <w:vAlign w:val="top"/>
          </w:tcPr>
          <w:p>
            <w:r>
              <w:rPr>
                <w:sz w:val="16"/>
              </w:rPr>
              <w:t>Jobs to be done</w:t>
            </w:r>
          </w:p>
        </w:tc>
        <w:tc>
          <w:tcPr>
            <w:tcW w:type="dxa" w:w="8640"/>
            <w:vAlign w:val="top"/>
          </w:tcPr>
          <w:p>
            <w:r>
              <w:rPr>
                <w:sz w:val="16"/>
              </w:rPr>
              <w:t>Compare CDR project types and suppliers</w:t>
              <w:br/>
              <w:t>Manage offtake/delivery contracts</w:t>
              <w:br/>
              <w:t>Track MRV evidence, permanence, reversals, and retirements</w:t>
              <w:br/>
              <w:t>Construct balanced CDR portfolios</w:t>
              <w:br/>
              <w:t>Prepare claim and audit packs</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Offtake contract management (prepay, milestone, delivery).</w:t>
              <w:br/>
              <w:t>Portfolio construction with durability/cost/risk tradeoffs.</w:t>
              <w:br/>
              <w:t>Delivery tracking tied to MRV Studio.</w:t>
              <w:br/>
              <w:t>Insurance/financial guarantee integrations.</w:t>
              <w:br/>
              <w:t>SBTi Removals + ICVCM CCP quality framework.</w:t>
              <w:br/>
              <w:t>Retirement into beneficial-claim frameworks.</w:t>
            </w:r>
          </w:p>
        </w:tc>
      </w:tr>
      <w:tr>
        <w:tc>
          <w:tcPr>
            <w:tcW w:type="dxa" w:w="3456"/>
            <w:vAlign w:val="top"/>
          </w:tcPr>
          <w:p>
            <w:r>
              <w:rPr>
                <w:sz w:val="16"/>
              </w:rPr>
              <w:t>In-scope product modules</w:t>
            </w:r>
          </w:p>
        </w:tc>
        <w:tc>
          <w:tcPr>
            <w:tcW w:type="dxa" w:w="8352"/>
            <w:vAlign w:val="top"/>
          </w:tcPr>
          <w:p>
            <w:r>
              <w:rPr>
                <w:sz w:val="16"/>
              </w:rPr>
              <w:t>CDR supplier/project registry</w:t>
              <w:br/>
              <w:t>method/risk taxonomy</w:t>
              <w:br/>
              <w:t>portfolio construction</w:t>
              <w:br/>
              <w:t>delivery and offtake tracker</w:t>
              <w:br/>
              <w:t>MRV/permanence evidence workflow</w:t>
              <w:br/>
              <w:t>claim/retirement pack</w:t>
              <w:br/>
              <w:t>market analytics</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supplier/project profiles</w:t>
              <w:br/>
              <w:t>CDR method</w:t>
              <w:br/>
              <w:t>tonnes contracted/delivered/retired</w:t>
              <w:br/>
              <w:t>permanence data</w:t>
              <w:br/>
              <w:t>MRV evidence</w:t>
              <w:br/>
              <w:t>prices</w:t>
              <w:br/>
              <w:t>delivery schedules</w:t>
              <w:br/>
              <w:t>risk flags</w:t>
              <w:br/>
              <w:t>claims</w:t>
            </w:r>
          </w:p>
        </w:tc>
      </w:tr>
      <w:tr>
        <w:tc>
          <w:tcPr>
            <w:tcW w:type="dxa" w:w="3384"/>
            <w:vAlign w:val="top"/>
          </w:tcPr>
          <w:p>
            <w:r>
              <w:rPr>
                <w:sz w:val="16"/>
              </w:rPr>
              <w:t>External/product integrations</w:t>
            </w:r>
          </w:p>
        </w:tc>
        <w:tc>
          <w:tcPr>
            <w:tcW w:type="dxa" w:w="8496"/>
            <w:vAlign w:val="top"/>
          </w:tcPr>
          <w:p>
            <w:r>
              <w:rPr>
                <w:sz w:val="16"/>
              </w:rPr>
              <w:t>Carbon Markets Hub; MRV Studio; Proof Hub; Evidence Vault; FinanceOS; external registries/marketplaces where available</w:t>
            </w:r>
          </w:p>
        </w:tc>
      </w:tr>
      <w:tr>
        <w:tc>
          <w:tcPr>
            <w:tcW w:type="dxa" w:w="3384"/>
            <w:vAlign w:val="top"/>
          </w:tcPr>
          <w:p>
            <w:r>
              <w:rPr>
                <w:sz w:val="16"/>
              </w:rPr>
              <w:t>GreenLang dependencies</w:t>
            </w:r>
          </w:p>
        </w:tc>
        <w:tc>
          <w:tcPr>
            <w:tcW w:type="dxa" w:w="8496"/>
            <w:vAlign w:val="top"/>
          </w:tcPr>
          <w:p>
            <w:r>
              <w:rPr>
                <w:sz w:val="16"/>
              </w:rPr>
              <w:t>MRV Studio; Proof Hub; Carbon Markets Hub; buyer demand; legal review for transaction support</w:t>
            </w:r>
          </w:p>
        </w:tc>
      </w:tr>
      <w:tr>
        <w:tc>
          <w:tcPr>
            <w:tcW w:type="dxa" w:w="3384"/>
            <w:vAlign w:val="top"/>
          </w:tcPr>
          <w:p>
            <w:r>
              <w:rPr>
                <w:sz w:val="16"/>
              </w:rPr>
              <w:t>Customer outputs and deliverables</w:t>
            </w:r>
          </w:p>
        </w:tc>
        <w:tc>
          <w:tcPr>
            <w:tcW w:type="dxa" w:w="8496"/>
            <w:vAlign w:val="top"/>
          </w:tcPr>
          <w:p>
            <w:r>
              <w:rPr>
                <w:sz w:val="16"/>
              </w:rPr>
              <w:t>CDR portfolio dashboard</w:t>
              <w:br/>
              <w:t>supplier diligence report</w:t>
              <w:br/>
              <w:t>delivery tracker</w:t>
              <w:br/>
              <w:t>retirement/claim pack</w:t>
              <w:br/>
              <w:t>portfolio risk report</w:t>
              <w:br/>
              <w:t>market insight memo</w:t>
            </w:r>
          </w:p>
        </w:tc>
      </w:tr>
    </w:tbl>
    <w:p>
      <w:pPr>
        <w:pStyle w:val="Heading3"/>
      </w:pPr>
      <w:r>
        <w:t>AI and automation behavior</w:t>
      </w:r>
    </w:p>
    <w:p>
      <w:pPr>
        <w:pStyle w:val="ListBullet"/>
        <w:spacing w:after="20"/>
      </w:pPr>
      <w:r>
        <w:t>portfolio risk summarizer</w:t>
      </w:r>
    </w:p>
    <w:p>
      <w:pPr>
        <w:pStyle w:val="ListBullet"/>
        <w:spacing w:after="20"/>
      </w:pPr>
      <w:r>
        <w:t>supplier diligence assistant</w:t>
      </w:r>
    </w:p>
    <w:p>
      <w:pPr>
        <w:pStyle w:val="ListBullet"/>
        <w:spacing w:after="20"/>
      </w:pPr>
      <w:r>
        <w:t>claim review assistant</w:t>
      </w:r>
    </w:p>
    <w:p>
      <w:pPr>
        <w:pStyle w:val="ListBullet"/>
        <w:spacing w:after="20"/>
      </w:pPr>
      <w:r>
        <w:t>delivery anomaly detection</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FY31 Q1</w:t>
            </w:r>
          </w:p>
        </w:tc>
        <w:tc>
          <w:tcPr>
            <w:tcW w:type="dxa" w:w="7776"/>
            <w:vAlign w:val="top"/>
          </w:tcPr>
          <w:p>
            <w:r>
              <w:rPr>
                <w:sz w:val="16"/>
              </w:rPr>
              <w:t>DAC + biochar offtake management; 2 design-partner buyers.</w:t>
            </w:r>
          </w:p>
        </w:tc>
      </w:tr>
      <w:tr>
        <w:tc>
          <w:tcPr>
            <w:tcW w:type="dxa" w:w="1872"/>
            <w:vAlign w:val="top"/>
          </w:tcPr>
          <w:p>
            <w:r>
              <w:rPr>
                <w:sz w:val="16"/>
              </w:rPr>
              <w:t>v0.5 Closed Beta</w:t>
            </w:r>
          </w:p>
        </w:tc>
        <w:tc>
          <w:tcPr>
            <w:tcW w:type="dxa" w:w="2304"/>
            <w:vAlign w:val="top"/>
          </w:tcPr>
          <w:p>
            <w:r>
              <w:rPr>
                <w:sz w:val="16"/>
              </w:rPr>
              <w:t>FY31 Q2</w:t>
            </w:r>
          </w:p>
        </w:tc>
        <w:tc>
          <w:tcPr>
            <w:tcW w:type="dxa" w:w="7776"/>
            <w:vAlign w:val="top"/>
          </w:tcPr>
          <w:p>
            <w:r>
              <w:rPr>
                <w:sz w:val="16"/>
              </w:rPr>
              <w:t>Enhanced weathering + ocean + bio-oil; portfolio construction.</w:t>
            </w:r>
          </w:p>
        </w:tc>
      </w:tr>
      <w:tr>
        <w:tc>
          <w:tcPr>
            <w:tcW w:type="dxa" w:w="1872"/>
            <w:vAlign w:val="top"/>
          </w:tcPr>
          <w:p>
            <w:r>
              <w:rPr>
                <w:sz w:val="16"/>
              </w:rPr>
              <w:t>v0.9 Public Beta</w:t>
            </w:r>
          </w:p>
        </w:tc>
        <w:tc>
          <w:tcPr>
            <w:tcW w:type="dxa" w:w="2304"/>
            <w:vAlign w:val="top"/>
          </w:tcPr>
          <w:p>
            <w:r>
              <w:rPr>
                <w:sz w:val="16"/>
              </w:rPr>
              <w:t>FY31 Q3</w:t>
            </w:r>
          </w:p>
        </w:tc>
        <w:tc>
          <w:tcPr>
            <w:tcW w:type="dxa" w:w="7776"/>
            <w:vAlign w:val="top"/>
          </w:tcPr>
          <w:p>
            <w:r>
              <w:rPr>
                <w:sz w:val="16"/>
              </w:rPr>
              <w:t>Delivery tracking; insurance integration.</w:t>
            </w:r>
          </w:p>
        </w:tc>
      </w:tr>
      <w:tr>
        <w:tc>
          <w:tcPr>
            <w:tcW w:type="dxa" w:w="1872"/>
            <w:vAlign w:val="top"/>
          </w:tcPr>
          <w:p>
            <w:r>
              <w:rPr>
                <w:sz w:val="16"/>
              </w:rPr>
              <w:t>v1.0 GA</w:t>
            </w:r>
          </w:p>
        </w:tc>
        <w:tc>
          <w:tcPr>
            <w:tcW w:type="dxa" w:w="2304"/>
            <w:vAlign w:val="top"/>
          </w:tcPr>
          <w:p>
            <w:r>
              <w:rPr>
                <w:sz w:val="16"/>
              </w:rPr>
              <w:t>FY31 Q4</w:t>
            </w:r>
          </w:p>
        </w:tc>
        <w:tc>
          <w:tcPr>
            <w:tcW w:type="dxa" w:w="7776"/>
            <w:vAlign w:val="top"/>
          </w:tcPr>
          <w:p>
            <w:r>
              <w:rPr>
                <w:sz w:val="16"/>
              </w:rPr>
              <w:t>Take-rate live; first verified delivery cycle.</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launch before CDR buyer demand and MRV/proof stack mature</w:t>
      </w:r>
    </w:p>
    <w:p>
      <w:pPr>
        <w:pStyle w:val="ListBullet"/>
        <w:spacing w:after="20"/>
      </w:pPr>
      <w:r>
        <w:t>Start with portfolio management, not exchange operations</w:t>
      </w:r>
    </w:p>
    <w:p>
      <w:pPr>
        <w:pStyle w:val="ListBullet"/>
        <w:spacing w:after="20"/>
      </w:pPr>
      <w:r>
        <w:t>Claims must be evidence-backed and conservative</w:t>
      </w:r>
    </w:p>
    <w:p>
      <w:pPr>
        <w:pStyle w:val="ListBullet"/>
        <w:spacing w:after="20"/>
      </w:pPr>
      <w:r>
        <w:t>Legal review for any transaction monetization</w:t>
      </w:r>
    </w:p>
    <w:p>
      <w:pPr>
        <w:pStyle w:val="Heading3"/>
      </w:pPr>
      <w:r>
        <w:t>Key risks to actively manage</w:t>
      </w:r>
    </w:p>
    <w:p>
      <w:pPr>
        <w:pStyle w:val="ListBullet"/>
        <w:spacing w:after="20"/>
      </w:pPr>
      <w:r>
        <w:t>CDR market immaturity</w:t>
      </w:r>
    </w:p>
    <w:p>
      <w:pPr>
        <w:pStyle w:val="ListBullet"/>
        <w:spacing w:after="20"/>
      </w:pPr>
      <w:r>
        <w:t>delivery failure risk</w:t>
      </w:r>
    </w:p>
    <w:p>
      <w:pPr>
        <w:pStyle w:val="ListBullet"/>
        <w:spacing w:after="20"/>
      </w:pPr>
      <w:r>
        <w:t>permanence/quality disputes</w:t>
      </w:r>
    </w:p>
    <w:p>
      <w:pPr>
        <w:pStyle w:val="ListBullet"/>
        <w:spacing w:after="20"/>
      </w:pPr>
      <w:r>
        <w:t>legal exposure around claims</w:t>
      </w:r>
    </w:p>
    <w:p>
      <w:pPr>
        <w:pStyle w:val="Heading3"/>
      </w:pPr>
      <w:r>
        <w:t>Success metrics</w:t>
      </w:r>
    </w:p>
    <w:p>
      <w:pPr>
        <w:pStyle w:val="ListBullet"/>
        <w:spacing w:after="20"/>
      </w:pPr>
      <w:r>
        <w:t>tonnes under management</w:t>
      </w:r>
    </w:p>
    <w:p>
      <w:pPr>
        <w:pStyle w:val="ListBullet"/>
        <w:spacing w:after="20"/>
      </w:pPr>
      <w:r>
        <w:t>delivery tracking completeness</w:t>
      </w:r>
    </w:p>
    <w:p>
      <w:pPr>
        <w:pStyle w:val="ListBullet"/>
        <w:spacing w:after="20"/>
      </w:pPr>
      <w:r>
        <w:t>buyer retention</w:t>
      </w:r>
    </w:p>
    <w:p>
      <w:pPr>
        <w:pStyle w:val="ListBullet"/>
        <w:spacing w:after="20"/>
      </w:pPr>
      <w:r>
        <w:t>diligence reports issued</w:t>
      </w:r>
    </w:p>
    <w:p>
      <w:pPr>
        <w:pStyle w:val="ListBullet"/>
        <w:spacing w:after="20"/>
      </w:pPr>
      <w:r>
        <w:t>claim issues detected/prevented</w:t>
      </w:r>
    </w:p>
    <w:p>
      <w:pPr>
        <w:pStyle w:val="ListBullet"/>
        <w:spacing w:after="20"/>
      </w:pPr>
      <w:r>
        <w:t>Circularity</w:t>
      </w:r>
    </w:p>
    <w:p>
      <w:pPr>
        <w:pStyle w:val="Heading3"/>
      </w:pPr>
      <w:r>
        <w:t>Dependency notes</w:t>
      </w:r>
    </w:p>
    <w:p>
      <w:pPr>
        <w:pStyle w:val="ListBullet"/>
        <w:spacing w:after="20"/>
      </w:pPr>
      <w:r>
        <w:t>Upstream: MRV Studio, Carbon Markets Hub, Factors.</w:t>
      </w:r>
    </w:p>
    <w:p>
      <w:pPr>
        <w:pStyle w:val="ListBullet"/>
        <w:spacing w:after="20"/>
      </w:pPr>
      <w:r>
        <w:t>Downstream: Comply, FinanceOS.</w:t>
      </w:r>
    </w:p>
    <w:p>
      <w:pPr>
        <w:pStyle w:val="ListBullet"/>
        <w:spacing w:after="20"/>
      </w:pPr>
      <w:r>
        <w:t>11. Circularity</w:t>
      </w:r>
    </w:p>
    <w:p>
      <w:pPr>
        <w:pStyle w:val="ListBullet"/>
        <w:spacing w:after="20"/>
      </w:pPr>
      <w:r>
        <w:t>This chapter covers 1 product in the Circularity. Each product is specified at PRD-lite depth: definition, buyer, core capabilities, data/integrations, revenue model, full version roadmap, success KPIs, and upstream/downstream dependencies.</w:t>
      </w:r>
    </w:p>
    <w:p>
      <w:r>
        <w:br w:type="page"/>
      </w:r>
    </w:p>
    <w:p>
      <w:pPr>
        <w:pStyle w:val="Heading1"/>
      </w:pPr>
      <w:r>
        <w:t>Circularity</w:t>
      </w:r>
    </w:p>
    <w:p>
      <w:pPr>
        <w:spacing w:after="80"/>
      </w:pPr>
      <w:r>
        <w:t>Launch late and tie tightly to DPP, PCF, SupplierOS, and evidence data. Treat circularity as a product-lifecycle extension, not a new disconnected category.</w:t>
      </w:r>
    </w:p>
    <w:p>
      <w:r>
        <w:br w:type="page"/>
      </w:r>
    </w:p>
    <w:p>
      <w:pPr>
        <w:pStyle w:val="Heading2"/>
      </w:pPr>
      <w:r>
        <w:t>36. GreenLang Circularity Hub</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vAlign w:val="top"/>
            <w:shd w:fill="EAF2F8"/>
          </w:tcPr>
          <w:p>
            <w:r>
              <w:rPr>
                <w:b/>
                <w:color w:val="1F4E79"/>
                <w:sz w:val="16"/>
              </w:rPr>
              <w:t>Launch FY</w:t>
            </w:r>
          </w:p>
        </w:tc>
        <w:tc>
          <w:tcPr>
            <w:tcW w:type="dxa" w:w="8352"/>
            <w:vAlign w:val="top"/>
          </w:tcPr>
          <w:p>
            <w:r>
              <w:rPr>
                <w:sz w:val="16"/>
              </w:rPr>
              <w:t>FY31</w:t>
            </w:r>
          </w:p>
        </w:tc>
      </w:tr>
      <w:tr>
        <w:tc>
          <w:tcPr>
            <w:tcW w:type="dxa" w:w="2448"/>
            <w:vAlign w:val="top"/>
            <w:shd w:fill="EAF2F8"/>
          </w:tcPr>
          <w:p>
            <w:r>
              <w:rPr>
                <w:b/>
                <w:color w:val="1F4E79"/>
                <w:sz w:val="16"/>
              </w:rPr>
              <w:t>Recommended v1.0 GA</w:t>
            </w:r>
          </w:p>
        </w:tc>
        <w:tc>
          <w:tcPr>
            <w:tcW w:type="dxa" w:w="8352"/>
            <w:vAlign w:val="top"/>
          </w:tcPr>
          <w:p>
            <w:r>
              <w:rPr>
                <w:sz w:val="16"/>
              </w:rPr>
              <w:t>FY31 Q4</w:t>
            </w:r>
          </w:p>
        </w:tc>
      </w:tr>
      <w:tr>
        <w:tc>
          <w:tcPr>
            <w:tcW w:type="dxa" w:w="2448"/>
            <w:vAlign w:val="top"/>
            <w:shd w:fill="EAF2F8"/>
          </w:tcPr>
          <w:p>
            <w:r>
              <w:rPr>
                <w:b/>
                <w:color w:val="1F4E79"/>
                <w:sz w:val="16"/>
              </w:rPr>
              <w:t>Cloud / squad</w:t>
            </w:r>
          </w:p>
        </w:tc>
        <w:tc>
          <w:tcPr>
            <w:tcW w:type="dxa" w:w="8352"/>
            <w:vAlign w:val="top"/>
          </w:tcPr>
          <w:p>
            <w:r>
              <w:rPr>
                <w:sz w:val="16"/>
              </w:rPr>
              <w:t>Circularity / Circularity &amp; Product Lifecycle Pod</w:t>
            </w:r>
          </w:p>
        </w:tc>
      </w:tr>
      <w:tr>
        <w:tc>
          <w:tcPr>
            <w:tcW w:type="dxa" w:w="2448"/>
            <w:vAlign w:val="top"/>
            <w:shd w:fill="EAF2F8"/>
          </w:tcPr>
          <w:p>
            <w:r>
              <w:rPr>
                <w:b/>
                <w:color w:val="1F4E79"/>
                <w:sz w:val="16"/>
              </w:rPr>
              <w:t>Primary buyer</w:t>
            </w:r>
          </w:p>
        </w:tc>
        <w:tc>
          <w:tcPr>
            <w:tcW w:type="dxa" w:w="8352"/>
            <w:vAlign w:val="top"/>
          </w:tcPr>
          <w:p>
            <w:r>
              <w:rPr>
                <w:sz w:val="16"/>
              </w:rPr>
              <w:t>Packaging, materials, consumer goods, waste, product firms</w:t>
            </w:r>
          </w:p>
        </w:tc>
      </w:tr>
      <w:tr>
        <w:tc>
          <w:tcPr>
            <w:tcW w:type="dxa" w:w="2448"/>
            <w:vAlign w:val="top"/>
            <w:shd w:fill="EAF2F8"/>
          </w:tcPr>
          <w:p>
            <w:r>
              <w:rPr>
                <w:b/>
                <w:color w:val="1F4E79"/>
                <w:sz w:val="16"/>
              </w:rPr>
              <w:t>Revenue model</w:t>
            </w:r>
          </w:p>
        </w:tc>
        <w:tc>
          <w:tcPr>
            <w:tcW w:type="dxa" w:w="8352"/>
            <w:vAlign w:val="top"/>
          </w:tcPr>
          <w:p>
            <w:r>
              <w:rPr>
                <w:sz w:val="16"/>
              </w:rPr>
              <w:t>Platform subscription</w:t>
            </w:r>
          </w:p>
        </w:tc>
      </w:tr>
      <w:tr>
        <w:tc>
          <w:tcPr>
            <w:tcW w:type="dxa" w:w="2448"/>
            <w:vAlign w:val="top"/>
            <w:shd w:fill="EAF2F8"/>
          </w:tcPr>
          <w:p>
            <w:r>
              <w:rPr>
                <w:b/>
                <w:color w:val="1F4E79"/>
                <w:sz w:val="16"/>
              </w:rPr>
              <w:t>Definition</w:t>
            </w:r>
          </w:p>
        </w:tc>
        <w:tc>
          <w:tcPr>
            <w:tcW w:type="dxa" w:w="8352"/>
            <w:vAlign w:val="top"/>
          </w:tcPr>
          <w:p>
            <w:r>
              <w:rPr>
                <w:sz w:val="16"/>
              </w:rPr>
              <w:t>A circularity and materials workflow for tracking material flows, recycled content, waste, reuse/repair/recycling data, product passports, circularity metrics, supplier evidence, and circular design/project actions.</w:t>
            </w:r>
          </w:p>
        </w:tc>
      </w:tr>
      <w:tr>
        <w:tc>
          <w:tcPr>
            <w:tcW w:type="dxa" w:w="2448"/>
            <w:vAlign w:val="top"/>
            <w:shd w:fill="EAF2F8"/>
          </w:tcPr>
          <w:p>
            <w:r>
              <w:rPr>
                <w:b/>
                <w:color w:val="1F4E79"/>
                <w:sz w:val="16"/>
              </w:rPr>
              <w:t>Strategic role</w:t>
            </w:r>
          </w:p>
        </w:tc>
        <w:tc>
          <w:tcPr>
            <w:tcW w:type="dxa" w:w="8352"/>
            <w:vAlign w:val="top"/>
          </w:tcPr>
          <w:p>
            <w:r>
              <w:rPr>
                <w:sz w:val="16"/>
              </w:rPr>
              <w:t>Circularity Hub should be sequenced late because it benefits from DPP, PCF, supplier, product, waste, and city data. It expands GreenLang into materials and waste/circularity without fragmenting the early roadmap.</w:t>
            </w:r>
          </w:p>
        </w:tc>
      </w:tr>
      <w:tr>
        <w:tc>
          <w:tcPr>
            <w:tcW w:type="dxa" w:w="2448"/>
            <w:vAlign w:val="top"/>
            <w:shd w:fill="EAF2F8"/>
          </w:tcPr>
          <w:p>
            <w:r>
              <w:rPr>
                <w:b/>
                <w:color w:val="1F4E79"/>
                <w:sz w:val="16"/>
              </w:rPr>
              <w:t>Pricing / packaging logic</w:t>
            </w:r>
          </w:p>
        </w:tc>
        <w:tc>
          <w:tcPr>
            <w:tcW w:type="dxa" w:w="8352"/>
            <w:vAlign w:val="top"/>
          </w:tcPr>
          <w:p>
            <w:r>
              <w:rPr>
                <w:sz w:val="16"/>
              </w:rPr>
              <w:t>Platform module subscription by product/material portfolio size; premium supplier evidence and DPP API add-ons.</w:t>
            </w:r>
          </w:p>
        </w:tc>
      </w:tr>
    </w:tbl>
    <w:p>
      <w:pPr>
        <w:pStyle w:val="Heading3"/>
      </w:pPr>
      <w:r>
        <w:t>CTO final pathway</w:t>
      </w:r>
    </w:p>
    <w:p>
      <w:pPr>
        <w:spacing w:after="80"/>
      </w:pPr>
      <w:r>
        <w:t>Build GreenLang Circularity Hub as a modular product on the shared substrate. The release target is FY31; GA is gated for FY31 Q4. Do not launch before DPP/PCF/SupplierOS are stable Start with packaging/materials categories tied to customers</w:t>
      </w:r>
    </w:p>
    <w:p>
      <w:pPr>
        <w:pStyle w:val="Heading3"/>
      </w:pPr>
      <w:r>
        <w:t>Why it exists</w:t>
      </w:r>
    </w:p>
    <w:p>
      <w:pPr>
        <w:spacing w:after="80"/>
      </w:pPr>
      <w:r>
        <w:t>Circularity regulation is arriving fast (ESPR, EU Packaging &amp; Packaging Waste Regulation, EPR schemes worldwide). Brands need take-back rates, recycled content, durability, and repairability tracking. Today this is in spreadsheets and fragmented supplier systems.</w:t>
      </w:r>
    </w:p>
    <w:p>
      <w:pPr>
        <w:pStyle w:val="Heading3"/>
      </w:pPr>
      <w:r>
        <w:t>Users and jobs to be done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tcPr>
          <w:p>
            <w:r>
              <w:rPr>
                <w:sz w:val="16"/>
              </w:rPr>
              <w:t>Core users / buyer personas</w:t>
            </w:r>
          </w:p>
        </w:tc>
        <w:tc>
          <w:tcPr>
            <w:tcW w:type="dxa" w:w="8640"/>
            <w:vAlign w:val="top"/>
          </w:tcPr>
          <w:p>
            <w:r>
              <w:rPr>
                <w:sz w:val="16"/>
              </w:rPr>
              <w:t>packaging teams</w:t>
              <w:br/>
              <w:t>materials teams</w:t>
              <w:br/>
              <w:t>product sustainability teams</w:t>
              <w:br/>
              <w:t>waste/circularity managers</w:t>
              <w:br/>
              <w:t>consumer goods companies</w:t>
              <w:br/>
              <w:t>cities/public-sector teams</w:t>
            </w:r>
          </w:p>
        </w:tc>
      </w:tr>
      <w:tr>
        <w:tc>
          <w:tcPr>
            <w:tcW w:type="dxa" w:w="3024"/>
            <w:vAlign w:val="top"/>
          </w:tcPr>
          <w:p>
            <w:r>
              <w:rPr>
                <w:sz w:val="16"/>
              </w:rPr>
              <w:t>Jobs to be done</w:t>
            </w:r>
          </w:p>
        </w:tc>
        <w:tc>
          <w:tcPr>
            <w:tcW w:type="dxa" w:w="8640"/>
            <w:vAlign w:val="top"/>
          </w:tcPr>
          <w:p>
            <w:r>
              <w:rPr>
                <w:sz w:val="16"/>
              </w:rPr>
              <w:t>Track material flows and recycled content</w:t>
              <w:br/>
              <w:t>Manage product circularity data and evidence</w:t>
              <w:br/>
              <w:t>Connect circularity metrics to DPP and PCF</w:t>
              <w:br/>
              <w:t>Plan circular design and waste-reduction projects</w:t>
              <w:br/>
              <w:t>Support supplier and customer circularity reporting</w:t>
            </w:r>
          </w:p>
        </w:tc>
      </w:tr>
    </w:tbl>
    <w:p>
      <w:pPr>
        <w:pStyle w:val="Heading3"/>
      </w:pPr>
      <w:r>
        <w:t>Functional scope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456"/>
            <w:vAlign w:val="top"/>
          </w:tcPr>
          <w:p>
            <w:r>
              <w:rPr>
                <w:sz w:val="16"/>
              </w:rPr>
              <w:t>Core capabilities from final product spec</w:t>
            </w:r>
          </w:p>
        </w:tc>
        <w:tc>
          <w:tcPr>
            <w:tcW w:type="dxa" w:w="8352"/>
            <w:vAlign w:val="top"/>
          </w:tcPr>
          <w:p>
            <w:r>
              <w:rPr>
                <w:sz w:val="16"/>
              </w:rPr>
              <w:t>Material-flow modeling per product and per portfolio.</w:t>
              <w:br/>
              <w:t>Recycled-content tracking with mass-balance and chain-of-custody.</w:t>
              <w:br/>
              <w:t>Take-back rate measurement.</w:t>
              <w:br/>
              <w:t>Repair/reuse/remanufacture loop tracking.</w:t>
              <w:br/>
              <w:t>Integration with DPP Hub for product-level circular attributes.</w:t>
              <w:br/>
              <w:t>EPR reporting across jurisdictions.</w:t>
              <w:br/>
              <w:t>Circularity Performance Indicators aligned to CEIP, ISO 59020.</w:t>
            </w:r>
          </w:p>
        </w:tc>
      </w:tr>
      <w:tr>
        <w:tc>
          <w:tcPr>
            <w:tcW w:type="dxa" w:w="3456"/>
            <w:vAlign w:val="top"/>
          </w:tcPr>
          <w:p>
            <w:r>
              <w:rPr>
                <w:sz w:val="16"/>
              </w:rPr>
              <w:t>In-scope product modules</w:t>
            </w:r>
          </w:p>
        </w:tc>
        <w:tc>
          <w:tcPr>
            <w:tcW w:type="dxa" w:w="8352"/>
            <w:vAlign w:val="top"/>
          </w:tcPr>
          <w:p>
            <w:r>
              <w:rPr>
                <w:sz w:val="16"/>
              </w:rPr>
              <w:t>material flow registry</w:t>
              <w:br/>
              <w:t>recycled-content tracker</w:t>
              <w:br/>
              <w:t>waste/reuse/recycling workflow</w:t>
              <w:br/>
              <w:t>DPP circularity attributes</w:t>
              <w:br/>
              <w:t>supplier evidence collection</w:t>
              <w:br/>
              <w:t>circularity project tracker</w:t>
              <w:br/>
              <w:t>metrics dashboard</w:t>
            </w:r>
          </w:p>
        </w:tc>
      </w:tr>
    </w:tbl>
    <w:p>
      <w:pPr>
        <w:pStyle w:val="Heading3"/>
      </w:pPr>
      <w:r>
        <w:t>Data, integrations, outputs, and evidence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384"/>
            <w:vAlign w:val="top"/>
          </w:tcPr>
          <w:p>
            <w:r>
              <w:rPr>
                <w:sz w:val="16"/>
              </w:rPr>
              <w:t>Canonical data objects and evidence</w:t>
            </w:r>
          </w:p>
        </w:tc>
        <w:tc>
          <w:tcPr>
            <w:tcW w:type="dxa" w:w="8496"/>
            <w:vAlign w:val="top"/>
          </w:tcPr>
          <w:p>
            <w:r>
              <w:rPr>
                <w:sz w:val="16"/>
              </w:rPr>
              <w:t>material types</w:t>
              <w:br/>
              <w:t>volumes</w:t>
              <w:br/>
              <w:t>recycled content</w:t>
              <w:br/>
              <w:t>waste streams</w:t>
              <w:br/>
              <w:t>recycling/reuse data</w:t>
              <w:br/>
              <w:t>product attributes</w:t>
              <w:br/>
              <w:t>supplier evidence</w:t>
              <w:br/>
              <w:t>certificates</w:t>
              <w:br/>
              <w:t>project data</w:t>
              <w:br/>
              <w:t>costs</w:t>
            </w:r>
          </w:p>
        </w:tc>
      </w:tr>
      <w:tr>
        <w:tc>
          <w:tcPr>
            <w:tcW w:type="dxa" w:w="3384"/>
            <w:vAlign w:val="top"/>
          </w:tcPr>
          <w:p>
            <w:r>
              <w:rPr>
                <w:sz w:val="16"/>
              </w:rPr>
              <w:t>External/product integrations</w:t>
            </w:r>
          </w:p>
        </w:tc>
        <w:tc>
          <w:tcPr>
            <w:tcW w:type="dxa" w:w="8496"/>
            <w:vAlign w:val="top"/>
          </w:tcPr>
          <w:p>
            <w:r>
              <w:rPr>
                <w:sz w:val="16"/>
              </w:rPr>
              <w:t>DPP Hub; PCF Studio; SupplierOS; CityOS; Evidence Vault; Scope Engine; ERP/PLM/waste management systems</w:t>
            </w:r>
          </w:p>
        </w:tc>
      </w:tr>
      <w:tr>
        <w:tc>
          <w:tcPr>
            <w:tcW w:type="dxa" w:w="3384"/>
            <w:vAlign w:val="top"/>
          </w:tcPr>
          <w:p>
            <w:r>
              <w:rPr>
                <w:sz w:val="16"/>
              </w:rPr>
              <w:t>GreenLang dependencies</w:t>
            </w:r>
          </w:p>
        </w:tc>
        <w:tc>
          <w:tcPr>
            <w:tcW w:type="dxa" w:w="8496"/>
            <w:vAlign w:val="top"/>
          </w:tcPr>
          <w:p>
            <w:r>
              <w:rPr>
                <w:sz w:val="16"/>
              </w:rPr>
              <w:t>DPP Hub; PCF Studio; SupplierOS; Evidence Vault; Entity Graph</w:t>
            </w:r>
          </w:p>
        </w:tc>
      </w:tr>
      <w:tr>
        <w:tc>
          <w:tcPr>
            <w:tcW w:type="dxa" w:w="3384"/>
            <w:vAlign w:val="top"/>
          </w:tcPr>
          <w:p>
            <w:r>
              <w:rPr>
                <w:sz w:val="16"/>
              </w:rPr>
              <w:t>Customer outputs and deliverables</w:t>
            </w:r>
          </w:p>
        </w:tc>
        <w:tc>
          <w:tcPr>
            <w:tcW w:type="dxa" w:w="8496"/>
            <w:vAlign w:val="top"/>
          </w:tcPr>
          <w:p>
            <w:r>
              <w:rPr>
                <w:sz w:val="16"/>
              </w:rPr>
              <w:t>circularity dashboard</w:t>
              <w:br/>
              <w:t>material flow report</w:t>
              <w:br/>
              <w:t>recycled-content evidence pack</w:t>
              <w:br/>
              <w:t>DPP circularity record</w:t>
              <w:br/>
              <w:t>project pipeline</w:t>
              <w:br/>
              <w:t>supplier circularity scorecard</w:t>
            </w:r>
          </w:p>
        </w:tc>
      </w:tr>
    </w:tbl>
    <w:p>
      <w:pPr>
        <w:pStyle w:val="Heading3"/>
      </w:pPr>
      <w:r>
        <w:t>AI and automation behavior</w:t>
      </w:r>
    </w:p>
    <w:p>
      <w:pPr>
        <w:pStyle w:val="ListBullet"/>
        <w:spacing w:after="20"/>
      </w:pPr>
      <w:r>
        <w:t>material classification assistant</w:t>
      </w:r>
    </w:p>
    <w:p>
      <w:pPr>
        <w:pStyle w:val="ListBullet"/>
        <w:spacing w:after="20"/>
      </w:pPr>
      <w:r>
        <w:t>circularity improvement recommendation</w:t>
      </w:r>
    </w:p>
    <w:p>
      <w:pPr>
        <w:pStyle w:val="ListBullet"/>
        <w:spacing w:after="20"/>
      </w:pPr>
      <w:r>
        <w:t>evidence gap detection</w:t>
      </w:r>
    </w:p>
    <w:p>
      <w:pPr>
        <w:pStyle w:val="ListBullet"/>
        <w:spacing w:after="20"/>
      </w:pPr>
      <w:r>
        <w:t>supplier request drafting</w:t>
      </w:r>
    </w:p>
    <w:p>
      <w:pPr>
        <w:pStyle w:val="Heading3"/>
      </w:pPr>
      <w:r>
        <w:t>Final version roadmap</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3456"/>
        <w:gridCol w:w="3456"/>
      </w:tblGrid>
      <w:tr>
        <w:tc>
          <w:tcPr>
            <w:tcW w:type="dxa" w:w="1872"/>
            <w:vAlign w:val="top"/>
            <w:shd w:fill="1F4E79"/>
          </w:tcPr>
          <w:p>
            <w:r>
              <w:rPr>
                <w:b/>
                <w:color w:val="FFFFFF"/>
                <w:sz w:val="16"/>
              </w:rPr>
              <w:t>Version</w:t>
            </w:r>
          </w:p>
        </w:tc>
        <w:tc>
          <w:tcPr>
            <w:tcW w:type="dxa" w:w="2304"/>
            <w:vAlign w:val="top"/>
            <w:shd w:fill="1F4E79"/>
          </w:tcPr>
          <w:p>
            <w:r>
              <w:rPr>
                <w:b/>
                <w:color w:val="FFFFFF"/>
                <w:sz w:val="16"/>
              </w:rPr>
              <w:t>Release</w:t>
            </w:r>
          </w:p>
        </w:tc>
        <w:tc>
          <w:tcPr>
            <w:tcW w:type="dxa" w:w="7776"/>
            <w:vAlign w:val="top"/>
            <w:shd w:fill="1F4E79"/>
          </w:tcPr>
          <w:p>
            <w:r>
              <w:rPr>
                <w:b/>
                <w:color w:val="FFFFFF"/>
                <w:sz w:val="16"/>
              </w:rPr>
              <w:t>Scope</w:t>
            </w:r>
          </w:p>
        </w:tc>
      </w:tr>
      <w:tr>
        <w:tc>
          <w:tcPr>
            <w:tcW w:type="dxa" w:w="1872"/>
            <w:vAlign w:val="top"/>
          </w:tcPr>
          <w:p>
            <w:r>
              <w:rPr>
                <w:sz w:val="16"/>
              </w:rPr>
              <w:t>v0.1 Alpha</w:t>
            </w:r>
          </w:p>
        </w:tc>
        <w:tc>
          <w:tcPr>
            <w:tcW w:type="dxa" w:w="2304"/>
            <w:vAlign w:val="top"/>
          </w:tcPr>
          <w:p>
            <w:r>
              <w:rPr>
                <w:sz w:val="16"/>
              </w:rPr>
              <w:t>FY31 Q1</w:t>
            </w:r>
          </w:p>
        </w:tc>
        <w:tc>
          <w:tcPr>
            <w:tcW w:type="dxa" w:w="7776"/>
            <w:vAlign w:val="top"/>
          </w:tcPr>
          <w:p>
            <w:r>
              <w:rPr>
                <w:sz w:val="16"/>
              </w:rPr>
              <w:t>Packaging + electronics templates; 2 design partners.</w:t>
            </w:r>
          </w:p>
        </w:tc>
      </w:tr>
      <w:tr>
        <w:tc>
          <w:tcPr>
            <w:tcW w:type="dxa" w:w="1872"/>
            <w:vAlign w:val="top"/>
          </w:tcPr>
          <w:p>
            <w:r>
              <w:rPr>
                <w:sz w:val="16"/>
              </w:rPr>
              <w:t>v0.5 Closed Beta</w:t>
            </w:r>
          </w:p>
        </w:tc>
        <w:tc>
          <w:tcPr>
            <w:tcW w:type="dxa" w:w="2304"/>
            <w:vAlign w:val="top"/>
          </w:tcPr>
          <w:p>
            <w:r>
              <w:rPr>
                <w:sz w:val="16"/>
              </w:rPr>
              <w:t>FY31 Q2</w:t>
            </w:r>
          </w:p>
        </w:tc>
        <w:tc>
          <w:tcPr>
            <w:tcW w:type="dxa" w:w="7776"/>
            <w:vAlign w:val="top"/>
          </w:tcPr>
          <w:p>
            <w:r>
              <w:rPr>
                <w:sz w:val="16"/>
              </w:rPr>
              <w:t>Apparel + furniture; recycled-content with mass-balance.</w:t>
            </w:r>
          </w:p>
        </w:tc>
      </w:tr>
      <w:tr>
        <w:tc>
          <w:tcPr>
            <w:tcW w:type="dxa" w:w="1872"/>
            <w:vAlign w:val="top"/>
          </w:tcPr>
          <w:p>
            <w:r>
              <w:rPr>
                <w:sz w:val="16"/>
              </w:rPr>
              <w:t>v0.9 Public Beta</w:t>
            </w:r>
          </w:p>
        </w:tc>
        <w:tc>
          <w:tcPr>
            <w:tcW w:type="dxa" w:w="2304"/>
            <w:vAlign w:val="top"/>
          </w:tcPr>
          <w:p>
            <w:r>
              <w:rPr>
                <w:sz w:val="16"/>
              </w:rPr>
              <w:t>FY31 Q3</w:t>
            </w:r>
          </w:p>
        </w:tc>
        <w:tc>
          <w:tcPr>
            <w:tcW w:type="dxa" w:w="7776"/>
            <w:vAlign w:val="top"/>
          </w:tcPr>
          <w:p>
            <w:r>
              <w:rPr>
                <w:sz w:val="16"/>
              </w:rPr>
              <w:t>EPR reporting (EU, India, select US states).</w:t>
            </w:r>
          </w:p>
        </w:tc>
      </w:tr>
      <w:tr>
        <w:tc>
          <w:tcPr>
            <w:tcW w:type="dxa" w:w="1872"/>
            <w:vAlign w:val="top"/>
          </w:tcPr>
          <w:p>
            <w:r>
              <w:rPr>
                <w:sz w:val="16"/>
              </w:rPr>
              <w:t>v1.0 GA</w:t>
            </w:r>
          </w:p>
        </w:tc>
        <w:tc>
          <w:tcPr>
            <w:tcW w:type="dxa" w:w="2304"/>
            <w:vAlign w:val="top"/>
          </w:tcPr>
          <w:p>
            <w:r>
              <w:rPr>
                <w:sz w:val="16"/>
              </w:rPr>
              <w:t>FY31 Q4</w:t>
            </w:r>
          </w:p>
        </w:tc>
        <w:tc>
          <w:tcPr>
            <w:tcW w:type="dxa" w:w="7776"/>
            <w:vAlign w:val="top"/>
          </w:tcPr>
          <w:p>
            <w:r>
              <w:rPr>
                <w:sz w:val="16"/>
              </w:rPr>
              <w:t>DPP Hub deep integration; ISO 59020 alignment.</w:t>
            </w:r>
          </w:p>
        </w:tc>
      </w:tr>
    </w:tbl>
    <w:p>
      <w:pPr>
        <w:spacing w:after="80"/>
      </w:pPr>
      <w:r>
        <w:t>Internal v0.3 private-alpha and v0.8 release-candidate gates apply between the external milestones above. A product may not move to GA unless the release gates below are satisfied.</w:t>
      </w:r>
    </w:p>
    <w:p>
      <w:pPr>
        <w:pStyle w:val="Heading3"/>
      </w:pPr>
      <w:r>
        <w:t>GA, delay, and risk gates</w:t>
      </w:r>
    </w:p>
    <w:p>
      <w:pPr>
        <w:pStyle w:val="ListBullet"/>
        <w:spacing w:after="20"/>
      </w:pPr>
      <w:r>
        <w:t>Do not launch before DPP/PCF/SupplierOS are stable</w:t>
      </w:r>
    </w:p>
    <w:p>
      <w:pPr>
        <w:pStyle w:val="ListBullet"/>
        <w:spacing w:after="20"/>
      </w:pPr>
      <w:r>
        <w:t>Start with packaging/materials categories tied to customers</w:t>
      </w:r>
    </w:p>
    <w:p>
      <w:pPr>
        <w:pStyle w:val="ListBullet"/>
        <w:spacing w:after="20"/>
      </w:pPr>
      <w:r>
        <w:t>Separate circularity metrics from carbon impact unless calculated</w:t>
      </w:r>
    </w:p>
    <w:p>
      <w:pPr>
        <w:pStyle w:val="ListBullet"/>
        <w:spacing w:after="20"/>
      </w:pPr>
      <w:r>
        <w:t>Evidence standards must be clear</w:t>
      </w:r>
    </w:p>
    <w:p>
      <w:pPr>
        <w:pStyle w:val="Heading3"/>
      </w:pPr>
      <w:r>
        <w:t>Key risks to actively manage</w:t>
      </w:r>
    </w:p>
    <w:p>
      <w:pPr>
        <w:pStyle w:val="ListBullet"/>
        <w:spacing w:after="20"/>
      </w:pPr>
      <w:r>
        <w:t>category-specific complexity</w:t>
      </w:r>
    </w:p>
    <w:p>
      <w:pPr>
        <w:pStyle w:val="ListBullet"/>
        <w:spacing w:after="20"/>
      </w:pPr>
      <w:r>
        <w:t>weak data from suppliers/recyclers</w:t>
      </w:r>
    </w:p>
    <w:p>
      <w:pPr>
        <w:pStyle w:val="ListBullet"/>
        <w:spacing w:after="20"/>
      </w:pPr>
      <w:r>
        <w:t>greenwashing risk</w:t>
      </w:r>
    </w:p>
    <w:p>
      <w:pPr>
        <w:pStyle w:val="ListBullet"/>
        <w:spacing w:after="20"/>
      </w:pPr>
      <w:r>
        <w:t>standards fragmentation</w:t>
      </w:r>
    </w:p>
    <w:p>
      <w:pPr>
        <w:pStyle w:val="Heading3"/>
      </w:pPr>
      <w:r>
        <w:t>Success metrics</w:t>
      </w:r>
    </w:p>
    <w:p>
      <w:pPr>
        <w:pStyle w:val="ListBullet"/>
        <w:spacing w:after="20"/>
      </w:pPr>
      <w:r>
        <w:t>material flows tracked</w:t>
      </w:r>
    </w:p>
    <w:p>
      <w:pPr>
        <w:pStyle w:val="ListBullet"/>
        <w:spacing w:after="20"/>
      </w:pPr>
      <w:r>
        <w:t>recycled-content evidence coverage</w:t>
      </w:r>
    </w:p>
    <w:p>
      <w:pPr>
        <w:pStyle w:val="ListBullet"/>
        <w:spacing w:after="20"/>
      </w:pPr>
      <w:r>
        <w:t>DPP integration rate</w:t>
      </w:r>
    </w:p>
    <w:p>
      <w:pPr>
        <w:pStyle w:val="ListBullet"/>
        <w:spacing w:after="20"/>
      </w:pPr>
      <w:r>
        <w:t>circularity projects created</w:t>
      </w:r>
    </w:p>
    <w:p>
      <w:pPr>
        <w:pStyle w:val="ListBullet"/>
        <w:spacing w:after="20"/>
      </w:pPr>
      <w:r>
        <w:t>supplier response rate</w:t>
      </w:r>
    </w:p>
    <w:p>
      <w:pPr>
        <w:pStyle w:val="ListBullet"/>
        <w:spacing w:after="20"/>
      </w:pPr>
      <w:r>
        <w:t>Roadmap operating model</w:t>
      </w:r>
    </w:p>
    <w:p>
      <w:pPr>
        <w:pStyle w:val="ListBullet"/>
        <w:spacing w:after="20"/>
      </w:pPr>
      <w:r>
        <w:t>GreenLang should run a stage-gate operating model. The product calendar is the ambition; the gates determine the actual release. This prevents execution sprawl while preserving the full Climate OS vision.</w:t>
      </w:r>
    </w:p>
    <w:p>
      <w:pPr>
        <w:pStyle w:val="ListBullet"/>
        <w:spacing w:after="20"/>
      </w:pPr>
      <w:r>
        <w:t>Product squads by horizon</w:t>
      </w:r>
    </w:p>
    <w:p>
      <w:pPr>
        <w:pStyle w:val="ListBullet"/>
        <w:spacing w:after="20"/>
      </w:pPr>
      <w:r>
        <w:t>Portfolio kill, pause, and merge criteria</w:t>
      </w:r>
    </w:p>
    <w:p>
      <w:pPr>
        <w:pStyle w:val="ListBullet"/>
        <w:spacing w:after="20"/>
      </w:pPr>
      <w:r>
        <w:t>Kill or merge a product if it cannot identify a buyer with budget and urgency after two discovery cycles.</w:t>
      </w:r>
    </w:p>
    <w:p>
      <w:pPr>
        <w:pStyle w:val="ListBullet"/>
        <w:spacing w:after="20"/>
      </w:pPr>
      <w:r>
        <w:t>Pause a product if the required substrate dependency is not stable; do not build workaround infrastructure for a single module.</w:t>
      </w:r>
    </w:p>
    <w:p>
      <w:pPr>
        <w:pStyle w:val="ListBullet"/>
        <w:spacing w:after="20"/>
      </w:pPr>
      <w:r>
        <w:t>Merge a product into another module if the workflow is primarily a feature and cannot support its own packaging, P&amp;L, or buyer motion.</w:t>
      </w:r>
    </w:p>
    <w:p>
      <w:pPr>
        <w:pStyle w:val="ListBullet"/>
        <w:spacing w:after="20"/>
      </w:pPr>
      <w:r>
        <w:t>Delay GA if onboarding requires bespoke consulting, custom data models, or non-repeatable integrations for more than 70% of customers.</w:t>
      </w:r>
    </w:p>
    <w:p>
      <w:pPr>
        <w:pStyle w:val="ListBullet"/>
        <w:spacing w:after="20"/>
      </w:pPr>
      <w:r>
        <w:t>Delay network/transaction products if legal role, trust model, and conflict-of-interest controls are unresolved.</w:t>
      </w:r>
    </w:p>
    <w:p>
      <w:pPr>
        <w:pStyle w:val="ListBullet"/>
        <w:spacing w:after="20"/>
      </w:pPr>
      <w:r>
        <w:t>Prioritize products that increase data reuse, ACV expansion, and workflow lock-in across multiple GreenLang modules.</w:t>
      </w:r>
    </w:p>
    <w:p>
      <w:pPr>
        <w:pStyle w:val="ListBullet"/>
        <w:spacing w:after="20"/>
      </w:pPr>
      <w:r>
        <w:t>Appendix A - Product bank grouped by launch year</w:t>
      </w:r>
    </w:p>
    <w:p>
      <w:pPr>
        <w:pStyle w:val="ListBullet"/>
        <w:spacing w:after="20"/>
      </w:pPr>
      <w:r>
        <w:t>FY27 (2026-27)</w:t>
      </w:r>
    </w:p>
    <w:p>
      <w:pPr>
        <w:pStyle w:val="ListBullet"/>
        <w:spacing w:after="20"/>
      </w:pPr>
      <w:r>
        <w:t>Core Platform: GreenLang Factors</w:t>
      </w:r>
    </w:p>
    <w:p>
      <w:pPr>
        <w:pStyle w:val="ListBullet"/>
        <w:spacing w:after="20"/>
      </w:pPr>
      <w:r>
        <w:t>Core Platform: GreenLang Connect</w:t>
      </w:r>
    </w:p>
    <w:p>
      <w:pPr>
        <w:pStyle w:val="ListBullet"/>
        <w:spacing w:after="20"/>
      </w:pPr>
      <w:r>
        <w:t>Core Platform: GreenLang Entity Graph</w:t>
      </w:r>
    </w:p>
    <w:p>
      <w:pPr>
        <w:pStyle w:val="ListBullet"/>
        <w:spacing w:after="20"/>
      </w:pPr>
      <w:r>
        <w:t>Core Platform: GreenLang Climate Ledger</w:t>
      </w:r>
    </w:p>
    <w:p>
      <w:pPr>
        <w:pStyle w:val="ListBullet"/>
        <w:spacing w:after="20"/>
      </w:pPr>
      <w:r>
        <w:t>Core Platform: GreenLang Evidence Vault</w:t>
      </w:r>
    </w:p>
    <w:p>
      <w:pPr>
        <w:pStyle w:val="ListBullet"/>
        <w:spacing w:after="20"/>
      </w:pPr>
      <w:r>
        <w:t>Core Platform: GreenLang Policy Graph</w:t>
      </w:r>
    </w:p>
    <w:p>
      <w:pPr>
        <w:pStyle w:val="ListBullet"/>
        <w:spacing w:after="20"/>
      </w:pPr>
      <w:r>
        <w:t>Core Platform: GreenLang Agent Runtime + Eval</w:t>
      </w:r>
    </w:p>
    <w:p>
      <w:pPr>
        <w:pStyle w:val="ListBullet"/>
        <w:spacing w:after="20"/>
      </w:pPr>
      <w:r>
        <w:t>Core Platform: GreenLang SDK/API/CLI</w:t>
      </w:r>
    </w:p>
    <w:p>
      <w:pPr>
        <w:pStyle w:val="ListBullet"/>
        <w:spacing w:after="20"/>
      </w:pPr>
      <w:r>
        <w:t>Compliance Cloud: GreenLang Comply</w:t>
      </w:r>
    </w:p>
    <w:p>
      <w:pPr>
        <w:pStyle w:val="ListBullet"/>
        <w:spacing w:after="20"/>
      </w:pPr>
      <w:r>
        <w:t>Compliance Cloud: GreenLang CBAM</w:t>
      </w:r>
    </w:p>
    <w:p>
      <w:pPr>
        <w:pStyle w:val="ListBullet"/>
        <w:spacing w:after="20"/>
      </w:pPr>
      <w:r>
        <w:t>Compliance Cloud: GreenLang Scope Engine</w:t>
      </w:r>
    </w:p>
    <w:p>
      <w:pPr>
        <w:pStyle w:val="ListBullet"/>
        <w:spacing w:after="20"/>
      </w:pPr>
      <w:r>
        <w:t>FY28 (2027-28)</w:t>
      </w:r>
    </w:p>
    <w:p>
      <w:pPr>
        <w:pStyle w:val="ListBullet"/>
        <w:spacing w:after="20"/>
      </w:pPr>
      <w:r>
        <w:t>Supply Chain Cloud: GreenLang SupplierOS</w:t>
      </w:r>
    </w:p>
    <w:p>
      <w:pPr>
        <w:pStyle w:val="ListBullet"/>
        <w:spacing w:after="20"/>
      </w:pPr>
      <w:r>
        <w:t>Supply Chain Cloud: GreenLang PCF Studio</w:t>
      </w:r>
    </w:p>
    <w:p>
      <w:pPr>
        <w:pStyle w:val="ListBullet"/>
        <w:spacing w:after="20"/>
      </w:pPr>
      <w:r>
        <w:t>Supply Chain Cloud: GreenLang DPP Hub</w:t>
      </w:r>
    </w:p>
    <w:p>
      <w:pPr>
        <w:pStyle w:val="ListBullet"/>
        <w:spacing w:after="20"/>
      </w:pPr>
      <w:r>
        <w:t>Operations Cloud: GreenLang PlantOS</w:t>
      </w:r>
    </w:p>
    <w:p>
      <w:pPr>
        <w:pStyle w:val="ListBullet"/>
        <w:spacing w:after="20"/>
      </w:pPr>
      <w:r>
        <w:t>Operations Cloud: GreenLang BuildingOS</w:t>
      </w:r>
    </w:p>
    <w:p>
      <w:pPr>
        <w:pStyle w:val="ListBullet"/>
        <w:spacing w:after="20"/>
      </w:pPr>
      <w:r>
        <w:t>FY29 (2028-29)</w:t>
      </w:r>
    </w:p>
    <w:p>
      <w:pPr>
        <w:pStyle w:val="ListBullet"/>
        <w:spacing w:after="20"/>
      </w:pPr>
      <w:r>
        <w:t>Supply Chain Cloud: GreenLang Proof Hub</w:t>
      </w:r>
    </w:p>
    <w:p>
      <w:pPr>
        <w:pStyle w:val="ListBullet"/>
        <w:spacing w:after="20"/>
      </w:pPr>
      <w:r>
        <w:t>Operations Cloud: GreenLang DataCenter CarbonOps</w:t>
      </w:r>
    </w:p>
    <w:p>
      <w:pPr>
        <w:pStyle w:val="ListBullet"/>
        <w:spacing w:after="20"/>
      </w:pPr>
      <w:r>
        <w:t>Operations Cloud: GreenLang PowerOS</w:t>
      </w:r>
    </w:p>
    <w:p>
      <w:pPr>
        <w:pStyle w:val="ListBullet"/>
        <w:spacing w:after="20"/>
      </w:pPr>
      <w:r>
        <w:t>Mobility Cloud: GreenLang FleetOS</w:t>
      </w:r>
    </w:p>
    <w:p>
      <w:pPr>
        <w:pStyle w:val="ListBullet"/>
        <w:spacing w:after="20"/>
      </w:pPr>
      <w:r>
        <w:t>Risk &amp; Public Sector: GreenLang RiskOS</w:t>
      </w:r>
    </w:p>
    <w:p>
      <w:pPr>
        <w:pStyle w:val="ListBullet"/>
        <w:spacing w:after="20"/>
      </w:pPr>
      <w:r>
        <w:t>Finance &amp; Markets: GreenLang FinanceOS</w:t>
      </w:r>
    </w:p>
    <w:p>
      <w:pPr>
        <w:pStyle w:val="ListBullet"/>
        <w:spacing w:after="20"/>
      </w:pPr>
      <w:r>
        <w:t>Finance &amp; Markets: GreenLang MRV Studio</w:t>
      </w:r>
    </w:p>
    <w:p>
      <w:pPr>
        <w:pStyle w:val="ListBullet"/>
        <w:spacing w:after="20"/>
      </w:pPr>
      <w:r>
        <w:t>FY30 (2029-30)</w:t>
      </w:r>
    </w:p>
    <w:p>
      <w:pPr>
        <w:pStyle w:val="ListBullet"/>
        <w:spacing w:after="20"/>
      </w:pPr>
      <w:r>
        <w:t>Operations Cloud: GreenLang FlexOS</w:t>
      </w:r>
    </w:p>
    <w:p>
      <w:pPr>
        <w:pStyle w:val="ListBullet"/>
        <w:spacing w:after="20"/>
      </w:pPr>
      <w:r>
        <w:t>Operations Cloud: GreenLang Microgrid Planner</w:t>
      </w:r>
    </w:p>
    <w:p>
      <w:pPr>
        <w:pStyle w:val="ListBullet"/>
        <w:spacing w:after="20"/>
      </w:pPr>
      <w:r>
        <w:t>Mobility Cloud: GreenLang Freight Carbon API</w:t>
      </w:r>
    </w:p>
    <w:p>
      <w:pPr>
        <w:pStyle w:val="ListBullet"/>
        <w:spacing w:after="20"/>
      </w:pPr>
      <w:r>
        <w:t>Land/Water/Nature: GreenLang AgriLandOS</w:t>
      </w:r>
    </w:p>
    <w:p>
      <w:pPr>
        <w:pStyle w:val="ListBullet"/>
        <w:spacing w:after="20"/>
      </w:pPr>
      <w:r>
        <w:t>Land/Water/Nature: GreenLang WaterOS</w:t>
      </w:r>
    </w:p>
    <w:p>
      <w:pPr>
        <w:pStyle w:val="ListBullet"/>
        <w:spacing w:after="20"/>
      </w:pPr>
      <w:r>
        <w:t>Land/Water/Nature: GreenLang Methane &amp; Nitrogen Monitor</w:t>
      </w:r>
    </w:p>
    <w:p>
      <w:pPr>
        <w:pStyle w:val="ListBullet"/>
        <w:spacing w:after="20"/>
      </w:pPr>
      <w:r>
        <w:t>Risk &amp; Public Sector: GreenLang Adaptation Planner</w:t>
      </w:r>
    </w:p>
    <w:p>
      <w:pPr>
        <w:pStyle w:val="ListBullet"/>
        <w:spacing w:after="20"/>
      </w:pPr>
      <w:r>
        <w:t>Finance &amp; Markets: GreenLang Transition Finance Studio</w:t>
      </w:r>
    </w:p>
    <w:p>
      <w:pPr>
        <w:pStyle w:val="ListBullet"/>
        <w:spacing w:after="20"/>
      </w:pPr>
      <w:r>
        <w:t>Finance &amp; Markets: GreenLang Carbon Markets Hub</w:t>
      </w:r>
    </w:p>
    <w:p>
      <w:pPr>
        <w:pStyle w:val="ListBullet"/>
        <w:spacing w:after="20"/>
      </w:pPr>
      <w:r>
        <w:t>FY31 (2030-31)</w:t>
      </w:r>
    </w:p>
    <w:p>
      <w:pPr>
        <w:pStyle w:val="ListBullet"/>
        <w:spacing w:after="20"/>
      </w:pPr>
      <w:r>
        <w:t>Land/Water/Nature: GreenLang Nature/TNFD Hub</w:t>
      </w:r>
    </w:p>
    <w:p>
      <w:pPr>
        <w:pStyle w:val="ListBullet"/>
        <w:spacing w:after="20"/>
      </w:pPr>
      <w:r>
        <w:t>Risk &amp; Public Sector: GreenLang CityOS</w:t>
      </w:r>
    </w:p>
    <w:p>
      <w:pPr>
        <w:pStyle w:val="ListBullet"/>
        <w:spacing w:after="20"/>
      </w:pPr>
      <w:r>
        <w:t>Finance &amp; Markets: GreenLang CDR Portfolio Manager</w:t>
      </w:r>
    </w:p>
    <w:p>
      <w:pPr>
        <w:pStyle w:val="ListBullet"/>
        <w:spacing w:after="20"/>
      </w:pPr>
      <w:r>
        <w:t>Circularity: GreenLang Circularity Hub</w:t>
      </w:r>
    </w:p>
    <w:p>
      <w:pPr>
        <w:pStyle w:val="ListBullet"/>
        <w:spacing w:after="20"/>
      </w:pPr>
      <w:r>
        <w:t>Appendix B - PRD template for each product</w:t>
      </w:r>
    </w:p>
    <w:p>
      <w:pPr>
        <w:pStyle w:val="ListBullet"/>
        <w:spacing w:after="20"/>
      </w:pPr>
      <w:r>
        <w:t>Appendix C - Source and traceability note</w:t>
      </w:r>
    </w:p>
    <w:p>
      <w:pPr>
        <w:pStyle w:val="ListBullet"/>
        <w:spacing w:after="20"/>
      </w:pPr>
      <w:r>
        <w:t>This roadmap is derived from the uploaded GreenLang Climate OS v3 business plan. In that plan, the four-layer architecture is defined as: Layer 1 Data Foundation, Layer 2 System of Record, Layer 3 Intelligence Layer, and Layer 4 Sector Clouds. The product bank lists 36 products across Core Platform, Compliance Cloud, Supply Chain Cloud, Operations Cloud, Mobility Cloud, Land/Water/Nature, Risk &amp; Public Sector, Finance &amp; Markets, and Circularity. This document preserves that mapping and adds product definitions, version timing, release gates, and PRD-ready structure.</w:t>
      </w:r>
    </w:p>
    <w:p>
      <w:pPr>
        <w:pStyle w:val="ListBullet"/>
        <w:spacing w:after="20"/>
      </w:pPr>
      <w:r>
        <w:t>External regulations, standards, and market assumptions should be validated again before each GA release because climate policy, disclosure requirements, carbon-market rules, and assurance practices can change materially between FY27 and FY31.</w:t>
      </w:r>
    </w:p>
    <w:p>
      <w:pPr>
        <w:pStyle w:val="Heading3"/>
      </w:pPr>
      <w:r>
        <w:t>Dependency notes</w:t>
      </w:r>
    </w:p>
    <w:p>
      <w:pPr>
        <w:pStyle w:val="ListBullet"/>
        <w:spacing w:after="20"/>
      </w:pPr>
      <w:r>
        <w:t>Upstream: PCF Studio, DPP Hub, SupplierOS, Ledger.</w:t>
      </w:r>
    </w:p>
    <w:p>
      <w:pPr>
        <w:pStyle w:val="ListBullet"/>
        <w:spacing w:after="20"/>
      </w:pPr>
      <w:r>
        <w:t>Downstream: Comply, regulator portals.</w:t>
      </w:r>
    </w:p>
    <w:p>
      <w:pPr>
        <w:pStyle w:val="ListBullet"/>
        <w:spacing w:after="20"/>
      </w:pPr>
      <w:r>
        <w:t>12. Cross-product dependency notes</w:t>
      </w:r>
    </w:p>
    <w:p>
      <w:pPr>
        <w:pStyle w:val="ListBullet"/>
        <w:spacing w:after="20"/>
      </w:pPr>
      <w:r>
        <w:t>Three dependency patterns matter for sequencing decisions:</w:t>
      </w:r>
    </w:p>
    <w:p>
      <w:pPr>
        <w:pStyle w:val="ListBullet"/>
        <w:spacing w:after="20"/>
      </w:pPr>
      <w:r>
        <w:t>3.1 Substrate before sector clouds</w:t>
      </w:r>
    </w:p>
    <w:p>
      <w:pPr>
        <w:pStyle w:val="ListBullet"/>
        <w:spacing w:after="20"/>
      </w:pPr>
      <w:r>
        <w:t>Factors, Connect, Entity Graph, Climate Ledger, Evidence Vault, and Policy Graph must all ship to v0.9 Public Beta before any sector cloud goes Public Beta. Skipping this discipline is how climate-tech companies end up with 30 disconnected products. The sequencing pain is real in FY27 (revenue is slower), but the architectural payoff is every subsequent product.</w:t>
      </w:r>
    </w:p>
    <w:p>
      <w:pPr>
        <w:pStyle w:val="ListBullet"/>
        <w:spacing w:after="20"/>
      </w:pPr>
      <w:r>
        <w:t>3.2 The supply-chain / compliance loop</w:t>
      </w:r>
    </w:p>
    <w:p>
      <w:pPr>
        <w:pStyle w:val="ListBullet"/>
        <w:spacing w:after="20"/>
      </w:pPr>
      <w:r>
        <w:t>Comply is the wedge that opens the door. CBAM and Scope Engine make the wedge concrete for manufacturers. SupplierOS, PCF Studio, and DPP Hub close the loop by turning supplier responses into structured data that flows back into Ledger and Comply. Expect most FY27-FY28 ACV to come from this loop before operations, risk, or finance become material.</w:t>
      </w:r>
    </w:p>
    <w:p>
      <w:pPr>
        <w:pStyle w:val="ListBullet"/>
        <w:spacing w:after="20"/>
      </w:pPr>
      <w:r>
        <w:t>3.3 Operations outcomes feed platform stickiness</w:t>
      </w:r>
    </w:p>
    <w:p>
      <w:pPr>
        <w:pStyle w:val="ListBullet"/>
        <w:spacing w:after="20"/>
      </w:pPr>
      <w:r>
        <w:t>PlantOS, BuildingOS, DataCenter CarbonOps, PowerOS, and FlexOS are the ROI-grade products that get CFO attention. Once the Ledger has verified savings flowing into it, the platform is no longer a reporting tool - it is the system of record for climate operations and the substrate on which RiskOS, FinanceOS, and Markets products stand.</w:t>
      </w:r>
    </w:p>
    <w:p>
      <w:pPr>
        <w:pStyle w:val="ListBullet"/>
        <w:spacing w:after="20"/>
      </w:pPr>
      <w:r>
        <w:t>3.4 The finance-and-markets spine</w:t>
      </w:r>
    </w:p>
    <w:p>
      <w:pPr>
        <w:pStyle w:val="ListBullet"/>
        <w:spacing w:after="20"/>
      </w:pPr>
      <w:r>
        <w:t>MRV Studio (FY29), FinanceOS (FY29), Transition Finance Studio (FY30), Carbon Markets Hub (FY30), and CDR Portfolio Manager (FY31) compose the finance-and-markets spine. They are deliberately sequenced after substrate and operations have hardened, because their value proposition is 'trust plus workflow' - and trust requires the substrate to be production-grade first.</w:t>
      </w:r>
    </w:p>
    <w:p>
      <w:pPr>
        <w:pStyle w:val="ListBullet"/>
        <w:spacing w:after="20"/>
      </w:pPr>
      <w:r>
        <w:t>3.5 Public-sector and circularity tail</w:t>
      </w:r>
    </w:p>
    <w:p>
      <w:pPr>
        <w:pStyle w:val="ListBullet"/>
        <w:spacing w:after="20"/>
      </w:pPr>
      <w:r>
        <w:t>CityOS (FY31) and Circularity Hub (FY31) are the slowest-to-revenue but highest-mission-alignment products. They are viable because by FY31 the substrate is mature, the brand is established, and partner channels (utilities, MDBs, waste-management networks) exist to distribute.</w:t>
      </w:r>
    </w:p>
    <w:p>
      <w:pPr>
        <w:pStyle w:val="ListBullet"/>
        <w:spacing w:after="20"/>
      </w:pPr>
      <w:r>
        <w:t>13. Appendix - version labeling in practice</w:t>
      </w:r>
    </w:p>
    <w:p>
      <w:pPr>
        <w:pStyle w:val="ListBullet"/>
        <w:spacing w:after="20"/>
      </w:pPr>
      <w:r>
        <w:t>One practical note on version labeling: the milestone labels (v0.1 Alpha, v0.5 Closed Beta, v0.9 Public Beta, v1.0 GA, v2.0, v3.0) are strategic release boundaries. Between them, products ship monthly or bi-weekly minor releases (v1.1, v1.2, v1.3, ...) as normal SaaS iterations. Those minor releases are not enumerated in this document - they are an engineering cadence decision, not a strategic one.</w:t>
      </w:r>
    </w:p>
    <w:p>
      <w:pPr>
        <w:pStyle w:val="ListBullet"/>
        <w:spacing w:after="20"/>
      </w:pPr>
      <w:r>
        <w:t>Design-partner commitments should be pinned to strategic releases. A design partner who signs 'available at v0.5 Closed Beta in FY27 Q2' expects a working end-to-end workflow that quarter, not every minor iteration. A customer who signs 'GA in FY28 Q2' expects SLA and priced packaging to be live that quarter.</w:t>
      </w:r>
    </w:p>
    <w:p>
      <w:pPr>
        <w:pStyle w:val="ListBullet"/>
        <w:spacing w:after="20"/>
      </w:pPr>
      <w:r>
        <w:t>For regulator- and auditor-facing products (CBAM, Comply, Scope Engine, MRV Studio, Proof Hub, Evidence Vault), v1.0 GA is gated on external attestation (successful regulator submission, audited customer filing, or verifier acceptance) rather than internal readiness. Those gates are called out in each product's version roadmap.</w:t>
      </w:r>
    </w:p>
    <w:p>
      <w:pPr>
        <w:pStyle w:val="ListBullet"/>
        <w:spacing w:after="20"/>
      </w:pPr>
      <w:r>
        <w:t>Open-core products (Factors, SDK/API/CLI) follow the same milestone ladder but additionally version the open-source repos via semver independently - the community tier may hit its own v1.0 ahead of the commercial tier's GA, and that is fine as long as the commercial SLA is honest about what the community tier does and does not cover.</w:t>
      </w:r>
    </w:p>
    <w:p>
      <w:r>
        <w:br w:type="page"/>
      </w:r>
    </w:p>
    <w:p>
      <w:pPr>
        <w:pStyle w:val="Heading1"/>
      </w:pPr>
      <w:r>
        <w:t>Part 5 - Portfolio Governance and PRD Template</w:t>
      </w:r>
    </w:p>
    <w:p>
      <w:pPr>
        <w:pStyle w:val="Heading3"/>
      </w:pPr>
      <w:r>
        <w:t>Portfolio kill, pause, and merge criteria</w:t>
      </w:r>
    </w:p>
    <w:p>
      <w:pPr>
        <w:pStyle w:val="ListBullet"/>
        <w:spacing w:after="20"/>
      </w:pPr>
      <w:r>
        <w:t>Kill or merge a product if it cannot identify a buyer with budget and urgency after two discovery cycles.</w:t>
      </w:r>
    </w:p>
    <w:p>
      <w:pPr>
        <w:pStyle w:val="ListBullet"/>
        <w:spacing w:after="20"/>
      </w:pPr>
      <w:r>
        <w:t>Pause a product if the required substrate dependency is not stable; do not build workaround infrastructure for a single module.</w:t>
      </w:r>
    </w:p>
    <w:p>
      <w:pPr>
        <w:pStyle w:val="ListBullet"/>
        <w:spacing w:after="20"/>
      </w:pPr>
      <w:r>
        <w:t>Merge a product into another module if the workflow is primarily a feature and cannot support its own packaging, P&amp;L, or buyer motion.</w:t>
      </w:r>
    </w:p>
    <w:p>
      <w:pPr>
        <w:pStyle w:val="ListBullet"/>
        <w:spacing w:after="20"/>
      </w:pPr>
      <w:r>
        <w:t>Delay GA if onboarding requires bespoke consulting, custom data models, or non-repeatable integrations for more than 70% of customers.</w:t>
      </w:r>
    </w:p>
    <w:p>
      <w:pPr>
        <w:pStyle w:val="ListBullet"/>
        <w:spacing w:after="20"/>
      </w:pPr>
      <w:r>
        <w:t>Delay network/transaction products if legal role, trust model, market permissions, and conflict-of-interest controls are unresolved.</w:t>
      </w:r>
    </w:p>
    <w:p>
      <w:pPr>
        <w:pStyle w:val="ListBullet"/>
        <w:spacing w:after="20"/>
      </w:pPr>
      <w:r>
        <w:t>Prioritize products that increase data reuse, ACV expansion, workflow lock-in, and repeatable implementation across multiple GreenLang modules.</w:t>
      </w:r>
    </w:p>
    <w:p>
      <w:pPr>
        <w:pStyle w:val="Heading3"/>
      </w:pPr>
      <w:r>
        <w:t>Quarterly portfolio review questions</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888"/>
            <w:vAlign w:val="top"/>
            <w:shd w:fill="1F4E79"/>
          </w:tcPr>
          <w:p>
            <w:r>
              <w:rPr>
                <w:b/>
                <w:color w:val="FFFFFF"/>
                <w:sz w:val="17"/>
              </w:rPr>
              <w:t>Question</w:t>
            </w:r>
          </w:p>
        </w:tc>
        <w:tc>
          <w:tcPr>
            <w:tcW w:type="dxa" w:w="7776"/>
            <w:vAlign w:val="top"/>
            <w:shd w:fill="1F4E79"/>
          </w:tcPr>
          <w:p>
            <w:r>
              <w:rPr>
                <w:b/>
                <w:color w:val="FFFFFF"/>
                <w:sz w:val="17"/>
              </w:rPr>
              <w:t>Required evidence</w:t>
            </w:r>
          </w:p>
        </w:tc>
      </w:tr>
      <w:tr>
        <w:tc>
          <w:tcPr>
            <w:tcW w:type="dxa" w:w="3888"/>
            <w:vAlign w:val="top"/>
          </w:tcPr>
          <w:p>
            <w:r>
              <w:rPr>
                <w:sz w:val="17"/>
              </w:rPr>
              <w:t>Does the product still match the beachhead or expansion vector?</w:t>
            </w:r>
          </w:p>
        </w:tc>
        <w:tc>
          <w:tcPr>
            <w:tcW w:type="dxa" w:w="7776"/>
            <w:vAlign w:val="top"/>
          </w:tcPr>
          <w:p>
            <w:r>
              <w:rPr>
                <w:sz w:val="17"/>
              </w:rPr>
              <w:t>Active customer demand, attach-rate logic, and clear buyer ownership.</w:t>
            </w:r>
          </w:p>
        </w:tc>
      </w:tr>
      <w:tr>
        <w:tc>
          <w:tcPr>
            <w:tcW w:type="dxa" w:w="3888"/>
            <w:vAlign w:val="top"/>
          </w:tcPr>
          <w:p>
            <w:r>
              <w:rPr>
                <w:sz w:val="17"/>
              </w:rPr>
              <w:t>Is the substrate ready?</w:t>
            </w:r>
          </w:p>
        </w:tc>
        <w:tc>
          <w:tcPr>
            <w:tcW w:type="dxa" w:w="7776"/>
            <w:vAlign w:val="top"/>
          </w:tcPr>
          <w:p>
            <w:r>
              <w:rPr>
                <w:sz w:val="17"/>
              </w:rPr>
              <w:t>Stable canonical objects, ledger writes, evidence linkage, policy mapping, and permissions.</w:t>
            </w:r>
          </w:p>
        </w:tc>
      </w:tr>
      <w:tr>
        <w:tc>
          <w:tcPr>
            <w:tcW w:type="dxa" w:w="3888"/>
            <w:vAlign w:val="top"/>
          </w:tcPr>
          <w:p>
            <w:r>
              <w:rPr>
                <w:sz w:val="17"/>
              </w:rPr>
              <w:t>Can it onboard repeatably?</w:t>
            </w:r>
          </w:p>
        </w:tc>
        <w:tc>
          <w:tcPr>
            <w:tcW w:type="dxa" w:w="7776"/>
            <w:vAlign w:val="top"/>
          </w:tcPr>
          <w:p>
            <w:r>
              <w:rPr>
                <w:sz w:val="17"/>
              </w:rPr>
              <w:t>Implementation playbook, connector coverage, training materials, and bounded services hours.</w:t>
            </w:r>
          </w:p>
        </w:tc>
      </w:tr>
      <w:tr>
        <w:tc>
          <w:tcPr>
            <w:tcW w:type="dxa" w:w="3888"/>
            <w:vAlign w:val="top"/>
          </w:tcPr>
          <w:p>
            <w:r>
              <w:rPr>
                <w:sz w:val="17"/>
              </w:rPr>
              <w:t>Does it create measurable value?</w:t>
            </w:r>
          </w:p>
        </w:tc>
        <w:tc>
          <w:tcPr>
            <w:tcW w:type="dxa" w:w="7776"/>
            <w:vAlign w:val="top"/>
          </w:tcPr>
          <w:p>
            <w:r>
              <w:rPr>
                <w:sz w:val="17"/>
              </w:rPr>
              <w:t>ARR, ROI, risk reduction, compliance deadline, or transaction-capital impact.</w:t>
            </w:r>
          </w:p>
        </w:tc>
      </w:tr>
      <w:tr>
        <w:tc>
          <w:tcPr>
            <w:tcW w:type="dxa" w:w="3888"/>
            <w:vAlign w:val="top"/>
          </w:tcPr>
          <w:p>
            <w:r>
              <w:rPr>
                <w:sz w:val="17"/>
              </w:rPr>
              <w:t>Can the company support it?</w:t>
            </w:r>
          </w:p>
        </w:tc>
        <w:tc>
          <w:tcPr>
            <w:tcW w:type="dxa" w:w="7776"/>
            <w:vAlign w:val="top"/>
          </w:tcPr>
          <w:p>
            <w:r>
              <w:rPr>
                <w:sz w:val="17"/>
              </w:rPr>
              <w:t>Squad capacity, support readiness, security review, methodology owner, and GTM owner.</w:t>
            </w:r>
          </w:p>
        </w:tc>
      </w:tr>
      <w:tr>
        <w:tc>
          <w:tcPr>
            <w:tcW w:type="dxa" w:w="3888"/>
            <w:vAlign w:val="top"/>
          </w:tcPr>
          <w:p>
            <w:r>
              <w:rPr>
                <w:sz w:val="17"/>
              </w:rPr>
              <w:t>Does it compound the platform?</w:t>
            </w:r>
          </w:p>
        </w:tc>
        <w:tc>
          <w:tcPr>
            <w:tcW w:type="dxa" w:w="7776"/>
            <w:vAlign w:val="top"/>
          </w:tcPr>
          <w:p>
            <w:r>
              <w:rPr>
                <w:sz w:val="17"/>
              </w:rPr>
              <w:t>Reusable data, cross-product workflows, developer/partner leverage, or network effects.</w:t>
            </w:r>
          </w:p>
        </w:tc>
      </w:tr>
    </w:tbl>
    <w:p>
      <w:pPr>
        <w:pStyle w:val="Heading3"/>
      </w:pPr>
      <w:r>
        <w:t>Standard PRD expansion template</w:t>
      </w:r>
    </w:p>
    <w:tbl>
      <w:tblPr>
        <w:tblStyle w:val="TableGrid"/>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3024"/>
            <w:vAlign w:val="top"/>
            <w:shd w:fill="1F4E79"/>
          </w:tcPr>
          <w:p>
            <w:r>
              <w:rPr>
                <w:b/>
                <w:color w:val="FFFFFF"/>
                <w:sz w:val="16"/>
              </w:rPr>
              <w:t>Section</w:t>
            </w:r>
          </w:p>
        </w:tc>
        <w:tc>
          <w:tcPr>
            <w:tcW w:type="dxa" w:w="8928"/>
            <w:vAlign w:val="top"/>
            <w:shd w:fill="1F4E79"/>
          </w:tcPr>
          <w:p>
            <w:r>
              <w:rPr>
                <w:b/>
                <w:color w:val="FFFFFF"/>
                <w:sz w:val="16"/>
              </w:rPr>
              <w:t>Required content</w:t>
            </w:r>
          </w:p>
        </w:tc>
      </w:tr>
      <w:tr>
        <w:tc>
          <w:tcPr>
            <w:tcW w:type="dxa" w:w="3024"/>
            <w:vAlign w:val="top"/>
          </w:tcPr>
          <w:p>
            <w:r>
              <w:rPr>
                <w:sz w:val="16"/>
              </w:rPr>
              <w:t>1. Product thesis</w:t>
            </w:r>
          </w:p>
        </w:tc>
        <w:tc>
          <w:tcPr>
            <w:tcW w:type="dxa" w:w="8928"/>
            <w:vAlign w:val="top"/>
          </w:tcPr>
          <w:p>
            <w:r>
              <w:rPr>
                <w:sz w:val="16"/>
              </w:rPr>
              <w:t>Customer pain, why now, why GreenLang, strategic fit, and what not to build.</w:t>
            </w:r>
          </w:p>
        </w:tc>
      </w:tr>
      <w:tr>
        <w:tc>
          <w:tcPr>
            <w:tcW w:type="dxa" w:w="3024"/>
            <w:vAlign w:val="top"/>
          </w:tcPr>
          <w:p>
            <w:r>
              <w:rPr>
                <w:sz w:val="16"/>
              </w:rPr>
              <w:t>2. Personas and buying center</w:t>
            </w:r>
          </w:p>
        </w:tc>
        <w:tc>
          <w:tcPr>
            <w:tcW w:type="dxa" w:w="8928"/>
            <w:vAlign w:val="top"/>
          </w:tcPr>
          <w:p>
            <w:r>
              <w:rPr>
                <w:sz w:val="16"/>
              </w:rPr>
              <w:t>Economic buyer, champion, daily users, blockers, implementation owners, partners.</w:t>
            </w:r>
          </w:p>
        </w:tc>
      </w:tr>
      <w:tr>
        <w:tc>
          <w:tcPr>
            <w:tcW w:type="dxa" w:w="3024"/>
            <w:vAlign w:val="top"/>
          </w:tcPr>
          <w:p>
            <w:r>
              <w:rPr>
                <w:sz w:val="16"/>
              </w:rPr>
              <w:t>3. Use cases and user journeys</w:t>
            </w:r>
          </w:p>
        </w:tc>
        <w:tc>
          <w:tcPr>
            <w:tcW w:type="dxa" w:w="8928"/>
            <w:vAlign w:val="top"/>
          </w:tcPr>
          <w:p>
            <w:r>
              <w:rPr>
                <w:sz w:val="16"/>
              </w:rPr>
              <w:t>Primary workflows, edge cases, onboarding, approval, reporting, and export flow.</w:t>
            </w:r>
          </w:p>
        </w:tc>
      </w:tr>
      <w:tr>
        <w:tc>
          <w:tcPr>
            <w:tcW w:type="dxa" w:w="3024"/>
            <w:vAlign w:val="top"/>
          </w:tcPr>
          <w:p>
            <w:r>
              <w:rPr>
                <w:sz w:val="16"/>
              </w:rPr>
              <w:t>4. Data model and integrations</w:t>
            </w:r>
          </w:p>
        </w:tc>
        <w:tc>
          <w:tcPr>
            <w:tcW w:type="dxa" w:w="8928"/>
            <w:vAlign w:val="top"/>
          </w:tcPr>
          <w:p>
            <w:r>
              <w:rPr>
                <w:sz w:val="16"/>
              </w:rPr>
              <w:t>Canonical objects, external systems, mapping rules, evidence metadata, data-quality thresholds.</w:t>
            </w:r>
          </w:p>
        </w:tc>
      </w:tr>
      <w:tr>
        <w:tc>
          <w:tcPr>
            <w:tcW w:type="dxa" w:w="3024"/>
            <w:vAlign w:val="top"/>
          </w:tcPr>
          <w:p>
            <w:r>
              <w:rPr>
                <w:sz w:val="16"/>
              </w:rPr>
              <w:t>5. Methodology and trust</w:t>
            </w:r>
          </w:p>
        </w:tc>
        <w:tc>
          <w:tcPr>
            <w:tcW w:type="dxa" w:w="8928"/>
            <w:vAlign w:val="top"/>
          </w:tcPr>
          <w:p>
            <w:r>
              <w:rPr>
                <w:sz w:val="16"/>
              </w:rPr>
              <w:t>Calculation/risk/finance/MRV assumptions, factor sources, evidence rules, reviewer controls, limitations.</w:t>
            </w:r>
          </w:p>
        </w:tc>
      </w:tr>
      <w:tr>
        <w:tc>
          <w:tcPr>
            <w:tcW w:type="dxa" w:w="3024"/>
            <w:vAlign w:val="top"/>
          </w:tcPr>
          <w:p>
            <w:r>
              <w:rPr>
                <w:sz w:val="16"/>
              </w:rPr>
              <w:t>6. Functional requirements</w:t>
            </w:r>
          </w:p>
        </w:tc>
        <w:tc>
          <w:tcPr>
            <w:tcW w:type="dxa" w:w="8928"/>
            <w:vAlign w:val="top"/>
          </w:tcPr>
          <w:p>
            <w:r>
              <w:rPr>
                <w:sz w:val="16"/>
              </w:rPr>
              <w:t>Capabilities, screens, APIs, permissions, notifications, dashboards, exports.</w:t>
            </w:r>
          </w:p>
        </w:tc>
      </w:tr>
      <w:tr>
        <w:tc>
          <w:tcPr>
            <w:tcW w:type="dxa" w:w="3024"/>
            <w:vAlign w:val="top"/>
          </w:tcPr>
          <w:p>
            <w:r>
              <w:rPr>
                <w:sz w:val="16"/>
              </w:rPr>
              <w:t>7. Non-functional requirements</w:t>
            </w:r>
          </w:p>
        </w:tc>
        <w:tc>
          <w:tcPr>
            <w:tcW w:type="dxa" w:w="8928"/>
            <w:vAlign w:val="top"/>
          </w:tcPr>
          <w:p>
            <w:r>
              <w:rPr>
                <w:sz w:val="16"/>
              </w:rPr>
              <w:t>Security, privacy, availability, latency, scalability, localization, audit logs, accessibility.</w:t>
            </w:r>
          </w:p>
        </w:tc>
      </w:tr>
      <w:tr>
        <w:tc>
          <w:tcPr>
            <w:tcW w:type="dxa" w:w="3024"/>
            <w:vAlign w:val="top"/>
          </w:tcPr>
          <w:p>
            <w:r>
              <w:rPr>
                <w:sz w:val="16"/>
              </w:rPr>
              <w:t>8. AI requirements</w:t>
            </w:r>
          </w:p>
        </w:tc>
        <w:tc>
          <w:tcPr>
            <w:tcW w:type="dxa" w:w="8928"/>
            <w:vAlign w:val="top"/>
          </w:tcPr>
          <w:p>
            <w:r>
              <w:rPr>
                <w:sz w:val="16"/>
              </w:rPr>
              <w:t>Agent role, allowed tools, citations, evals, human review, failure handling, cost controls.</w:t>
            </w:r>
          </w:p>
        </w:tc>
      </w:tr>
      <w:tr>
        <w:tc>
          <w:tcPr>
            <w:tcW w:type="dxa" w:w="3024"/>
            <w:vAlign w:val="top"/>
          </w:tcPr>
          <w:p>
            <w:r>
              <w:rPr>
                <w:sz w:val="16"/>
              </w:rPr>
              <w:t>9. Version plan</w:t>
            </w:r>
          </w:p>
        </w:tc>
        <w:tc>
          <w:tcPr>
            <w:tcW w:type="dxa" w:w="8928"/>
            <w:vAlign w:val="top"/>
          </w:tcPr>
          <w:p>
            <w:r>
              <w:rPr>
                <w:sz w:val="16"/>
              </w:rPr>
              <w:t>v0.1 through v2.0 content, release gates, dependencies, acceptance criteria.</w:t>
            </w:r>
          </w:p>
        </w:tc>
      </w:tr>
      <w:tr>
        <w:tc>
          <w:tcPr>
            <w:tcW w:type="dxa" w:w="3024"/>
            <w:vAlign w:val="top"/>
          </w:tcPr>
          <w:p>
            <w:r>
              <w:rPr>
                <w:sz w:val="16"/>
              </w:rPr>
              <w:t>10. GTM and packaging</w:t>
            </w:r>
          </w:p>
        </w:tc>
        <w:tc>
          <w:tcPr>
            <w:tcW w:type="dxa" w:w="8928"/>
            <w:vAlign w:val="top"/>
          </w:tcPr>
          <w:p>
            <w:r>
              <w:rPr>
                <w:sz w:val="16"/>
              </w:rPr>
              <w:t>Pricing, packaging, ICP, sales narrative, implementation plan, partner motion, support model.</w:t>
            </w:r>
          </w:p>
        </w:tc>
      </w:tr>
      <w:tr>
        <w:tc>
          <w:tcPr>
            <w:tcW w:type="dxa" w:w="3024"/>
            <w:vAlign w:val="top"/>
          </w:tcPr>
          <w:p>
            <w:r>
              <w:rPr>
                <w:sz w:val="16"/>
              </w:rPr>
              <w:t>11. Metrics and instrumentation</w:t>
            </w:r>
          </w:p>
        </w:tc>
        <w:tc>
          <w:tcPr>
            <w:tcW w:type="dxa" w:w="8928"/>
            <w:vAlign w:val="top"/>
          </w:tcPr>
          <w:p>
            <w:r>
              <w:rPr>
                <w:sz w:val="16"/>
              </w:rPr>
              <w:t>Activation, usage, quality, retention, ARR, attach rate, gross margin, NPS, risk metrics.</w:t>
            </w:r>
          </w:p>
        </w:tc>
      </w:tr>
      <w:tr>
        <w:tc>
          <w:tcPr>
            <w:tcW w:type="dxa" w:w="3024"/>
            <w:vAlign w:val="top"/>
          </w:tcPr>
          <w:p>
            <w:r>
              <w:rPr>
                <w:sz w:val="16"/>
              </w:rPr>
              <w:t>12. Risk register</w:t>
            </w:r>
          </w:p>
        </w:tc>
        <w:tc>
          <w:tcPr>
            <w:tcW w:type="dxa" w:w="8928"/>
            <w:vAlign w:val="top"/>
          </w:tcPr>
          <w:p>
            <w:r>
              <w:rPr>
                <w:sz w:val="16"/>
              </w:rPr>
              <w:t>Technical, methodology, regulatory, commercial, legal, data-quality, and execution risks.</w:t>
            </w:r>
          </w:p>
        </w:tc>
      </w:tr>
    </w:tbl>
    <w:p>
      <w:pPr>
        <w:pStyle w:val="Heading3"/>
      </w:pPr>
      <w:r>
        <w:t>Final CTO note</w:t>
      </w:r>
    </w:p>
    <w:p>
      <w:pPr>
        <w:spacing w:after="80"/>
      </w:pPr>
      <w:r>
        <w:t>This document should be treated as the final product-definition baseline, not as a frozen engineering backlog. The correct discipline is to preserve the architecture, version gates, and sequencing while letting quarterly customer evidence update scope, order, and staffing. GreenLang wins by compounding one trusted substrate across many climate workflows; it loses if each cloud becomes a separate product company inside the company.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Final CTO Roadmap - 24 Apr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GreenLang Climate OS - CTO Final Product Definition &amp; Version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GreenLang Climate OS - Final Product Definition &amp; Version Roadmap FY27-FY31</dc:title>
  <dc:subject>CTO Final Product Roadmap</dc:subject>
  <dc:creator>GreenLang</dc:creator>
  <cp:keywords/>
  <dc:description>Final consolidated product definition and release roadmap.</dc:description>
  <cp:lastModifiedBy/>
  <cp:revision>1</cp:revision>
  <dcterms:created xsi:type="dcterms:W3CDTF">2013-12-23T23:15:00Z</dcterms:created>
  <dcterms:modified xsi:type="dcterms:W3CDTF">2013-12-23T23:15:00Z</dcterms:modified>
  <cp:category/>
</cp:coreProperties>
</file>