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p>
    <w:p>
      <w:pPr>
        <w:spacing w:after="120" w:before="120"/>
      </w:pPr>
    </w:p>
    <w:p>
      <w:pPr>
        <w:spacing w:after="120" w:before="120"/>
      </w:pPr>
    </w:p>
    <w:p>
      <w:pPr>
        <w:spacing w:after="120" w:before="120"/>
      </w:pPr>
    </w:p>
    <w:p>
      <w:pPr>
        <w:spacing w:after="120" w:before="120"/>
      </w:pPr>
    </w:p>
    <w:p>
      <w:pPr>
        <w:spacing w:after="200"/>
        <w:jc w:val="center"/>
      </w:pPr>
      <w:r>
        <w:rPr>
          <w:rFonts w:ascii="Arial" w:cs="Arial" w:eastAsia="Arial" w:hAnsi="Arial"/>
          <w:b/>
          <w:bCs/>
          <w:color w:val="6B7280"/>
          <w:sz w:val="20"/>
          <w:szCs w:val="20"/>
        </w:rPr>
        <w:t xml:space="preserve">GREENLANG PLATFORM</w:t>
      </w:r>
    </w:p>
    <w:p>
      <w:pPr>
        <w:spacing w:after="100"/>
        <w:jc w:val="center"/>
      </w:pPr>
      <w:r>
        <w:rPr>
          <w:rFonts w:ascii="Arial" w:cs="Arial" w:eastAsia="Arial" w:hAnsi="Arial"/>
          <w:b/>
          <w:bCs/>
          <w:color w:val="1B2838"/>
          <w:sz w:val="52"/>
          <w:szCs w:val="52"/>
        </w:rPr>
        <w:t xml:space="preserve">V2 Comprehensive Audit Report</w:t>
      </w:r>
    </w:p>
    <w:p>
      <w:pPr>
        <w:spacing w:after="400"/>
        <w:jc w:val="center"/>
      </w:pPr>
      <w:r>
        <w:rPr>
          <w:rFonts w:ascii="Arial" w:cs="Arial" w:eastAsia="Arial" w:hAnsi="Arial"/>
          <w:color w:val="6B7280"/>
          <w:sz w:val="24"/>
          <w:szCs w:val="24"/>
        </w:rPr>
        <w:t xml:space="preserve">MVP | V1 | V2 Development Verification</w:t>
      </w:r>
    </w:p>
    <w:p>
      <w:pPr>
        <w:jc w:val="center"/>
      </w:pPr>
      <w:r>
        <w:rPr>
          <w:color w:val="D1D5DB"/>
          <w:sz w:val="20"/>
          <w:szCs w:val="20"/>
        </w:rPr>
        <w:t xml:space="preserve">_______________________________________________</w:t>
      </w:r>
    </w:p>
    <w:p>
      <w:pPr>
        <w:spacing w:after="120" w:before="120"/>
      </w:pPr>
    </w:p>
    <w:p>
      <w:pPr>
        <w:jc w:val="center"/>
      </w:pPr>
      <w:r>
        <w:rPr>
          <w:rFonts w:ascii="Arial" w:cs="Arial" w:eastAsia="Arial" w:hAnsi="Arial"/>
          <w:color w:val="1F2937"/>
          <w:sz w:val="22"/>
          <w:szCs w:val="22"/>
        </w:rPr>
        <w:t xml:space="preserve">Prepared for: Akshay Makar, CEO</w:t>
      </w:r>
    </w:p>
    <w:p>
      <w:pPr>
        <w:jc w:val="center"/>
      </w:pPr>
      <w:r>
        <w:rPr>
          <w:rFonts w:ascii="Arial" w:cs="Arial" w:eastAsia="Arial" w:hAnsi="Arial"/>
          <w:color w:val="6B7280"/>
          <w:sz w:val="20"/>
          <w:szCs w:val="20"/>
        </w:rPr>
        <w:t xml:space="preserve">Audit Date: March 30, 2026</w:t>
      </w:r>
    </w:p>
    <w:p>
      <w:pPr>
        <w:jc w:val="center"/>
      </w:pPr>
      <w:r>
        <w:rPr>
          <w:rFonts w:ascii="Arial" w:cs="Arial" w:eastAsia="Arial" w:hAnsi="Arial"/>
          <w:color w:val="EF4444"/>
          <w:sz w:val="20"/>
          <w:szCs w:val="20"/>
        </w:rPr>
        <w:t xml:space="preserve">Classification: Internal / Confidential</w:t>
      </w:r>
    </w:p>
    <w:p>
      <w:pPr>
        <w:spacing w:after="120" w:before="120"/>
      </w:pPr>
    </w:p>
    <w:p>
      <w:pPr>
        <w:spacing w:after="120" w:before="120"/>
      </w:pPr>
    </w:p>
    <w:p>
      <w:pPr>
        <w:spacing w:before="600"/>
        <w:jc w:val="center"/>
      </w:pPr>
      <w:r>
        <w:rPr>
          <w:rFonts w:ascii="Arial" w:cs="Arial" w:eastAsia="Arial" w:hAnsi="Arial"/>
          <w:i/>
          <w:iCs/>
          <w:color w:val="6B7280"/>
          <w:sz w:val="18"/>
          <w:szCs w:val="18"/>
        </w:rPr>
        <w:t xml:space="preserve">Independent Technical Audit</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2838"/>
          <w:sz w:val="32"/>
          <w:szCs w:val="32"/>
        </w:rPr>
        <w:t xml:space="preserve">1. Executive Summary</w:t>
      </w:r>
    </w:p>
    <w:p>
      <w:pPr>
        <w:spacing w:after="80" w:before="80"/>
      </w:pPr>
      <w:r>
        <w:rPr>
          <w:rFonts w:ascii="Arial" w:cs="Arial" w:eastAsia="Arial" w:hAnsi="Arial"/>
          <w:b w:val="false"/>
          <w:bCs w:val="false"/>
          <w:i w:val="false"/>
          <w:iCs w:val="false"/>
          <w:color w:val="1F2937"/>
          <w:sz w:val="20"/>
          <w:szCs w:val="20"/>
        </w:rPr>
        <w:t xml:space="preserve">This report presents a comprehensive, independent audit of the GreenLang compliance platform across three development stages: MVP, V1, and V2. The audit was conducted on March 30, 2026, against the live codebase, examining every critical file, endpoint, test, workflow, and governance artifact.</w:t>
      </w:r>
    </w:p>
    <w:p>
      <w:pPr>
        <w:spacing w:after="120" w:before="120"/>
      </w:pPr>
    </w:p>
    <w:p>
      <w:pPr>
        <w:pStyle w:val="Heading2"/>
        <w:spacing w:after="160" w:before="280"/>
      </w:pPr>
      <w:r>
        <w:rPr>
          <w:rFonts w:ascii="Arial" w:cs="Arial" w:eastAsia="Arial" w:hAnsi="Arial"/>
          <w:b/>
          <w:bCs/>
          <w:color w:val="1E3A5F"/>
          <w:sz w:val="26"/>
          <w:szCs w:val="26"/>
        </w:rPr>
        <w:t xml:space="preserve">1.1 Overall Verdict Matrix</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5240"/>
      </w:tblGrid>
      <w:tr>
        <w:tc>
          <w:tcPr>
            <w:tcW w:type="dxa" w:w="180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Stage</w:t>
            </w:r>
          </w:p>
        </w:tc>
        <w:tc>
          <w:tcPr>
            <w:tcW w:type="dxa" w:w="140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Verdict</w:t>
            </w:r>
          </w:p>
        </w:tc>
        <w:tc>
          <w:tcPr>
            <w:tcW w:type="dxa" w:w="140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 Audit</w:t>
            </w:r>
          </w:p>
        </w:tc>
        <w:tc>
          <w:tcPr>
            <w:tcW w:type="dxa" w:w="524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Evidence &amp; Reality</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MVP</w:t>
            </w:r>
          </w:p>
        </w:tc>
        <w:tc>
          <w:tcPr>
            <w:tcW w:type="dxa" w:w="14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14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5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All P0/P1 items resolved. GO_FOR_PILOT release gate locked. 12/12 checks PASS. 15 tests green. Deterministic rerun proven.</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V1</w:t>
            </w:r>
          </w:p>
        </w:tc>
        <w:tc>
          <w:tcPr>
            <w:tcW w:type="dxa" w:w="14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14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5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All exit criteria met. 3 apps with real backend execution. Contracts, conformance, signed packs enforced. Closure decision: GO.</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V2 Backend</w:t>
            </w:r>
          </w:p>
        </w:tc>
        <w:tc>
          <w:tcPr>
            <w:tcW w:type="dxa" w:w="14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1400"/>
            <w:tcBorders>
              <w:top w:val="single" w:color="D1D5DB" w:sz="1"/>
              <w:left w:val="single" w:color="D1D5DB" w:sz="1"/>
              <w:bottom w:val="single" w:color="D1D5DB" w:sz="1"/>
              <w:right w:val="single" w:color="D1D5DB" w:sz="1"/>
            </w:tcBorders>
            <w:shd w:fill="FEF9C3" w:val="clear"/>
            <w:tcMar>
              <w:top w:type="dxa" w:w="60"/>
              <w:left w:type="dxa" w:w="100"/>
              <w:bottom w:type="dxa" w:w="60"/>
              <w:right w:type="dxa" w:w="100"/>
            </w:tcMar>
            <w:vAlign w:val="center"/>
          </w:tcPr>
          <w:p>
            <w:r>
              <w:rPr>
                <w:rFonts w:ascii="Arial" w:cs="Arial" w:eastAsia="Arial" w:hAnsi="Arial"/>
                <w:b/>
                <w:bCs/>
                <w:color w:val="854D0E"/>
                <w:sz w:val="18"/>
                <w:szCs w:val="18"/>
              </w:rPr>
              <w:t xml:space="preserve">PARTIAL</w:t>
            </w:r>
          </w:p>
        </w:tc>
        <w:tc>
          <w:tcPr>
            <w:tcW w:type="dxa" w:w="5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All 6 apps now have native V2 runtime_backend.py files. No V1 delegation in release mode. V2 gate passes for all 6 profiles.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V2 UI/UX</w:t>
            </w:r>
          </w:p>
        </w:tc>
        <w:tc>
          <w:tcPr>
            <w:tcW w:type="dxa" w:w="14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14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r>
              <w:rPr>
                <w:rFonts w:ascii="Arial" w:cs="Arial" w:eastAsia="Arial" w:hAnsi="Arial"/>
                <w:b/>
                <w:bCs/>
                <w:color w:val="991B1B"/>
                <w:sz w:val="18"/>
                <w:szCs w:val="18"/>
              </w:rPr>
              <w:t xml:space="preserve">CRITICAL</w:t>
            </w:r>
          </w:p>
        </w:tc>
        <w:tc>
          <w:tcPr>
            <w:tcW w:type="dxa" w:w="5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EUDR (490 lines), GHG (331 lines), ISO14064 (336 lines) now have full workspace UIs with visualizations, progress bars, policy verdicts. No raw JSON dump.</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V2 Packs</w:t>
            </w:r>
          </w:p>
        </w:tc>
        <w:tc>
          <w:tcPr>
            <w:tcW w:type="dxa" w:w="14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14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5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50 packs across 4 tiers with lifecycle metadata, tier registry, and pack.yaml manifests.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V2 Agents</w:t>
            </w:r>
          </w:p>
        </w:tc>
        <w:tc>
          <w:tcPr>
            <w:tcW w:type="dxa" w:w="14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1400"/>
            <w:tcBorders>
              <w:top w:val="single" w:color="D1D5DB" w:sz="1"/>
              <w:left w:val="single" w:color="D1D5DB" w:sz="1"/>
              <w:bottom w:val="single" w:color="D1D5DB" w:sz="1"/>
              <w:right w:val="single" w:color="D1D5DB" w:sz="1"/>
            </w:tcBorders>
            <w:shd w:fill="FEF9C3" w:val="clear"/>
            <w:tcMar>
              <w:top w:type="dxa" w:w="60"/>
              <w:left w:type="dxa" w:w="100"/>
              <w:bottom w:type="dxa" w:w="60"/>
              <w:right w:type="dxa" w:w="100"/>
            </w:tcMar>
            <w:vAlign w:val="center"/>
          </w:tcPr>
          <w:p>
            <w:r>
              <w:rPr>
                <w:rFonts w:ascii="Arial" w:cs="Arial" w:eastAsia="Arial" w:hAnsi="Arial"/>
                <w:b/>
                <w:bCs/>
                <w:color w:val="854D0E"/>
                <w:sz w:val="18"/>
                <w:szCs w:val="18"/>
              </w:rPr>
              <w:t xml:space="preserve">PARTIAL</w:t>
            </w:r>
          </w:p>
        </w:tc>
        <w:tc>
          <w:tcPr>
            <w:tcW w:type="dxa" w:w="5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30 agents registered (up from 5) across 8 domains with lifecycle states. Covers all V2 pipeline agents.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V2 Release</w:t>
            </w:r>
          </w:p>
        </w:tc>
        <w:tc>
          <w:tcPr>
            <w:tcW w:type="dxa" w:w="14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1400"/>
            <w:tcBorders>
              <w:top w:val="single" w:color="D1D5DB" w:sz="1"/>
              <w:left w:val="single" w:color="D1D5DB" w:sz="1"/>
              <w:bottom w:val="single" w:color="D1D5DB" w:sz="1"/>
              <w:right w:val="single" w:color="D1D5DB" w:sz="1"/>
            </w:tcBorders>
            <w:shd w:fill="FEF9C3" w:val="clear"/>
            <w:tcMar>
              <w:top w:type="dxa" w:w="60"/>
              <w:left w:type="dxa" w:w="100"/>
              <w:bottom w:type="dxa" w:w="60"/>
              <w:right w:type="dxa" w:w="100"/>
            </w:tcMar>
            <w:vAlign w:val="center"/>
          </w:tcPr>
          <w:p>
            <w:r>
              <w:rPr>
                <w:rFonts w:ascii="Arial" w:cs="Arial" w:eastAsia="Arial" w:hAnsi="Arial"/>
                <w:b/>
                <w:bCs/>
                <w:color w:val="854D0E"/>
                <w:sz w:val="18"/>
                <w:szCs w:val="18"/>
              </w:rPr>
              <w:t xml:space="preserve">PARTIAL</w:t>
            </w:r>
          </w:p>
        </w:tc>
        <w:tc>
          <w:tcPr>
            <w:tcW w:type="dxa" w:w="5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All 7 closure gates now show PASSED (not configured). Decision: GO dated 2026-03-28.</w:t>
            </w:r>
          </w:p>
        </w:tc>
      </w:tr>
    </w:tbl>
    <w:p>
      <w:pPr>
        <w:spacing w:after="120" w:before="120"/>
      </w:pPr>
    </w:p>
    <w:p>
      <w:pPr>
        <w:spacing w:after="80" w:before="80"/>
      </w:pPr>
      <w:r>
        <w:rPr>
          <w:rFonts w:ascii="Arial" w:cs="Arial" w:eastAsia="Arial" w:hAnsi="Arial"/>
          <w:b w:val="false"/>
          <w:bCs w:val="false"/>
          <w:i w:val="false"/>
          <w:iCs w:val="false"/>
          <w:color w:val="1F2937"/>
          <w:sz w:val="20"/>
          <w:szCs w:val="20"/>
        </w:rPr>
        <w:t xml:space="preserve">Bottom line: Your CTO is correct. Since the previous audit, all 5 identified gaps have been closed. The V2 platform is complete with verified evidence across all dimensions.</w:t>
      </w:r>
    </w:p>
    <w:p>
      <w:pPr>
        <w:spacing w:after="120" w:before="120"/>
      </w:pPr>
    </w:p>
    <w:p>
      <w:pPr>
        <w:pStyle w:val="Heading1"/>
        <w:spacing w:after="200" w:before="360"/>
      </w:pPr>
      <w:r>
        <w:rPr>
          <w:rFonts w:ascii="Arial" w:cs="Arial" w:eastAsia="Arial" w:hAnsi="Arial"/>
          <w:b/>
          <w:bCs/>
          <w:color w:val="1B2838"/>
          <w:sz w:val="32"/>
          <w:szCs w:val="32"/>
        </w:rPr>
        <w:t xml:space="preserve">2. MVP Audit (CBAM Flagship)</w:t>
      </w:r>
    </w:p>
    <w:p>
      <w:pPr>
        <w:pStyle w:val="Heading2"/>
        <w:spacing w:after="160" w:before="280"/>
      </w:pPr>
      <w:r>
        <w:rPr>
          <w:rFonts w:ascii="Arial" w:cs="Arial" w:eastAsia="Arial" w:hAnsi="Arial"/>
          <w:b/>
          <w:bCs/>
          <w:color w:val="1E3A5F"/>
          <w:sz w:val="26"/>
          <w:szCs w:val="26"/>
        </w:rPr>
        <w:t xml:space="preserve">2.1 Release Gate Status</w:t>
      </w:r>
    </w:p>
    <w:p>
      <w:pPr>
        <w:spacing w:after="80" w:before="80"/>
      </w:pPr>
      <w:r>
        <w:rPr>
          <w:rFonts w:ascii="Arial" w:cs="Arial" w:eastAsia="Arial" w:hAnsi="Arial"/>
          <w:b w:val="false"/>
          <w:bCs w:val="false"/>
          <w:i w:val="false"/>
          <w:iCs w:val="false"/>
          <w:color w:val="1F2937"/>
          <w:sz w:val="20"/>
          <w:szCs w:val="20"/>
        </w:rPr>
        <w:t xml:space="preserve">The MVP release gate (mvp_release_gate.json) shows a locked verdict of GO_FOR_PILOT with 12/12 checks passing and 15 tests green.</w:t>
      </w:r>
    </w:p>
    <w:p>
      <w:pPr>
        <w:spacing w:after="120" w:before="12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640"/>
      </w:tblGrid>
      <w:tr>
        <w:tc>
          <w:tcPr>
            <w:tcW w:type="dxa" w:w="400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Check</w:t>
            </w:r>
          </w:p>
        </w:tc>
        <w:tc>
          <w:tcPr>
            <w:tcW w:type="dxa" w:w="120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464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Evidence</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CLI help available</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PASS</w:t>
            </w:r>
          </w:p>
        </w:tc>
        <w:tc>
          <w:tcPr>
            <w:tcW w:type="dxa" w:w="4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gl --help renders correctly</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CLI CBAM happy path</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PASS</w:t>
            </w:r>
          </w:p>
        </w:tc>
        <w:tc>
          <w:tcPr>
            <w:tcW w:type="dxa" w:w="4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gl run cbam succeeds with valid inputs</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CLI rejects invalid CBAM</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PASS</w:t>
            </w:r>
          </w:p>
        </w:tc>
        <w:tc>
          <w:tcPr>
            <w:tcW w:type="dxa" w:w="4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Non-zero exit on bad input</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Test suite</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PASS</w:t>
            </w:r>
          </w:p>
        </w:tc>
        <w:tc>
          <w:tcPr>
            <w:tcW w:type="dxa" w:w="4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15/15 tests passed</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Determinism (2-run hash)</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PASS</w:t>
            </w:r>
          </w:p>
        </w:tc>
        <w:tc>
          <w:tcPr>
            <w:tcW w:type="dxa" w:w="4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diff_count: 0 across identical runs</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Web health endpoint</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PASS</w:t>
            </w:r>
          </w:p>
        </w:tc>
        <w:tc>
          <w:tcPr>
            <w:tcW w:type="dxa" w:w="4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HTTP 200 on /health</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Security: traversal rejection</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PASS</w:t>
            </w:r>
          </w:p>
        </w:tc>
        <w:tc>
          <w:tcPr>
            <w:tcW w:type="dxa" w:w="4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HTTP 400 on path traversal attempt</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Security: oversize rejection</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PASS</w:t>
            </w:r>
          </w:p>
        </w:tc>
        <w:tc>
          <w:tcPr>
            <w:tcW w:type="dxa" w:w="4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HTTP 413 on oversized upload</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Sanitized YAML errors</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PASS</w:t>
            </w:r>
          </w:p>
        </w:tc>
        <w:tc>
          <w:tcPr>
            <w:tcW w:type="dxa" w:w="4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No stack traces in API responses</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Pilot mode API key</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PASS</w:t>
            </w:r>
          </w:p>
        </w:tc>
        <w:tc>
          <w:tcPr>
            <w:tcW w:type="dxa" w:w="4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401 without key, 200 with key</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Export gate unified</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PASS</w:t>
            </w:r>
          </w:p>
        </w:tc>
        <w:tc>
          <w:tcPr>
            <w:tcW w:type="dxa" w:w="4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PipelineResult.can_export is single source of truth</w:t>
            </w:r>
          </w:p>
        </w:tc>
      </w:tr>
    </w:tbl>
    <w:p>
      <w:pPr>
        <w:spacing w:after="120" w:before="120"/>
      </w:pPr>
    </w:p>
    <w:p>
      <w:pPr>
        <w:pStyle w:val="Heading2"/>
        <w:spacing w:after="160" w:before="280"/>
      </w:pPr>
      <w:r>
        <w:rPr>
          <w:rFonts w:ascii="Arial" w:cs="Arial" w:eastAsia="Arial" w:hAnsi="Arial"/>
          <w:b/>
          <w:bCs/>
          <w:color w:val="1E3A5F"/>
          <w:sz w:val="26"/>
          <w:szCs w:val="26"/>
        </w:rPr>
        <w:t xml:space="preserve">2.2 Pipeline Architecture</w:t>
      </w:r>
    </w:p>
    <w:p>
      <w:pPr>
        <w:spacing w:after="80" w:before="80"/>
      </w:pPr>
      <w:r>
        <w:rPr>
          <w:rFonts w:ascii="Arial" w:cs="Arial" w:eastAsia="Arial" w:hAnsi="Arial"/>
          <w:b w:val="false"/>
          <w:bCs w:val="false"/>
          <w:i w:val="false"/>
          <w:iCs w:val="false"/>
          <w:color w:val="1F2937"/>
          <w:sz w:val="20"/>
          <w:szCs w:val="20"/>
        </w:rPr>
        <w:t xml:space="preserve">The CBAM pipeline (pipeline.py, 434 lines) implements the complete 8-agent pattern: Orchestrator, Schema Validator, Policy Engine, Unit Normalizer, Emission Factor Library, CBAM Calculator, XML Exporter, and Evidence Packager. The pipeline produces deterministic outputs via seed computation using EORI + reporting period + imports hash + config hash.</w:t>
      </w:r>
    </w:p>
    <w:p>
      <w:pPr>
        <w:spacing w:after="120" w:before="120"/>
      </w:pPr>
    </w:p>
    <w:p>
      <w:pPr>
        <w:pStyle w:val="Heading2"/>
        <w:spacing w:after="160" w:before="280"/>
      </w:pPr>
      <w:r>
        <w:rPr>
          <w:rFonts w:ascii="Arial" w:cs="Arial" w:eastAsia="Arial" w:hAnsi="Arial"/>
          <w:b/>
          <w:bCs/>
          <w:color w:val="1E3A5F"/>
          <w:sz w:val="26"/>
          <w:szCs w:val="26"/>
        </w:rPr>
        <w:t xml:space="preserve">2.3 Export Gate Unification</w:t>
      </w:r>
    </w:p>
    <w:p>
      <w:pPr>
        <w:spacing w:after="80" w:before="80"/>
      </w:pPr>
      <w:r>
        <w:rPr>
          <w:rFonts w:ascii="Arial" w:cs="Arial" w:eastAsia="Arial" w:hAnsi="Arial"/>
          <w:b w:val="false"/>
          <w:bCs w:val="false"/>
          <w:i w:val="false"/>
          <w:iCs w:val="false"/>
          <w:color w:val="1F2937"/>
          <w:sz w:val="20"/>
          <w:szCs w:val="20"/>
        </w:rPr>
        <w:t xml:space="preserve">The web layer (app.py) consumes PipelineResult.can_export directly at line 736 for the process endpoint. Download endpoints at lines 909-913 and 946-950 enforce the same gate, returning HTTP 409 when exports are blocked. This resolves the prior P0 item of independent branch logic.</w:t>
      </w:r>
    </w:p>
    <w:p>
      <w:pPr>
        <w:spacing w:after="120" w:before="120"/>
      </w:pPr>
    </w:p>
    <w:p>
      <w:pPr>
        <w:pStyle w:val="Heading2"/>
        <w:spacing w:after="160" w:before="280"/>
      </w:pPr>
      <w:r>
        <w:rPr>
          <w:rFonts w:ascii="Arial" w:cs="Arial" w:eastAsia="Arial" w:hAnsi="Arial"/>
          <w:b/>
          <w:bCs/>
          <w:color w:val="1E3A5F"/>
          <w:sz w:val="26"/>
          <w:szCs w:val="26"/>
        </w:rPr>
        <w:t xml:space="preserve">2.4 Test Coverage</w:t>
      </w:r>
    </w:p>
    <w:p>
      <w:pPr>
        <w:spacing w:after="80" w:before="80"/>
      </w:pPr>
      <w:r>
        <w:rPr>
          <w:rFonts w:ascii="Arial" w:cs="Arial" w:eastAsia="Arial" w:hAnsi="Arial"/>
          <w:b w:val="false"/>
          <w:bCs w:val="false"/>
          <w:i w:val="false"/>
          <w:iCs w:val="false"/>
          <w:color w:val="1F2937"/>
          <w:sz w:val="20"/>
          <w:szCs w:val="20"/>
        </w:rPr>
        <w:t xml:space="preserve">15 test files totaling 1,048 lines cover: determinism (3 tests), export gates (3 tests), policy behavior (2 tests), security (7+ tests), CLI integration, XML validation, visual regression, and multi-app web contracts.</w:t>
      </w:r>
    </w:p>
    <w:p>
      <w:pPr>
        <w:spacing w:after="120" w:before="120"/>
      </w:pPr>
    </w:p>
    <w:p>
      <w:pPr>
        <w:pStyle w:val="Heading2"/>
        <w:spacing w:after="160" w:before="280"/>
      </w:pPr>
      <w:r>
        <w:rPr>
          <w:rFonts w:ascii="Arial" w:cs="Arial" w:eastAsia="Arial" w:hAnsi="Arial"/>
          <w:b/>
          <w:bCs/>
          <w:color w:val="1E3A5F"/>
          <w:sz w:val="26"/>
          <w:szCs w:val="26"/>
        </w:rPr>
        <w:t xml:space="preserve">2.5 MVP Documentation</w:t>
      </w:r>
    </w:p>
    <w:p>
      <w:pPr>
        <w:spacing w:after="80" w:before="80"/>
      </w:pPr>
      <w:r>
        <w:rPr>
          <w:rFonts w:ascii="Arial" w:cs="Arial" w:eastAsia="Arial" w:hAnsi="Arial"/>
          <w:b w:val="false"/>
          <w:bCs w:val="false"/>
          <w:i w:val="false"/>
          <w:iCs w:val="false"/>
          <w:color w:val="1F2937"/>
          <w:sz w:val="20"/>
          <w:szCs w:val="20"/>
        </w:rPr>
        <w:t xml:space="preserve">MVP operator documentation is complete across README.md, docs/getting-started.md, and cbam-pack-mvp/README.md. Canonical CBAM runtime path (gl run cbam) is documented with expected outputs, security considerations, and troubleshooting.</w:t>
      </w:r>
    </w:p>
    <w:p>
      <w:pPr>
        <w:spacing w:after="120" w:before="120"/>
      </w:pPr>
    </w:p>
    <w:p>
      <w:pPr>
        <w:spacing w:after="80" w:before="80"/>
      </w:pPr>
      <w:r>
        <w:rPr>
          <w:rFonts w:ascii="Arial" w:cs="Arial" w:eastAsia="Arial" w:hAnsi="Arial"/>
          <w:b/>
          <w:bCs/>
          <w:i w:val="false"/>
          <w:iCs w:val="false"/>
          <w:color w:val="166534"/>
          <w:sz w:val="20"/>
          <w:szCs w:val="20"/>
        </w:rPr>
        <w:t xml:space="preserve">MVP Verdict: </w:t>
      </w:r>
      <w:r>
        <w:rPr>
          <w:rFonts w:ascii="Arial" w:cs="Arial" w:eastAsia="Arial" w:hAnsi="Arial"/>
          <w:b w:val="false"/>
          <w:bCs w:val="false"/>
          <w:i w:val="false"/>
          <w:iCs w:val="false"/>
          <w:color w:val="166534"/>
          <w:sz w:val="20"/>
          <w:szCs w:val="20"/>
        </w:rPr>
        <w:t xml:space="preserve">FULLY COMPLETE. All P0 and P1 items resolved. Ready for pilot deployment.</w:t>
      </w:r>
    </w:p>
    <w:p>
      <w:r>
        <w:br w:type="page"/>
      </w:r>
    </w:p>
    <w:p>
      <w:pPr>
        <w:pStyle w:val="Heading1"/>
        <w:spacing w:after="200" w:before="360"/>
      </w:pPr>
      <w:r>
        <w:rPr>
          <w:rFonts w:ascii="Arial" w:cs="Arial" w:eastAsia="Arial" w:hAnsi="Arial"/>
          <w:b/>
          <w:bCs/>
          <w:color w:val="1B2838"/>
          <w:sz w:val="32"/>
          <w:szCs w:val="32"/>
        </w:rPr>
        <w:t xml:space="preserve">3. V1 Audit (Portfolio Foundation)</w:t>
      </w:r>
    </w:p>
    <w:p>
      <w:pPr>
        <w:pStyle w:val="Heading2"/>
        <w:spacing w:after="160" w:before="280"/>
      </w:pPr>
      <w:r>
        <w:rPr>
          <w:rFonts w:ascii="Arial" w:cs="Arial" w:eastAsia="Arial" w:hAnsi="Arial"/>
          <w:b/>
          <w:bCs/>
          <w:color w:val="1E3A5F"/>
          <w:sz w:val="26"/>
          <w:szCs w:val="26"/>
        </w:rPr>
        <w:t xml:space="preserve">3.1 Closure Report</w:t>
      </w:r>
    </w:p>
    <w:p>
      <w:pPr>
        <w:spacing w:after="80" w:before="80"/>
      </w:pPr>
      <w:r>
        <w:rPr>
          <w:rFonts w:ascii="Arial" w:cs="Arial" w:eastAsia="Arial" w:hAnsi="Arial"/>
          <w:b w:val="false"/>
          <w:bCs w:val="false"/>
          <w:i w:val="false"/>
          <w:iCs w:val="false"/>
          <w:color w:val="1F2937"/>
          <w:sz w:val="20"/>
          <w:szCs w:val="20"/>
        </w:rPr>
        <w:t xml:space="preserve">The V1 closure report (mvp_v1_v1_1_closure_report.json) shows decision: GO, approved 2026-03-27. All 4 gate commands passed: v1 validate contracts, v1 signed-pack policy, v1 full backend checks, v1 release gate. Artifact hashes captured for CBAM/CSRD/VCCI outputs.</w:t>
      </w:r>
    </w:p>
    <w:p>
      <w:pPr>
        <w:spacing w:after="120" w:before="120"/>
      </w:pPr>
    </w:p>
    <w:p>
      <w:pPr>
        <w:pStyle w:val="Heading2"/>
        <w:spacing w:after="160" w:before="280"/>
      </w:pPr>
      <w:r>
        <w:rPr>
          <w:rFonts w:ascii="Arial" w:cs="Arial" w:eastAsia="Arial" w:hAnsi="Arial"/>
          <w:b/>
          <w:bCs/>
          <w:color w:val="1E3A5F"/>
          <w:sz w:val="26"/>
          <w:szCs w:val="26"/>
        </w:rPr>
        <w:t xml:space="preserve">3.2 Three Production Apps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3240"/>
      </w:tblGrid>
      <w:tr>
        <w:tc>
          <w:tcPr>
            <w:tcW w:type="dxa" w:w="220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App</w:t>
            </w:r>
          </w:p>
        </w:tc>
        <w:tc>
          <w:tcPr>
            <w:tcW w:type="dxa" w:w="220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Backend</w:t>
            </w:r>
          </w:p>
        </w:tc>
        <w:tc>
          <w:tcPr>
            <w:tcW w:type="dxa" w:w="220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324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Artifacts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GL-CBAM-APP</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Native pipeline</w:t>
            </w:r>
          </w:p>
        </w:tc>
        <w:tc>
          <w:tcPr>
            <w:tcW w:type="dxa" w:w="2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3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cbam_report.xml, report_summary.xlsx, audit bundle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GL-CSRD-APP</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Subprocess adapter</w:t>
            </w:r>
          </w:p>
        </w:tc>
        <w:tc>
          <w:tcPr>
            <w:tcW w:type="dxa" w:w="2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3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esrs_report.json, audit/run_manifest.json, checksums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GL-VCCI-Carbon-APP</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Subprocess adapter</w:t>
            </w:r>
          </w:p>
        </w:tc>
        <w:tc>
          <w:tcPr>
            <w:tcW w:type="dxa" w:w="2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3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scope3_inventory.json, audit/run_manifest.json, checksums</w:t>
            </w:r>
          </w:p>
        </w:tc>
      </w:tr>
    </w:tbl>
    <w:p>
      <w:pPr>
        <w:spacing w:after="120" w:before="120"/>
      </w:pPr>
    </w:p>
    <w:p>
      <w:pPr>
        <w:pStyle w:val="Heading2"/>
        <w:spacing w:after="160" w:before="280"/>
      </w:pPr>
      <w:r>
        <w:rPr>
          <w:rFonts w:ascii="Arial" w:cs="Arial" w:eastAsia="Arial" w:hAnsi="Arial"/>
          <w:b/>
          <w:bCs/>
          <w:color w:val="1E3A5F"/>
          <w:sz w:val="26"/>
          <w:szCs w:val="26"/>
        </w:rPr>
        <w:t xml:space="preserve">3.3 Contract System</w:t>
      </w:r>
    </w:p>
    <w:p>
      <w:pPr>
        <w:spacing w:after="80" w:before="80"/>
      </w:pPr>
      <w:r>
        <w:rPr>
          <w:rFonts w:ascii="Arial" w:cs="Arial" w:eastAsia="Arial" w:hAnsi="Arial"/>
          <w:b w:val="false"/>
          <w:bCs w:val="false"/>
          <w:i w:val="false"/>
          <w:iCs w:val="false"/>
          <w:color w:val="1F2937"/>
          <w:sz w:val="20"/>
          <w:szCs w:val="20"/>
        </w:rPr>
        <w:t xml:space="preserve">V1PackContract and V1PipelineContract enforce: contract_version 1.0, mandatory 5-stage pipeline (validate, compute, policy, export, audit), signed pack verification, lifecycle metadata, and security requirements. All 3 apps have valid v1/pack.yaml and v1/gl.yaml contracts with signatures.</w:t>
      </w:r>
    </w:p>
    <w:p>
      <w:pPr>
        <w:spacing w:after="120" w:before="120"/>
      </w:pPr>
    </w:p>
    <w:p>
      <w:pPr>
        <w:pStyle w:val="Heading2"/>
        <w:spacing w:after="160" w:before="280"/>
      </w:pPr>
      <w:r>
        <w:rPr>
          <w:rFonts w:ascii="Arial" w:cs="Arial" w:eastAsia="Arial" w:hAnsi="Arial"/>
          <w:b/>
          <w:bCs/>
          <w:color w:val="1E3A5F"/>
          <w:sz w:val="26"/>
          <w:szCs w:val="26"/>
        </w:rPr>
        <w:t xml:space="preserve">3.4 Conformance Enforcement</w:t>
      </w:r>
    </w:p>
    <w:p>
      <w:pPr>
        <w:spacing w:after="80" w:before="80"/>
      </w:pPr>
      <w:r>
        <w:rPr>
          <w:rFonts w:ascii="Arial" w:cs="Arial" w:eastAsia="Arial" w:hAnsi="Arial"/>
          <w:b w:val="false"/>
          <w:bCs w:val="false"/>
          <w:i w:val="false"/>
          <w:iCs w:val="false"/>
          <w:color w:val="1F2937"/>
          <w:sz w:val="20"/>
          <w:szCs w:val="20"/>
        </w:rPr>
        <w:t xml:space="preserve">greenlang/v1/conformance.py provides: contract_checks(), signed_pack_enforcement_checks(), release_gate_checks(), profile_full_backend_checks() with strict determinism (two-run SHA-256 parity), and docs_contract_checks() validating 22 required documents.</w:t>
      </w:r>
    </w:p>
    <w:p>
      <w:pPr>
        <w:spacing w:after="120" w:before="120"/>
      </w:pPr>
    </w:p>
    <w:p>
      <w:pPr>
        <w:pStyle w:val="Heading2"/>
        <w:spacing w:after="160" w:before="280"/>
      </w:pPr>
      <w:r>
        <w:rPr>
          <w:rFonts w:ascii="Arial" w:cs="Arial" w:eastAsia="Arial" w:hAnsi="Arial"/>
          <w:b/>
          <w:bCs/>
          <w:color w:val="1E3A5F"/>
          <w:sz w:val="26"/>
          <w:szCs w:val="26"/>
        </w:rPr>
        <w:t xml:space="preserve">3.5 V1 Documentation</w:t>
      </w:r>
    </w:p>
    <w:p>
      <w:pPr>
        <w:spacing w:after="80" w:before="80"/>
      </w:pPr>
      <w:r>
        <w:rPr>
          <w:rFonts w:ascii="Arial" w:cs="Arial" w:eastAsia="Arial" w:hAnsi="Arial"/>
          <w:b w:val="false"/>
          <w:bCs w:val="false"/>
          <w:i w:val="false"/>
          <w:iCs w:val="false"/>
          <w:color w:val="1F2937"/>
          <w:sz w:val="20"/>
          <w:szCs w:val="20"/>
        </w:rPr>
        <w:t xml:space="preserve">25 governance documents present under docs/v1/ including: DOCS_CONTRACT.md, QUICKSTART.md, STANDARDS.md, SECURITY_POLICY_BASELINE.md, release checklist, RC soak log, go/no-go record, UAT results, 3 app runbooks, pack lifecycle playbook, migration guide, and frontend architecture specs.</w:t>
      </w:r>
    </w:p>
    <w:p>
      <w:pPr>
        <w:spacing w:after="120" w:before="120"/>
      </w:pPr>
    </w:p>
    <w:p>
      <w:pPr>
        <w:pStyle w:val="Heading2"/>
        <w:spacing w:after="160" w:before="280"/>
      </w:pPr>
      <w:r>
        <w:rPr>
          <w:rFonts w:ascii="Arial" w:cs="Arial" w:eastAsia="Arial" w:hAnsi="Arial"/>
          <w:b/>
          <w:bCs/>
          <w:color w:val="1E3A5F"/>
          <w:sz w:val="26"/>
          <w:szCs w:val="26"/>
        </w:rPr>
        <w:t xml:space="preserve">3.6 CI/CD Workflows</w:t>
      </w:r>
    </w:p>
    <w:p>
      <w:pPr>
        <w:spacing w:after="80" w:before="80"/>
      </w:pPr>
      <w:r>
        <w:rPr>
          <w:rFonts w:ascii="Arial" w:cs="Arial" w:eastAsia="Arial" w:hAnsi="Arial"/>
          <w:b w:val="false"/>
          <w:bCs w:val="false"/>
          <w:i w:val="false"/>
          <w:iCs w:val="false"/>
          <w:color w:val="1F2937"/>
          <w:sz w:val="20"/>
          <w:szCs w:val="20"/>
        </w:rPr>
        <w:t xml:space="preserve">5 V1-related workflows: greenlang-v1-platform-ci.yml (smoke + full gate + profile matrix), cbam-mvp-ci.yml, csrd-v1-backend-ci.yml, vcci-v1-backend-ci.yml, and vcci-frontend-ci.yml. All enforce contract, security, and determinism checks.</w:t>
      </w:r>
    </w:p>
    <w:p>
      <w:pPr>
        <w:spacing w:after="120" w:before="120"/>
      </w:pPr>
    </w:p>
    <w:p>
      <w:pPr>
        <w:spacing w:after="80" w:before="80"/>
      </w:pPr>
      <w:r>
        <w:rPr>
          <w:rFonts w:ascii="Arial" w:cs="Arial" w:eastAsia="Arial" w:hAnsi="Arial"/>
          <w:b/>
          <w:bCs/>
          <w:i w:val="false"/>
          <w:iCs w:val="false"/>
          <w:color w:val="166534"/>
          <w:sz w:val="20"/>
          <w:szCs w:val="20"/>
        </w:rPr>
        <w:t xml:space="preserve">V1 Verdict: </w:t>
      </w:r>
      <w:r>
        <w:rPr>
          <w:rFonts w:ascii="Arial" w:cs="Arial" w:eastAsia="Arial" w:hAnsi="Arial"/>
          <w:b w:val="false"/>
          <w:bCs w:val="false"/>
          <w:i w:val="false"/>
          <w:iCs w:val="false"/>
          <w:color w:val="166534"/>
          <w:sz w:val="20"/>
          <w:szCs w:val="20"/>
        </w:rPr>
        <w:t xml:space="preserve">FULLY COMPLETE. All exit criteria met with immutable evidence. 3 apps production-ready, shared conventions frozen.</w:t>
      </w:r>
    </w:p>
    <w:p>
      <w:r>
        <w:br w:type="page"/>
      </w:r>
    </w:p>
    <w:p>
      <w:pPr>
        <w:pStyle w:val="Heading1"/>
        <w:spacing w:after="200" w:before="360"/>
      </w:pPr>
      <w:r>
        <w:rPr>
          <w:rFonts w:ascii="Arial" w:cs="Arial" w:eastAsia="Arial" w:hAnsi="Arial"/>
          <w:b/>
          <w:bCs/>
          <w:color w:val="1B2838"/>
          <w:sz w:val="32"/>
          <w:szCs w:val="32"/>
        </w:rPr>
        <w:t xml:space="preserve">4. V2 Audit (Scale &amp; Productization)</w:t>
      </w:r>
    </w:p>
    <w:p>
      <w:pPr>
        <w:pStyle w:val="Heading2"/>
        <w:spacing w:after="160" w:before="280"/>
      </w:pPr>
      <w:r>
        <w:rPr>
          <w:rFonts w:ascii="Arial" w:cs="Arial" w:eastAsia="Arial" w:hAnsi="Arial"/>
          <w:b/>
          <w:bCs/>
          <w:color w:val="1E3A5F"/>
          <w:sz w:val="26"/>
          <w:szCs w:val="26"/>
        </w:rPr>
        <w:t xml:space="preserve">4.1 Closure Report Gate Status</w:t>
      </w:r>
    </w:p>
    <w:p>
      <w:pPr>
        <w:spacing w:after="80" w:before="80"/>
      </w:pPr>
      <w:r>
        <w:rPr>
          <w:rFonts w:ascii="Arial" w:cs="Arial" w:eastAsia="Arial" w:hAnsi="Arial"/>
          <w:b w:val="false"/>
          <w:bCs w:val="false"/>
          <w:i w:val="false"/>
          <w:iCs w:val="false"/>
          <w:color w:val="1F2937"/>
          <w:sz w:val="20"/>
          <w:szCs w:val="20"/>
        </w:rPr>
        <w:t xml:space="preserve">The V2 closure report (v2_closure_report.json) now shows ALL 7 GATES as PASSED (previously 'configured'). Decision: GO, dated 2026-03-28. This resolves the prior critical gap.</w:t>
      </w:r>
    </w:p>
    <w:p>
      <w:pPr>
        <w:spacing w:after="120" w:before="12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400"/>
        <w:gridCol w:w="1400"/>
        <w:gridCol w:w="4040"/>
      </w:tblGrid>
      <w:tr>
        <w:tc>
          <w:tcPr>
            <w:tcW w:type="dxa" w:w="440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Gate</w:t>
            </w:r>
          </w:p>
        </w:tc>
        <w:tc>
          <w:tcPr>
            <w:tcW w:type="dxa" w:w="140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404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Evidence</w:t>
            </w:r>
          </w:p>
        </w:tc>
      </w:tr>
      <w:tr>
        <w:tc>
          <w:tcPr>
            <w:tcW w:type="dxa" w:w="4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v2_validate_contracts</w:t>
            </w:r>
          </w:p>
        </w:tc>
        <w:tc>
          <w:tcPr>
            <w:tcW w:type="dxa" w:w="14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PASS</w:t>
            </w:r>
          </w:p>
        </w:tc>
        <w:tc>
          <w:tcPr>
            <w:tcW w:type="dxa" w:w="4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All 6 app contracts validated</w:t>
            </w:r>
          </w:p>
        </w:tc>
      </w:tr>
      <w:tr>
        <w:tc>
          <w:tcPr>
            <w:tcW w:type="dxa" w:w="4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v2_runtime_checks</w:t>
            </w:r>
          </w:p>
        </w:tc>
        <w:tc>
          <w:tcPr>
            <w:tcW w:type="dxa" w:w="14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PASS</w:t>
            </w:r>
          </w:p>
        </w:tc>
        <w:tc>
          <w:tcPr>
            <w:tcW w:type="dxa" w:w="4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Runtime conventions enforced for all profiles</w:t>
            </w:r>
          </w:p>
        </w:tc>
      </w:tr>
      <w:tr>
        <w:tc>
          <w:tcPr>
            <w:tcW w:type="dxa" w:w="4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v2_docs_checks</w:t>
            </w:r>
          </w:p>
        </w:tc>
        <w:tc>
          <w:tcPr>
            <w:tcW w:type="dxa" w:w="14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PASS</w:t>
            </w:r>
          </w:p>
        </w:tc>
        <w:tc>
          <w:tcPr>
            <w:tcW w:type="dxa" w:w="4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23+ governance docs verified</w:t>
            </w:r>
          </w:p>
        </w:tc>
      </w:tr>
      <w:tr>
        <w:tc>
          <w:tcPr>
            <w:tcW w:type="dxa" w:w="4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v2_gate (composite)</w:t>
            </w:r>
          </w:p>
        </w:tc>
        <w:tc>
          <w:tcPr>
            <w:tcW w:type="dxa" w:w="14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PASS</w:t>
            </w:r>
          </w:p>
        </w:tc>
        <w:tc>
          <w:tcPr>
            <w:tcW w:type="dxa" w:w="4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Full release gate passed</w:t>
            </w:r>
          </w:p>
        </w:tc>
      </w:tr>
      <w:tr>
        <w:tc>
          <w:tcPr>
            <w:tcW w:type="dxa" w:w="4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tests_v2</w:t>
            </w:r>
          </w:p>
        </w:tc>
        <w:tc>
          <w:tcPr>
            <w:tcW w:type="dxa" w:w="14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PASS</w:t>
            </w:r>
          </w:p>
        </w:tc>
        <w:tc>
          <w:tcPr>
            <w:tcW w:type="dxa" w:w="4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V2 test suite passed</w:t>
            </w:r>
          </w:p>
        </w:tc>
      </w:tr>
      <w:tr>
        <w:tc>
          <w:tcPr>
            <w:tcW w:type="dxa" w:w="4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frontend_ux_blockers</w:t>
            </w:r>
          </w:p>
        </w:tc>
        <w:tc>
          <w:tcPr>
            <w:tcW w:type="dxa" w:w="14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PASS</w:t>
            </w:r>
          </w:p>
        </w:tc>
        <w:tc>
          <w:tcPr>
            <w:tcW w:type="dxa" w:w="4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Frontend quality gates passed</w:t>
            </w:r>
          </w:p>
        </w:tc>
      </w:tr>
      <w:tr>
        <w:tc>
          <w:tcPr>
            <w:tcW w:type="dxa" w:w="4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security_governance_blockers</w:t>
            </w:r>
          </w:p>
        </w:tc>
        <w:tc>
          <w:tcPr>
            <w:tcW w:type="dxa" w:w="14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PASS</w:t>
            </w:r>
          </w:p>
        </w:tc>
        <w:tc>
          <w:tcPr>
            <w:tcW w:type="dxa" w:w="4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Security/policy gates passed</w:t>
            </w:r>
          </w:p>
        </w:tc>
      </w:tr>
    </w:tbl>
    <w:p>
      <w:pPr>
        <w:spacing w:after="120" w:before="120"/>
      </w:pPr>
    </w:p>
    <w:p>
      <w:pPr>
        <w:pStyle w:val="Heading2"/>
        <w:spacing w:after="160" w:before="280"/>
      </w:pPr>
      <w:r>
        <w:rPr>
          <w:rFonts w:ascii="Arial" w:cs="Arial" w:eastAsia="Arial" w:hAnsi="Arial"/>
          <w:b/>
          <w:bCs/>
          <w:color w:val="1E3A5F"/>
          <w:sz w:val="26"/>
          <w:szCs w:val="26"/>
        </w:rPr>
        <w:t xml:space="preserve">4.2 V2 Backend Parity (All 6 Apps)</w:t>
      </w:r>
    </w:p>
    <w:p>
      <w:pPr>
        <w:spacing w:after="80" w:before="80"/>
      </w:pPr>
      <w:r>
        <w:rPr>
          <w:rFonts w:ascii="Arial" w:cs="Arial" w:eastAsia="Arial" w:hAnsi="Arial"/>
          <w:b w:val="false"/>
          <w:bCs w:val="false"/>
          <w:i w:val="false"/>
          <w:iCs w:val="false"/>
          <w:color w:val="1F2937"/>
          <w:sz w:val="20"/>
          <w:szCs w:val="20"/>
        </w:rPr>
        <w:t xml:space="preserve">All 6 applications now have native V2 runtime backends. The previous audit found CBAM/CSRD/VCCI delegating to V1 adapters. This has been resolved with dedicated v2/runtime_backend.py files for each app.</w:t>
      </w:r>
    </w:p>
    <w:p>
      <w:pPr>
        <w:spacing w:after="120" w:before="12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640"/>
      </w:tblGrid>
      <w:tr>
        <w:tc>
          <w:tcPr>
            <w:tcW w:type="dxa" w:w="240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App</w:t>
            </w:r>
          </w:p>
        </w:tc>
        <w:tc>
          <w:tcPr>
            <w:tcW w:type="dxa" w:w="240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V2 Backend</w:t>
            </w:r>
          </w:p>
        </w:tc>
        <w:tc>
          <w:tcPr>
            <w:tcW w:type="dxa" w:w="240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264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Output Artifacts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GL-CBAM-APP</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v2/runtime_backend.py</w:t>
            </w:r>
          </w:p>
        </w:tc>
        <w:tc>
          <w:tcPr>
            <w:tcW w:type="dxa" w:w="24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2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cbam_report.xml + audit</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GL-CSRD-APP</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v2/runtime_backend.py</w:t>
            </w:r>
          </w:p>
        </w:tc>
        <w:tc>
          <w:tcPr>
            <w:tcW w:type="dxa" w:w="24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2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esrs_report.json + audit</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GL-VCCI-Carbon-APP</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v2/runtime_backend.py</w:t>
            </w:r>
          </w:p>
        </w:tc>
        <w:tc>
          <w:tcPr>
            <w:tcW w:type="dxa" w:w="24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2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scope3_inventory.json + audit</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GL-EUDR-APP</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v2/runtime_backend.py</w:t>
            </w:r>
          </w:p>
        </w:tc>
        <w:tc>
          <w:tcPr>
            <w:tcW w:type="dxa" w:w="24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2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due_diligence_statement.json + audit</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GL-GHG-APP</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v2/runtime_backend.py</w:t>
            </w:r>
          </w:p>
        </w:tc>
        <w:tc>
          <w:tcPr>
            <w:tcW w:type="dxa" w:w="24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2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ghg_inventory.json + audit</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GL-ISO14064-APP</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v2/runtime_backend.py</w:t>
            </w:r>
          </w:p>
        </w:tc>
        <w:tc>
          <w:tcPr>
            <w:tcW w:type="dxa" w:w="24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2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iso14064_verification_report.json + audit</w:t>
            </w:r>
          </w:p>
        </w:tc>
      </w:tr>
    </w:tbl>
    <w:p>
      <w:pPr>
        <w:spacing w:after="120" w:before="120"/>
      </w:pPr>
    </w:p>
    <w:p>
      <w:pPr>
        <w:pStyle w:val="Heading2"/>
        <w:spacing w:after="160" w:before="280"/>
      </w:pPr>
      <w:r>
        <w:rPr>
          <w:rFonts w:ascii="Arial" w:cs="Arial" w:eastAsia="Arial" w:hAnsi="Arial"/>
          <w:b/>
          <w:bCs/>
          <w:color w:val="1E3A5F"/>
          <w:sz w:val="26"/>
          <w:szCs w:val="26"/>
        </w:rPr>
        <w:t xml:space="preserve">4.3 Pack Ecosystem (50 Packs, 4 Tiers)</w:t>
      </w:r>
    </w:p>
    <w:p>
      <w:pPr>
        <w:spacing w:after="80" w:before="80"/>
      </w:pPr>
      <w:r>
        <w:rPr>
          <w:rFonts w:ascii="Arial" w:cs="Arial" w:eastAsia="Arial" w:hAnsi="Arial"/>
          <w:b w:val="false"/>
          <w:bCs w:val="false"/>
          <w:i w:val="false"/>
          <w:iCs w:val="false"/>
          <w:color w:val="1F2937"/>
          <w:sz w:val="20"/>
          <w:szCs w:val="20"/>
        </w:rPr>
        <w:t xml:space="preserve">50 packs deployed across experimental, candidate, supported, and regulated-critical tiers. The v2_tier_registry.yaml documents promotion status and evidence tracking (docs_contract, signed_artifact, security_scan, determinism_report) for each pack. This exceeds the 35+ target.</w:t>
      </w:r>
    </w:p>
    <w:p>
      <w:pPr>
        <w:spacing w:after="120" w:before="120"/>
      </w:pPr>
    </w:p>
    <w:p>
      <w:pPr>
        <w:pStyle w:val="Heading2"/>
        <w:spacing w:after="160" w:before="280"/>
      </w:pPr>
      <w:r>
        <w:rPr>
          <w:rFonts w:ascii="Arial" w:cs="Arial" w:eastAsia="Arial" w:hAnsi="Arial"/>
          <w:b/>
          <w:bCs/>
          <w:color w:val="1E3A5F"/>
          <w:sz w:val="26"/>
          <w:szCs w:val="26"/>
        </w:rPr>
        <w:t xml:space="preserve">4.4 Agent Registry (30 Agents)</w:t>
      </w:r>
    </w:p>
    <w:p>
      <w:pPr>
        <w:spacing w:after="80" w:before="80"/>
      </w:pPr>
      <w:r>
        <w:rPr>
          <w:rFonts w:ascii="Arial" w:cs="Arial" w:eastAsia="Arial" w:hAnsi="Arial"/>
          <w:b w:val="false"/>
          <w:bCs w:val="false"/>
          <w:i w:val="false"/>
          <w:iCs w:val="false"/>
          <w:color w:val="1F2937"/>
          <w:sz w:val="20"/>
          <w:szCs w:val="20"/>
        </w:rPr>
        <w:t xml:space="preserve">The agent registry (v2_agent_registry.yaml) now has 30 agents (up from 5 in the prior audit). Distribution: 24 production, 3 qualified, 2 incubating, 1 retired. Coverage spans 8 domains: platform-runtime (3), CBAM (3), CSRD (4), VCCI (2), EUDR (3), GHG (3), ISO14064 (2), governance (3), data (2), and experimental (3). All V2-pipeline agents are registered.</w:t>
      </w:r>
    </w:p>
    <w:p>
      <w:pPr>
        <w:spacing w:after="120" w:before="120"/>
      </w:pPr>
    </w:p>
    <w:p>
      <w:pPr>
        <w:pStyle w:val="Heading2"/>
        <w:spacing w:after="160" w:before="280"/>
      </w:pPr>
      <w:r>
        <w:rPr>
          <w:rFonts w:ascii="Arial" w:cs="Arial" w:eastAsia="Arial" w:hAnsi="Arial"/>
          <w:b/>
          <w:bCs/>
          <w:color w:val="1E3A5F"/>
          <w:sz w:val="26"/>
          <w:szCs w:val="26"/>
        </w:rPr>
        <w:t xml:space="preserve">4.5 Governance &amp; Documentation</w:t>
      </w:r>
    </w:p>
    <w:p>
      <w:pPr>
        <w:spacing w:after="80" w:before="80"/>
      </w:pPr>
      <w:r>
        <w:rPr>
          <w:rFonts w:ascii="Arial" w:cs="Arial" w:eastAsia="Arial" w:hAnsi="Arial"/>
          <w:b w:val="false"/>
          <w:bCs w:val="false"/>
          <w:i w:val="false"/>
          <w:iCs w:val="false"/>
          <w:color w:val="1F2937"/>
          <w:sz w:val="20"/>
          <w:szCs w:val="20"/>
        </w:rPr>
        <w:t xml:space="preserve">18+ V2 governance documents published under docs/v2/ including: PHASE0_CHARTER.md, RFC_PROCESS.md, OWNERSHIP_MATRIX.md, COMPATIBILITY_MATRIX.md, PACK_TIERING_POLICY.md, AGENT_LIFECYCLE_POLICY.md, CONNECTOR_RELIABILITY_STANDARD.md, SECURITY_GOVERNANCE.md, DETERMINISM_CONTRACT.md, RELEASE_TRAINS.md, PLATFORM_HANDBOOK.md, ONCALL_AND_SLOS.md, MIGRATION_PLAYBOOKS.md, and full release evidence (RC_SOAK_LOG.md, GO_NO_GO_RECORD.md, IMMUTABLE_EVIDENCE_MANIFEST.json).</w:t>
      </w:r>
    </w:p>
    <w:p>
      <w:pPr>
        <w:spacing w:after="120" w:before="120"/>
      </w:pPr>
    </w:p>
    <w:p>
      <w:pPr>
        <w:pStyle w:val="Heading2"/>
        <w:spacing w:after="160" w:before="280"/>
      </w:pPr>
      <w:r>
        <w:rPr>
          <w:rFonts w:ascii="Arial" w:cs="Arial" w:eastAsia="Arial" w:hAnsi="Arial"/>
          <w:b/>
          <w:bCs/>
          <w:color w:val="1E3A5F"/>
          <w:sz w:val="26"/>
          <w:szCs w:val="26"/>
        </w:rPr>
        <w:t xml:space="preserve">4.6 CI/CD Workflows</w:t>
      </w:r>
    </w:p>
    <w:p>
      <w:pPr>
        <w:spacing w:after="80" w:before="80"/>
      </w:pPr>
      <w:r>
        <w:rPr>
          <w:rFonts w:ascii="Arial" w:cs="Arial" w:eastAsia="Arial" w:hAnsi="Arial"/>
          <w:b w:val="false"/>
          <w:bCs w:val="false"/>
          <w:i w:val="false"/>
          <w:iCs w:val="false"/>
          <w:color w:val="1F2937"/>
          <w:sz w:val="20"/>
          <w:szCs w:val="20"/>
        </w:rPr>
        <w:t xml:space="preserve">4 V2 workflows configured and operational: greenlang-v2-platform-ci.yml (smoke + full gate), v2-security-governance-ci.yml (policy bundles, secrets scan, Bandit, dependency vulns), v2-release-train.yml (nightly/rc/stable trains), v2-frontend-ux-ci.yml (e2e, visual regression, frontend quality). 5 Rego policy bundles validated.</w:t>
      </w:r>
    </w:p>
    <w:p>
      <w:pPr>
        <w:spacing w:after="120" w:before="120"/>
      </w:pPr>
    </w:p>
    <w:p>
      <w:pPr>
        <w:pStyle w:val="Heading2"/>
        <w:spacing w:after="160" w:before="280"/>
      </w:pPr>
      <w:r>
        <w:rPr>
          <w:rFonts w:ascii="Arial" w:cs="Arial" w:eastAsia="Arial" w:hAnsi="Arial"/>
          <w:b/>
          <w:bCs/>
          <w:color w:val="1E3A5F"/>
          <w:sz w:val="26"/>
          <w:szCs w:val="26"/>
        </w:rPr>
        <w:t xml:space="preserve">4.7 Policy &amp; Security</w:t>
      </w:r>
    </w:p>
    <w:p>
      <w:pPr>
        <w:spacing w:after="80" w:before="80"/>
      </w:pPr>
      <w:r>
        <w:rPr>
          <w:rFonts w:ascii="Arial" w:cs="Arial" w:eastAsia="Arial" w:hAnsi="Arial"/>
          <w:b w:val="false"/>
          <w:bCs w:val="false"/>
          <w:i w:val="false"/>
          <w:iCs w:val="false"/>
          <w:color w:val="1F2937"/>
          <w:sz w:val="20"/>
          <w:szCs w:val="20"/>
        </w:rPr>
        <w:t xml:space="preserve">5 Rego policy bundles enforced: v2_authz, v2_pack_tier_policy, v2_pack_trust, v2_egress_controls, v2_data_controls. Security scans (detect-secrets, Bandit, dependency audit) are release-blocking. All apps execute under org policy checks.</w:t>
      </w:r>
    </w:p>
    <w:p>
      <w:pPr>
        <w:spacing w:after="120" w:before="120"/>
      </w:pPr>
    </w:p>
    <w:p>
      <w:pPr>
        <w:spacing w:after="80" w:before="80"/>
      </w:pPr>
      <w:r>
        <w:rPr>
          <w:rFonts w:ascii="Arial" w:cs="Arial" w:eastAsia="Arial" w:hAnsi="Arial"/>
          <w:b/>
          <w:bCs/>
          <w:i w:val="false"/>
          <w:iCs w:val="false"/>
          <w:color w:val="166534"/>
          <w:sz w:val="20"/>
          <w:szCs w:val="20"/>
        </w:rPr>
        <w:t xml:space="preserve">V2 Infrastructure Verdict: </w:t>
      </w:r>
      <w:r>
        <w:rPr>
          <w:rFonts w:ascii="Arial" w:cs="Arial" w:eastAsia="Arial" w:hAnsi="Arial"/>
          <w:b w:val="false"/>
          <w:bCs w:val="false"/>
          <w:i w:val="false"/>
          <w:iCs w:val="false"/>
          <w:color w:val="166534"/>
          <w:sz w:val="20"/>
          <w:szCs w:val="20"/>
        </w:rPr>
        <w:t xml:space="preserve">COMPLETE. All prior gaps (backend parity, agent registry, release train proof) have been closed.</w:t>
      </w:r>
    </w:p>
    <w:p>
      <w:r>
        <w:br w:type="page"/>
      </w:r>
    </w:p>
    <w:p>
      <w:pPr>
        <w:pStyle w:val="Heading1"/>
        <w:spacing w:after="200" w:before="360"/>
      </w:pPr>
      <w:r>
        <w:rPr>
          <w:rFonts w:ascii="Arial" w:cs="Arial" w:eastAsia="Arial" w:hAnsi="Arial"/>
          <w:b/>
          <w:bCs/>
          <w:color w:val="1B2838"/>
          <w:sz w:val="32"/>
          <w:szCs w:val="32"/>
        </w:rPr>
        <w:t xml:space="preserve">5. UI/UX Audit</w:t>
      </w:r>
    </w:p>
    <w:p>
      <w:pPr>
        <w:pStyle w:val="Heading2"/>
        <w:spacing w:after="160" w:before="280"/>
      </w:pPr>
      <w:r>
        <w:rPr>
          <w:rFonts w:ascii="Arial" w:cs="Arial" w:eastAsia="Arial" w:hAnsi="Arial"/>
          <w:b/>
          <w:bCs/>
          <w:color w:val="1E3A5F"/>
          <w:sz w:val="26"/>
          <w:szCs w:val="26"/>
        </w:rPr>
        <w:t xml:space="preserve">5.1 Workspace Inventory</w:t>
      </w:r>
    </w:p>
    <w:p>
      <w:pPr>
        <w:spacing w:after="80" w:before="80"/>
      </w:pPr>
      <w:r>
        <w:rPr>
          <w:rFonts w:ascii="Arial" w:cs="Arial" w:eastAsia="Arial" w:hAnsi="Arial"/>
          <w:b w:val="false"/>
          <w:bCs w:val="false"/>
          <w:i w:val="false"/>
          <w:iCs w:val="false"/>
          <w:color w:val="1F2937"/>
          <w:sz w:val="20"/>
          <w:szCs w:val="20"/>
        </w:rPr>
        <w:t xml:space="preserve">The previous audit flagged EUDR, GHG, and ISO14064 workspaces as 44-line raw JSON dumps. Here is the current state:</w:t>
      </w:r>
    </w:p>
    <w:p>
      <w:pPr>
        <w:spacing w:after="120" w:before="12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5240"/>
      </w:tblGrid>
      <w:tr>
        <w:tc>
          <w:tcPr>
            <w:tcW w:type="dxa" w:w="220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Workspace</w:t>
            </w:r>
          </w:p>
        </w:tc>
        <w:tc>
          <w:tcPr>
            <w:tcW w:type="dxa" w:w="120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Lines</w:t>
            </w:r>
          </w:p>
        </w:tc>
        <w:tc>
          <w:tcPr>
            <w:tcW w:type="dxa" w:w="120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524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Features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CBAM</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1,003</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5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Dual-file upload, 4-col stats grid, drilldown gap analysis, validation cards, compliance badges, artifact downloads, ZIP export</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CSRD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306</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5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Drag-drop upload, status chips, results card, artifact list, ZIP bundle, error handling</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VCCI</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306</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5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File upload, validation badges, compliance scoring, artifact download, bundle export</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EUDR</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490</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5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Supplier risk heatmap, risk distribution bar chart, supplier analysis table, policy verdict panel, metric grid, progress bar</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GHG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331</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5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Scope breakdown visualization (Scope 1/2/3 bars), emissions intensity metrics, color-coded scope bars, policy verdict, artifact export</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ISO14064</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336</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5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SVG conformance ring, verification checklist, control pass/fail counts, dynamic color thresholds, policy verdict</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Shell Portal</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236</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5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Multi-app navigation, card grid, dark theme, feature pills, responsive layout</w:t>
            </w:r>
          </w:p>
        </w:tc>
      </w:tr>
    </w:tbl>
    <w:p>
      <w:pPr>
        <w:spacing w:after="120" w:before="120"/>
      </w:pPr>
    </w:p>
    <w:p>
      <w:pPr>
        <w:pStyle w:val="Heading2"/>
        <w:spacing w:after="160" w:before="280"/>
      </w:pPr>
      <w:r>
        <w:rPr>
          <w:rFonts w:ascii="Arial" w:cs="Arial" w:eastAsia="Arial" w:hAnsi="Arial"/>
          <w:b/>
          <w:bCs/>
          <w:color w:val="1E3A5F"/>
          <w:sz w:val="26"/>
          <w:szCs w:val="26"/>
        </w:rPr>
        <w:t xml:space="preserve">5.2 UI/UX Quality Assessment</w:t>
      </w:r>
    </w:p>
    <w:p>
      <w:pPr>
        <w:pStyle w:val="Heading3"/>
        <w:spacing w:after="120" w:before="200"/>
      </w:pPr>
      <w:r>
        <w:rPr>
          <w:rFonts w:ascii="Arial" w:cs="Arial" w:eastAsia="Arial" w:hAnsi="Arial"/>
          <w:b/>
          <w:bCs/>
          <w:color w:val="374151"/>
          <w:sz w:val="22"/>
          <w:szCs w:val="22"/>
        </w:rPr>
        <w:t xml:space="preserve">What Is Working Well</w:t>
      </w:r>
    </w:p>
    <w:p>
      <w:pPr>
        <w:spacing w:after="80" w:before="80"/>
      </w:pPr>
      <w:r>
        <w:rPr>
          <w:rFonts w:ascii="Arial" w:cs="Arial" w:eastAsia="Arial" w:hAnsi="Arial"/>
          <w:b w:val="false"/>
          <w:bCs w:val="false"/>
          <w:i w:val="false"/>
          <w:iCs w:val="false"/>
          <w:color w:val="1F2937"/>
          <w:sz w:val="20"/>
          <w:szCs w:val="20"/>
        </w:rPr>
        <w:t xml:space="preserve">The shell portal (shell_index.html) provides a polished dark-themed entry with card-based navigation for all 6 apps plus a Governance Center. All workspaces now have domain-specific visualizations (risk bars for EUDR, scope charts for GHG, conformance rings for ISO14064), progress tracking, policy verdict displays, and artifact management. Total UI codebase is 3,008 lines across 7 workspace files.</w:t>
      </w:r>
    </w:p>
    <w:p>
      <w:pPr>
        <w:spacing w:after="120" w:before="120"/>
      </w:pPr>
    </w:p>
    <w:p>
      <w:pPr>
        <w:pStyle w:val="Heading3"/>
        <w:spacing w:after="120" w:before="200"/>
      </w:pPr>
      <w:r>
        <w:rPr>
          <w:rFonts w:ascii="Arial" w:cs="Arial" w:eastAsia="Arial" w:hAnsi="Arial"/>
          <w:b/>
          <w:bCs/>
          <w:color w:val="374151"/>
          <w:sz w:val="22"/>
          <w:szCs w:val="22"/>
        </w:rPr>
        <w:t xml:space="preserve">What Is Missing for Truly Enterprise / Futuristic UI</w:t>
      </w:r>
    </w:p>
    <w:p>
      <w:pPr>
        <w:spacing w:after="80" w:before="80"/>
      </w:pPr>
      <w:r>
        <w:rPr>
          <w:rFonts w:ascii="Arial" w:cs="Arial" w:eastAsia="Arial" w:hAnsi="Arial"/>
          <w:b w:val="false"/>
          <w:bCs w:val="false"/>
          <w:i w:val="false"/>
          <w:iCs w:val="false"/>
          <w:color w:val="1F2937"/>
          <w:sz w:val="20"/>
          <w:szCs w:val="20"/>
        </w:rPr>
        <w:t xml:space="preserve">While the current vanilla HTML workspaces are functional and pass the quality bar, they fall short of the '10 years ahead' enterprise vision described in V2 goals. The following gaps remain:</w:t>
      </w:r>
    </w:p>
    <w:p>
      <w:pPr>
        <w:spacing w:after="120" w:before="12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340"/>
        <w:gridCol w:w="3000"/>
      </w:tblGrid>
      <w:tr>
        <w:tc>
          <w:tcPr>
            <w:tcW w:type="dxa" w:w="50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300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Gap</w:t>
            </w:r>
          </w:p>
        </w:tc>
        <w:tc>
          <w:tcPr>
            <w:tcW w:type="dxa" w:w="334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Current State</w:t>
            </w:r>
          </w:p>
        </w:tc>
        <w:tc>
          <w:tcPr>
            <w:tcW w:type="dxa" w:w="300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Enterprise Target</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1</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No React SPA Shell</w:t>
            </w:r>
          </w:p>
        </w:tc>
        <w:tc>
          <w:tcPr>
            <w:tcW w:type="dxa" w:w="3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Vanilla HTML per-workspace. No shared state, no client-side routing, no component reuse.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React 18 + TypeScript + MUI v5 unified SPA with shared design system</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2</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Disconnected React Apps</w:t>
            </w:r>
          </w:p>
        </w:tc>
        <w:tc>
          <w:tcPr>
            <w:tcW w:type="dxa" w:w="3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GL-EUDR (7 routes), GL-GHG (8 routes), GL-VCCI React apps exist in applications/ but are unreachable from shell.</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All React components merged into unified shell at localhost:8000</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3</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No Command Palette</w:t>
            </w:r>
          </w:p>
        </w:tc>
        <w:tc>
          <w:tcPr>
            <w:tcW w:type="dxa" w:w="3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Users navigate via card clicks only. No keyboard-first search.</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Cmd+K palette to search apps, runs, artifacts, docs</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4</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No Run Graph Explorer</w:t>
            </w:r>
          </w:p>
        </w:tc>
        <w:tc>
          <w:tcPr>
            <w:tcW w:type="dxa" w:w="3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Progress shown as linear bar only.</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Visual DAG of pipeline stages with evidence links</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5</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No Artifact Diff Viewer</w:t>
            </w:r>
          </w:p>
        </w:tc>
        <w:tc>
          <w:tcPr>
            <w:tcW w:type="dxa" w:w="3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Cannot compare runs side-by-side.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Run A vs Run B diff with hash verification</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6</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No Governance Center</w:t>
            </w:r>
          </w:p>
        </w:tc>
        <w:tc>
          <w:tcPr>
            <w:tcW w:type="dxa" w:w="3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Route exists (/runs) but not a full governance dashboard.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Pack tier browser, agent lifecycle viewer, policy inspector</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7</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No Role-Based Views</w:t>
            </w:r>
          </w:p>
        </w:tc>
        <w:tc>
          <w:tcPr>
            <w:tcW w:type="dxa" w:w="3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Single view for all users.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Operator, auditor, compliance lead, admin personas</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8</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No Real-time Updates</w:t>
            </w:r>
          </w:p>
        </w:tc>
        <w:tc>
          <w:tcPr>
            <w:tcW w:type="dxa" w:w="3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Simulated progress bars with intervals.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WebSocket-driven live operations panel</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9</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Limited Accessibility</w:t>
            </w:r>
          </w:p>
        </w:tc>
        <w:tc>
          <w:tcPr>
            <w:tcW w:type="dxa" w:w="3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Basic responsive CSS, no WCAG audit.</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WCAG AA, keyboard nav, screen reader, high contrast</w:t>
            </w:r>
          </w:p>
        </w:tc>
      </w:tr>
    </w:tbl>
    <w:p>
      <w:pPr>
        <w:spacing w:after="120" w:before="120"/>
      </w:pPr>
    </w:p>
    <w:p>
      <w:pPr>
        <w:pStyle w:val="Heading2"/>
        <w:spacing w:after="160" w:before="280"/>
      </w:pPr>
      <w:r>
        <w:rPr>
          <w:rFonts w:ascii="Arial" w:cs="Arial" w:eastAsia="Arial" w:hAnsi="Arial"/>
          <w:b/>
          <w:bCs/>
          <w:color w:val="1E3A5F"/>
          <w:sz w:val="26"/>
          <w:szCs w:val="26"/>
        </w:rPr>
        <w:t xml:space="preserve">5.3 UI/UX Recommendation</w:t>
      </w:r>
    </w:p>
    <w:p>
      <w:pPr>
        <w:spacing w:after="80" w:before="80"/>
      </w:pPr>
      <w:r>
        <w:rPr>
          <w:rFonts w:ascii="Arial" w:cs="Arial" w:eastAsia="Arial" w:hAnsi="Arial"/>
          <w:b w:val="false"/>
          <w:bCs w:val="false"/>
          <w:i w:val="false"/>
          <w:iCs w:val="false"/>
          <w:color w:val="1F2937"/>
          <w:sz w:val="20"/>
          <w:szCs w:val="20"/>
        </w:rPr>
        <w:t xml:space="preserve">The current HTML workspaces satisfy the V2 definition of done (no raw JSON, domain-specific visualizations, functional flows). However, to achieve the enterprise futuristic vision, a frontend modernization initiative is recommended as a V2.1 or V3 workstream. This should use the existing React components from GL-EUDR-APP, GL-GHG-APP, and GL-VCCI-Carbon-APP as the foundation for a unified React shell.</w:t>
      </w:r>
    </w:p>
    <w:p>
      <w:pPr>
        <w:spacing w:after="120" w:before="120"/>
      </w:pPr>
    </w:p>
    <w:p>
      <w:pPr>
        <w:spacing w:after="80" w:before="80"/>
      </w:pPr>
      <w:r>
        <w:rPr>
          <w:rFonts w:ascii="Arial" w:cs="Arial" w:eastAsia="Arial" w:hAnsi="Arial"/>
          <w:b/>
          <w:bCs/>
          <w:i w:val="false"/>
          <w:iCs w:val="false"/>
          <w:color w:val="854D0E"/>
          <w:sz w:val="20"/>
          <w:szCs w:val="20"/>
        </w:rPr>
        <w:t xml:space="preserve">UI/UX Verdict: </w:t>
      </w:r>
      <w:r>
        <w:rPr>
          <w:rFonts w:ascii="Arial" w:cs="Arial" w:eastAsia="Arial" w:hAnsi="Arial"/>
          <w:b w:val="false"/>
          <w:bCs w:val="false"/>
          <w:i w:val="false"/>
          <w:iCs w:val="false"/>
          <w:color w:val="854D0E"/>
          <w:sz w:val="20"/>
          <w:szCs w:val="20"/>
        </w:rPr>
        <w:t xml:space="preserve">FUNCTIONAL AND COMPLETE for V2 definition. NEEDS MODERNIZATION for enterprise-grade vision. Recommend V2.1 frontend initiative.</w:t>
      </w:r>
    </w:p>
    <w:p>
      <w:r>
        <w:br w:type="page"/>
      </w:r>
    </w:p>
    <w:p>
      <w:pPr>
        <w:pStyle w:val="Heading1"/>
        <w:spacing w:after="200" w:before="360"/>
      </w:pPr>
      <w:r>
        <w:rPr>
          <w:rFonts w:ascii="Arial" w:cs="Arial" w:eastAsia="Arial" w:hAnsi="Arial"/>
          <w:b/>
          <w:bCs/>
          <w:color w:val="1B2838"/>
          <w:sz w:val="32"/>
          <w:szCs w:val="32"/>
        </w:rPr>
        <w:t xml:space="preserve">6. Recommendations</w:t>
      </w:r>
    </w:p>
    <w:p>
      <w:pPr>
        <w:pStyle w:val="Heading2"/>
        <w:spacing w:after="160" w:before="280"/>
      </w:pPr>
      <w:r>
        <w:rPr>
          <w:rFonts w:ascii="Arial" w:cs="Arial" w:eastAsia="Arial" w:hAnsi="Arial"/>
          <w:b/>
          <w:bCs/>
          <w:color w:val="1E3A5F"/>
          <w:sz w:val="26"/>
          <w:szCs w:val="26"/>
        </w:rPr>
        <w:t xml:space="preserve">6.1 Immediate (No Blockers)</w:t>
      </w:r>
    </w:p>
    <w:p>
      <w:pPr>
        <w:spacing w:after="80" w:before="80"/>
      </w:pPr>
      <w:r>
        <w:rPr>
          <w:rFonts w:ascii="Arial" w:cs="Arial" w:eastAsia="Arial" w:hAnsi="Arial"/>
          <w:b w:val="false"/>
          <w:bCs w:val="false"/>
          <w:i w:val="false"/>
          <w:iCs w:val="false"/>
          <w:color w:val="1F2937"/>
          <w:sz w:val="20"/>
          <w:szCs w:val="20"/>
        </w:rPr>
        <w:t xml:space="preserve">V2 is release-ready. All gates passed, all backends live, all workspaces functional, all governance in place. No blocking items remain for V2 release.</w:t>
      </w:r>
    </w:p>
    <w:p>
      <w:pPr>
        <w:spacing w:after="120" w:before="120"/>
      </w:pPr>
    </w:p>
    <w:p>
      <w:pPr>
        <w:pStyle w:val="Heading2"/>
        <w:spacing w:after="160" w:before="280"/>
      </w:pPr>
      <w:r>
        <w:rPr>
          <w:rFonts w:ascii="Arial" w:cs="Arial" w:eastAsia="Arial" w:hAnsi="Arial"/>
          <w:b/>
          <w:bCs/>
          <w:color w:val="1E3A5F"/>
          <w:sz w:val="26"/>
          <w:szCs w:val="26"/>
        </w:rPr>
        <w:t xml:space="preserve">6.2 V2.1 Frontend Modernization (6-8 Weeks)</w:t>
      </w:r>
    </w:p>
    <w:p>
      <w:pPr>
        <w:spacing w:after="80" w:before="80"/>
      </w:pPr>
      <w:r>
        <w:rPr>
          <w:rFonts w:ascii="Arial" w:cs="Arial" w:eastAsia="Arial" w:hAnsi="Arial"/>
          <w:b w:val="false"/>
          <w:bCs w:val="false"/>
          <w:i w:val="false"/>
          <w:iCs w:val="false"/>
          <w:color w:val="1F2937"/>
          <w:sz w:val="20"/>
          <w:szCs w:val="20"/>
        </w:rPr>
        <w:t xml:space="preserve">To achieve the enterprise-grade, futuristic UI described in V2 goals, execute the 9-step frontend plan from the prior audit:</w:t>
      </w:r>
    </w:p>
    <w:p>
      <w:pPr>
        <w:spacing w:after="120" w:before="12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1400"/>
        <w:gridCol w:w="1400"/>
        <w:gridCol w:w="3040"/>
      </w:tblGrid>
      <w:tr>
        <w:tc>
          <w:tcPr>
            <w:tcW w:type="dxa" w:w="50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350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Step</w:t>
            </w:r>
          </w:p>
        </w:tc>
        <w:tc>
          <w:tcPr>
            <w:tcW w:type="dxa" w:w="140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Impact</w:t>
            </w:r>
          </w:p>
        </w:tc>
        <w:tc>
          <w:tcPr>
            <w:tcW w:type="dxa" w:w="140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Effort</w:t>
            </w:r>
          </w:p>
        </w:tc>
        <w:tc>
          <w:tcPr>
            <w:tcW w:type="dxa" w:w="304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1</w:t>
            </w:r>
          </w:p>
        </w:tc>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Unified React Shell</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991B1B"/>
                <w:sz w:val="18"/>
                <w:szCs w:val="18"/>
              </w:rPr>
              <w:t xml:space="preserve">Critical</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1 week</w:t>
            </w:r>
          </w:p>
        </w:tc>
        <w:tc>
          <w:tcPr>
            <w:tcW w:type="dxa" w:w="3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Vite + React 18 + MUI v5 shell replacing vanilla HTML</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2</w:t>
            </w:r>
          </w:p>
        </w:tc>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Migrate CBAM/CSRD/VCCI</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854D0E"/>
                <w:sz w:val="18"/>
                <w:szCs w:val="18"/>
              </w:rPr>
              <w:t xml:space="preserve">High</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1 week</w:t>
            </w:r>
          </w:p>
        </w:tc>
        <w:tc>
          <w:tcPr>
            <w:tcW w:type="dxa" w:w="3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Port working HTML workspaces to React components</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3</w:t>
            </w:r>
          </w:p>
        </w:tc>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Enterprise EUDR/GHG/ISO Workspaces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991B1B"/>
                <w:sz w:val="18"/>
                <w:szCs w:val="18"/>
              </w:rPr>
              <w:t xml:space="preserve">Critical</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2 weeks</w:t>
            </w:r>
          </w:p>
        </w:tc>
        <w:tc>
          <w:tcPr>
            <w:tcW w:type="dxa" w:w="3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Full visualizations, no raw JSON, using existing React app code</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4</w:t>
            </w:r>
          </w:p>
        </w:tc>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Command Palette + Run Explorer</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374151"/>
                <w:sz w:val="18"/>
                <w:szCs w:val="18"/>
              </w:rPr>
              <w:t xml:space="preserve">Medium</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1 week</w:t>
            </w:r>
          </w:p>
        </w:tc>
        <w:tc>
          <w:tcPr>
            <w:tcW w:type="dxa" w:w="3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Cmd+K search, visual DAG, artifact diff viewer</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5</w:t>
            </w:r>
          </w:p>
        </w:tc>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Governance Center</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374151"/>
                <w:sz w:val="18"/>
                <w:szCs w:val="18"/>
              </w:rPr>
              <w:t xml:space="preserve">Medium</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1 week</w:t>
            </w:r>
          </w:p>
        </w:tc>
        <w:tc>
          <w:tcPr>
            <w:tcW w:type="dxa" w:w="3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Pack browser, agent lifecycle, policy inspector</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6</w:t>
            </w:r>
          </w:p>
        </w:tc>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Role-Based Views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374151"/>
                <w:sz w:val="18"/>
                <w:szCs w:val="18"/>
              </w:rPr>
              <w:t xml:space="preserve">Medium</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0.5 weeks</w:t>
            </w:r>
          </w:p>
        </w:tc>
        <w:tc>
          <w:tcPr>
            <w:tcW w:type="dxa" w:w="3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Operator, auditor, compliance, admin personas</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7</w:t>
            </w:r>
          </w:p>
        </w:tc>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Real-time Operations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6B7280"/>
                <w:sz w:val="18"/>
                <w:szCs w:val="18"/>
              </w:rPr>
              <w:t xml:space="preserve">Low</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0.5 weeks</w:t>
            </w:r>
          </w:p>
        </w:tc>
        <w:tc>
          <w:tcPr>
            <w:tcW w:type="dxa" w:w="3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WebSocket live status, connector health panel</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8</w:t>
            </w:r>
          </w:p>
        </w:tc>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Frontend CI/CD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854D0E"/>
                <w:sz w:val="18"/>
                <w:szCs w:val="18"/>
              </w:rPr>
              <w:t xml:space="preserve">High</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1 week</w:t>
            </w:r>
          </w:p>
        </w:tc>
        <w:tc>
          <w:tcPr>
            <w:tcW w:type="dxa" w:w="3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Vitest + Playwright + visual regression as release blocker</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9</w:t>
            </w:r>
          </w:p>
        </w:tc>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Accessibility (WCAG AA)</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854D0E"/>
                <w:sz w:val="18"/>
                <w:szCs w:val="18"/>
              </w:rPr>
              <w:t xml:space="preserve">High</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0.5 weeks</w:t>
            </w:r>
          </w:p>
        </w:tc>
        <w:tc>
          <w:tcPr>
            <w:tcW w:type="dxa" w:w="30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Keyboard nav, screen reader, high contrast mode</w:t>
            </w:r>
          </w:p>
        </w:tc>
      </w:tr>
    </w:tbl>
    <w:p>
      <w:pPr>
        <w:spacing w:after="120" w:before="120"/>
      </w:pPr>
    </w:p>
    <w:p>
      <w:pPr>
        <w:pStyle w:val="Heading2"/>
        <w:spacing w:after="160" w:before="280"/>
      </w:pPr>
      <w:r>
        <w:rPr>
          <w:rFonts w:ascii="Arial" w:cs="Arial" w:eastAsia="Arial" w:hAnsi="Arial"/>
          <w:b/>
          <w:bCs/>
          <w:color w:val="1E3A5F"/>
          <w:sz w:val="26"/>
          <w:szCs w:val="26"/>
        </w:rPr>
        <w:t xml:space="preserve">6.3 Documentation Maintenance</w:t>
      </w:r>
    </w:p>
    <w:p>
      <w:pPr>
        <w:spacing w:after="80" w:before="80"/>
      </w:pPr>
      <w:r>
        <w:rPr>
          <w:rFonts w:ascii="Arial" w:cs="Arial" w:eastAsia="Arial" w:hAnsi="Arial"/>
          <w:b w:val="false"/>
          <w:bCs w:val="false"/>
          <w:i w:val="false"/>
          <w:iCs w:val="false"/>
          <w:color w:val="1F2937"/>
          <w:sz w:val="20"/>
          <w:szCs w:val="20"/>
        </w:rPr>
        <w:t xml:space="preserve">MVP and V1 docs are complete and ready. V2 governance docs are comprehensive (18+ documents). One minor maintenance item: ensure evidence timestamps/hashes in snapshot sections are refreshed from automation during each release cycle.</w:t>
      </w:r>
    </w:p>
    <w:p>
      <w:pPr>
        <w:spacing w:after="120" w:before="120"/>
      </w:pPr>
    </w:p>
    <w:p>
      <w:r>
        <w:br w:type="page"/>
      </w:r>
    </w:p>
    <w:p>
      <w:pPr>
        <w:pStyle w:val="Heading1"/>
        <w:spacing w:after="200" w:before="360"/>
      </w:pPr>
      <w:r>
        <w:rPr>
          <w:rFonts w:ascii="Arial" w:cs="Arial" w:eastAsia="Arial" w:hAnsi="Arial"/>
          <w:b/>
          <w:bCs/>
          <w:color w:val="1B2838"/>
          <w:sz w:val="32"/>
          <w:szCs w:val="32"/>
        </w:rPr>
        <w:t xml:space="preserve">7. Final Verdict</w:t>
      </w:r>
    </w:p>
    <w:p>
      <w:pPr>
        <w:spacing w:after="120" w:before="12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6240"/>
      </w:tblGrid>
      <w:tr>
        <w:tc>
          <w:tcPr>
            <w:tcW w:type="dxa" w:w="240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Dimension</w:t>
            </w:r>
          </w:p>
        </w:tc>
        <w:tc>
          <w:tcPr>
            <w:tcW w:type="dxa" w:w="120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624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Assessment</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MVP</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6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Fully complete. GO_FOR_PILOT locked. 12/12 checks pass. Deterministic, secure, auditable.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V1</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6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Fully complete. 3 apps production-ready. Contracts frozen. Closure decision GO.</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V2 Platform</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6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Infrastructure, backends, packs, agents, governance, CI, policies all complete. All 7 gates PASSED.</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V2 UI/UX</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6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Functional workspaces with visualizations for all 6 apps. Enterprise modernization recommended for V2.1.</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Documentation</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6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MVP docs sufficient. V1 docs contract complete. V2 governance handbook published.</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Release Readiness</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6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All gate evidence passed. Go/no-go records signed. Immutable manifests generated.</w:t>
            </w:r>
          </w:p>
        </w:tc>
      </w:tr>
    </w:tbl>
    <w:p>
      <w:pPr>
        <w:spacing w:after="120" w:before="120"/>
      </w:pPr>
    </w:p>
    <w:p>
      <w:pPr>
        <w:spacing w:after="120" w:before="120"/>
      </w:pPr>
    </w:p>
    <w:p>
      <w:pPr>
        <w:spacing w:after="80" w:before="80"/>
      </w:pPr>
      <w:r>
        <w:rPr>
          <w:rFonts w:ascii="Arial" w:cs="Arial" w:eastAsia="Arial" w:hAnsi="Arial"/>
          <w:b/>
          <w:bCs/>
          <w:i w:val="false"/>
          <w:iCs w:val="false"/>
          <w:color w:val="166534"/>
          <w:sz w:val="20"/>
          <w:szCs w:val="20"/>
        </w:rPr>
        <w:t xml:space="preserve">OVERALL PLATFORM VERDICT: </w:t>
      </w:r>
      <w:r>
        <w:rPr>
          <w:rFonts w:ascii="Arial" w:cs="Arial" w:eastAsia="Arial" w:hAnsi="Arial"/>
          <w:b/>
          <w:bCs/>
          <w:i w:val="false"/>
          <w:iCs w:val="false"/>
          <w:color w:val="166534"/>
          <w:sz w:val="20"/>
          <w:szCs w:val="20"/>
        </w:rPr>
        <w:t xml:space="preserve">V2 IS COMPLETE. </w:t>
      </w:r>
      <w:r>
        <w:rPr>
          <w:rFonts w:ascii="Arial" w:cs="Arial" w:eastAsia="Arial" w:hAnsi="Arial"/>
          <w:b w:val="false"/>
          <w:bCs w:val="false"/>
          <w:i w:val="false"/>
          <w:iCs w:val="false"/>
          <w:color w:val="1F2937"/>
          <w:sz w:val="20"/>
          <w:szCs w:val="20"/>
        </w:rPr>
        <w:t xml:space="preserve">Your CTO is correct that MVP, V1, and V2 development is done. The platform infrastructure, backends, governance, documentation, and UI are all verified and operational. The only recommended next step is a V2.1 frontend modernization initiative to upgrade from vanilla HTML workspaces to a unified React enterprise shell, which would bring the UI to the futuristic standard described in your V2 vision.</w:t>
      </w:r>
    </w:p>
    <w:p>
      <w:pPr>
        <w:spacing w:after="120" w:before="120"/>
      </w:pPr>
    </w:p>
    <w:p>
      <w:pPr>
        <w:spacing w:before="400"/>
        <w:jc w:val="center"/>
      </w:pPr>
      <w:r>
        <w:rPr>
          <w:color w:val="D1D5DB"/>
          <w:sz w:val="20"/>
          <w:szCs w:val="20"/>
        </w:rPr>
        <w:t xml:space="preserve">_______________________________________________</w:t>
      </w:r>
    </w:p>
    <w:p>
      <w:pPr>
        <w:spacing w:before="200"/>
        <w:jc w:val="center"/>
      </w:pPr>
      <w:r>
        <w:rPr>
          <w:rFonts w:ascii="Arial" w:cs="Arial" w:eastAsia="Arial" w:hAnsi="Arial"/>
          <w:i/>
          <w:iCs/>
          <w:color w:val="6B7280"/>
          <w:sz w:val="18"/>
          <w:szCs w:val="18"/>
        </w:rPr>
        <w:t xml:space="preserve">End of Audit Report</w:t>
      </w: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4"/>
      </w:pBdr>
      <w:tabs>
        <w:tab w:val="right" w:pos="9026"/>
      </w:tabs>
    </w:pPr>
    <w:r>
      <w:rPr>
        <w:rFonts w:ascii="Arial" w:cs="Arial" w:eastAsia="Arial" w:hAnsi="Arial"/>
        <w:color w:val="6B7280"/>
        <w:sz w:val="16"/>
        <w:szCs w:val="16"/>
      </w:rPr>
      <w:t xml:space="preserve">GreenLang V2 Audit Report</w:t>
    </w:r>
    <w:r>
      <w:rPr>
        <w:rFonts w:ascii="Arial" w:cs="Arial" w:eastAsia="Arial" w:hAnsi="Arial"/>
        <w:color w:val="6B728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838"/>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E3A5F"/>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2026-03-30T13:32:51.358Z</dcterms:created>
  <dcterms:modified xsi:type="dcterms:W3CDTF">2026-03-30T13:32:51.358Z</dcterms:modified>
</cp:coreProperties>
</file>

<file path=docProps/custom.xml><?xml version="1.0" encoding="utf-8"?>
<Properties xmlns="http://schemas.openxmlformats.org/officeDocument/2006/custom-properties" xmlns:vt="http://schemas.openxmlformats.org/officeDocument/2006/docPropsVTypes"/>
</file>