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CF6" w:rsidRDefault="00451CF6" w:rsidP="00451CF6">
      <w:pPr>
        <w:pStyle w:val="textbox"/>
        <w:shd w:val="clear" w:color="auto" w:fill="FFFFFF"/>
        <w:spacing w:before="0" w:beforeAutospacing="0" w:after="0" w:afterAutospacing="0"/>
        <w:rPr>
          <w:sz w:val="10"/>
          <w:szCs w:val="10"/>
        </w:rPr>
      </w:pPr>
    </w:p>
    <w:p w:rsidR="00FA2F30" w:rsidRPr="00FD6E57" w:rsidRDefault="00FA2F30" w:rsidP="00FA2F30">
      <w:pPr>
        <w:rPr>
          <w:b/>
        </w:rPr>
      </w:pPr>
      <w:r w:rsidRPr="00FD6E57">
        <w:rPr>
          <w:b/>
        </w:rPr>
        <w:t>MCP261 IE Lab I</w:t>
      </w:r>
      <w:r w:rsidR="00676B20">
        <w:rPr>
          <w:b/>
        </w:rPr>
        <w:t>, Group</w:t>
      </w:r>
      <w:r w:rsidR="002C328E">
        <w:rPr>
          <w:b/>
        </w:rPr>
        <w:t>s 1 and 2</w:t>
      </w:r>
      <w:r w:rsidR="00133871">
        <w:rPr>
          <w:b/>
        </w:rPr>
        <w:t xml:space="preserve">: April </w:t>
      </w:r>
      <w:r w:rsidR="002C328E">
        <w:rPr>
          <w:b/>
        </w:rPr>
        <w:t>4</w:t>
      </w:r>
      <w:r>
        <w:rPr>
          <w:b/>
        </w:rPr>
        <w:t>, 201</w:t>
      </w:r>
      <w:r w:rsidR="002C328E">
        <w:rPr>
          <w:b/>
        </w:rPr>
        <w:t>9</w:t>
      </w:r>
    </w:p>
    <w:p w:rsidR="00FA2F30" w:rsidRPr="001A01F7" w:rsidRDefault="004044C2" w:rsidP="00FA2F30">
      <w:pPr>
        <w:rPr>
          <w:b/>
        </w:rPr>
      </w:pPr>
      <w:r>
        <w:rPr>
          <w:b/>
        </w:rPr>
        <w:t>Exercise 9</w:t>
      </w:r>
      <w:r w:rsidR="00FA2F30" w:rsidRPr="001A01F7">
        <w:rPr>
          <w:b/>
        </w:rPr>
        <w:t xml:space="preserve">: </w:t>
      </w:r>
      <w:r w:rsidR="00422302">
        <w:rPr>
          <w:b/>
        </w:rPr>
        <w:t>Analytics</w:t>
      </w:r>
      <w:r>
        <w:rPr>
          <w:b/>
        </w:rPr>
        <w:t xml:space="preserve"> + Linear Programming</w:t>
      </w:r>
    </w:p>
    <w:p w:rsidR="00BF4736" w:rsidRDefault="0073459B" w:rsidP="004044C2">
      <w:pPr>
        <w:pStyle w:val="textbox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(3</w:t>
      </w:r>
      <w:r w:rsidR="007C7FD1">
        <w:t xml:space="preserve"> marks) </w:t>
      </w:r>
      <w:r w:rsidR="004044C2">
        <w:t>For a credit-card fraud detection problem, genuine transactions and fraudulent arrive acc</w:t>
      </w:r>
      <w:r w:rsidR="002D1FE3">
        <w:t xml:space="preserve">ording to the Markov-modulated </w:t>
      </w:r>
      <w:r w:rsidR="00C94C30">
        <w:t>P</w:t>
      </w:r>
      <w:r w:rsidR="004044C2">
        <w:t xml:space="preserve">oisson arrival process shown in the figure below (Fig. 2 from </w:t>
      </w:r>
      <w:proofErr w:type="spellStart"/>
      <w:r w:rsidR="004044C2">
        <w:t>Panigrahi</w:t>
      </w:r>
      <w:proofErr w:type="spellEnd"/>
      <w:r w:rsidR="004044C2">
        <w:t xml:space="preserve"> and colleagues (2009). Available at: </w:t>
      </w:r>
      <w:hyperlink r:id="rId5" w:history="1">
        <w:r w:rsidR="00BF4736" w:rsidRPr="00A60D4F">
          <w:rPr>
            <w:rStyle w:val="Hyperlink"/>
          </w:rPr>
          <w:t>https://www.sciencedirect.com/science/article/pii/S1566253509000141</w:t>
        </w:r>
      </w:hyperlink>
      <w:r w:rsidR="00BF4736">
        <w:t>)</w:t>
      </w:r>
      <w:r w:rsidR="004044C2">
        <w:t>.</w:t>
      </w:r>
      <w:r w:rsidR="00DA5DF4">
        <w:t xml:space="preserve"> Transaction amounts (genuine and fraudulent) are normally distributed. </w:t>
      </w:r>
    </w:p>
    <w:p w:rsidR="00BF4736" w:rsidRDefault="00BF4736" w:rsidP="00BF4736">
      <w:pPr>
        <w:pStyle w:val="textbox"/>
        <w:shd w:val="clear" w:color="auto" w:fill="FFFFFF"/>
        <w:spacing w:before="0" w:beforeAutospacing="0" w:after="0" w:afterAutospacing="0"/>
      </w:pPr>
    </w:p>
    <w:p w:rsidR="00BD78FE" w:rsidRDefault="00BF4736" w:rsidP="001D607D">
      <w:pPr>
        <w:pStyle w:val="textbox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279063A" wp14:editId="57DC3E6F">
            <wp:extent cx="4257675" cy="501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36" w:rsidRDefault="00BF4736" w:rsidP="00504148">
      <w:pPr>
        <w:pStyle w:val="textbox"/>
        <w:shd w:val="clear" w:color="auto" w:fill="FFFFFF"/>
        <w:spacing w:before="0" w:beforeAutospacing="0" w:after="0" w:afterAutospacing="0"/>
        <w:ind w:left="720"/>
      </w:pPr>
      <w:r>
        <w:t>Generate a dataset consisting with a total of 10,000 transactions with the following parameters of the MMPP simulator: arrival rate of genuin</w:t>
      </w:r>
      <w:r w:rsidR="00676B20">
        <w:t xml:space="preserve">e and fraudulent transactions: </w:t>
      </w:r>
      <w:r w:rsidR="00781A56">
        <w:t>10</w:t>
      </w:r>
      <w:r>
        <w:t xml:space="preserve"> per da</w:t>
      </w:r>
      <w:r w:rsidR="00676B20">
        <w:t xml:space="preserve">y and </w:t>
      </w:r>
      <w:r w:rsidR="00781A56">
        <w:t>2</w:t>
      </w:r>
      <w:r>
        <w:t xml:space="preserve"> per day, respectively; </w:t>
      </w:r>
      <w:proofErr w:type="spellStart"/>
      <w:r>
        <w:t>q</w:t>
      </w:r>
      <w:r w:rsidRPr="004534D3">
        <w:rPr>
          <w:vertAlign w:val="subscript"/>
        </w:rPr>
        <w:t>gf</w:t>
      </w:r>
      <w:proofErr w:type="spellEnd"/>
      <w:r w:rsidR="00676B20">
        <w:t xml:space="preserve"> = 0.</w:t>
      </w:r>
      <w:r w:rsidR="00781A56">
        <w:t>2</w:t>
      </w:r>
      <w:r>
        <w:t xml:space="preserve">, </w:t>
      </w:r>
      <w:proofErr w:type="spellStart"/>
      <w:r>
        <w:t>q</w:t>
      </w:r>
      <w:r w:rsidRPr="004534D3">
        <w:rPr>
          <w:vertAlign w:val="subscript"/>
        </w:rPr>
        <w:t>fg</w:t>
      </w:r>
      <w:proofErr w:type="spellEnd"/>
      <w:r w:rsidR="00676B20">
        <w:t xml:space="preserve"> = 0.</w:t>
      </w:r>
      <w:r w:rsidR="00781A56">
        <w:t>8</w:t>
      </w:r>
      <w:r>
        <w:t xml:space="preserve">; </w:t>
      </w:r>
      <w:proofErr w:type="spellStart"/>
      <w:r>
        <w:t>μ</w:t>
      </w:r>
      <w:r w:rsidRPr="004534D3">
        <w:rPr>
          <w:vertAlign w:val="subscript"/>
        </w:rPr>
        <w:t>g</w:t>
      </w:r>
      <w:proofErr w:type="spellEnd"/>
      <w:r w:rsidR="00676B20">
        <w:t xml:space="preserve"> = </w:t>
      </w:r>
      <w:r w:rsidR="005864C7">
        <w:t>5</w:t>
      </w:r>
      <w:r>
        <w:t xml:space="preserve">0, </w:t>
      </w:r>
      <w:proofErr w:type="spellStart"/>
      <w:r>
        <w:t>σ</w:t>
      </w:r>
      <w:r w:rsidRPr="004534D3">
        <w:rPr>
          <w:vertAlign w:val="subscript"/>
        </w:rPr>
        <w:t>g</w:t>
      </w:r>
      <w:proofErr w:type="spellEnd"/>
      <w:r w:rsidR="00676B20">
        <w:t xml:space="preserve"> = </w:t>
      </w:r>
      <w:r w:rsidR="005864C7">
        <w:t>10</w:t>
      </w:r>
      <w:r>
        <w:t xml:space="preserve">; </w:t>
      </w:r>
      <w:proofErr w:type="spellStart"/>
      <w:r>
        <w:t>μ</w:t>
      </w:r>
      <w:r w:rsidRPr="004534D3">
        <w:rPr>
          <w:vertAlign w:val="subscript"/>
        </w:rPr>
        <w:t>f</w:t>
      </w:r>
      <w:proofErr w:type="spellEnd"/>
      <w:r w:rsidR="00676B20">
        <w:t xml:space="preserve"> = 10</w:t>
      </w:r>
      <w:r>
        <w:t xml:space="preserve">0, </w:t>
      </w:r>
      <w:proofErr w:type="spellStart"/>
      <w:r>
        <w:t>σ</w:t>
      </w:r>
      <w:r w:rsidRPr="004534D3">
        <w:rPr>
          <w:vertAlign w:val="subscript"/>
        </w:rPr>
        <w:t>g</w:t>
      </w:r>
      <w:proofErr w:type="spellEnd"/>
      <w:r w:rsidR="00676B20">
        <w:t xml:space="preserve"> = </w:t>
      </w:r>
      <w:r w:rsidR="00781A56">
        <w:t>25</w:t>
      </w:r>
      <w:r>
        <w:t xml:space="preserve">. Transaction amounts cannot be negative. Use a seed of 1234 for your random number generator. </w:t>
      </w:r>
      <w:r w:rsidR="009F3657">
        <w:t>Write the output to an Excel file</w:t>
      </w:r>
      <w:r w:rsidR="00CF22BA">
        <w:t xml:space="preserve"> (features as well as labels).</w:t>
      </w:r>
      <w:r w:rsidR="001D2A95">
        <w:t xml:space="preserve"> Upload both the </w:t>
      </w:r>
      <w:proofErr w:type="spellStart"/>
      <w:r w:rsidR="001D2A95">
        <w:t>Matlab</w:t>
      </w:r>
      <w:proofErr w:type="spellEnd"/>
      <w:r w:rsidR="001D2A95">
        <w:t xml:space="preserve"> code for the synthetic data generator as well as </w:t>
      </w:r>
      <w:r w:rsidR="00A92B91">
        <w:t>the Excel file with the training and testing data set.</w:t>
      </w:r>
    </w:p>
    <w:p w:rsidR="00BF4736" w:rsidRDefault="00BF4736" w:rsidP="00BF4736">
      <w:pPr>
        <w:pStyle w:val="textbox"/>
        <w:shd w:val="clear" w:color="auto" w:fill="FFFFFF"/>
        <w:spacing w:before="0" w:beforeAutospacing="0" w:after="0" w:afterAutospacing="0"/>
      </w:pPr>
    </w:p>
    <w:p w:rsidR="00C42341" w:rsidRDefault="0073459B" w:rsidP="00DA5DF4">
      <w:pPr>
        <w:pStyle w:val="textbox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lastRenderedPageBreak/>
        <w:t xml:space="preserve">(4 marks) </w:t>
      </w:r>
      <w:r w:rsidR="00DA5DF4">
        <w:t xml:space="preserve">Once you generate the transaction dataset, use the </w:t>
      </w:r>
      <w:proofErr w:type="spellStart"/>
      <w:r w:rsidR="00DA5DF4">
        <w:t>Matlab</w:t>
      </w:r>
      <w:proofErr w:type="spellEnd"/>
      <w:r w:rsidR="00DA5DF4">
        <w:t xml:space="preserve"> classification learner to find the algorithm that works best (max. </w:t>
      </w:r>
      <w:r w:rsidR="009F3657">
        <w:t xml:space="preserve">modified </w:t>
      </w:r>
      <w:r w:rsidR="00DA5DF4">
        <w:t>f1 score)</w:t>
      </w:r>
      <w:r w:rsidR="00257500">
        <w:t xml:space="preserve"> in terms of predicting whether a transaction is genuine or fraudulent using transaction amount and </w:t>
      </w:r>
      <w:r w:rsidR="006E5319">
        <w:t xml:space="preserve">time between </w:t>
      </w:r>
      <w:r w:rsidR="00257500">
        <w:t>transaction</w:t>
      </w:r>
      <w:r w:rsidR="006E5319">
        <w:t>s</w:t>
      </w:r>
      <w:r w:rsidR="00257500">
        <w:t xml:space="preserve"> as features</w:t>
      </w:r>
      <w:r w:rsidR="00DA5DF4">
        <w:t xml:space="preserve">. Apply only the following algorithms: </w:t>
      </w:r>
      <w:r w:rsidR="00A00BE7">
        <w:t xml:space="preserve">ensemble bagged trees, </w:t>
      </w:r>
      <w:proofErr w:type="spellStart"/>
      <w:r w:rsidR="00A00BE7">
        <w:t>RUSboosted</w:t>
      </w:r>
      <w:proofErr w:type="spellEnd"/>
      <w:r w:rsidR="00A00BE7">
        <w:t xml:space="preserve"> trees, </w:t>
      </w:r>
      <w:r w:rsidR="00567361">
        <w:t xml:space="preserve">quadratic discriminant, </w:t>
      </w:r>
      <w:r w:rsidR="00A00BE7">
        <w:t xml:space="preserve">logistic regression, cubic SVM and linear SVM. </w:t>
      </w:r>
      <w:r w:rsidR="0057507B">
        <w:t>Use the first 7</w:t>
      </w:r>
      <w:r w:rsidR="00F254DD">
        <w:t>000</w:t>
      </w:r>
      <w:r w:rsidR="007E0B31">
        <w:t xml:space="preserve"> transactions for training and 3</w:t>
      </w:r>
      <w:r w:rsidR="00F254DD">
        <w:t xml:space="preserve">000 for testing. </w:t>
      </w:r>
      <w:r w:rsidR="009F3657">
        <w:t>The outp</w:t>
      </w:r>
      <w:r w:rsidR="00CF22BA">
        <w:t>uts of each algorithm must be in the same Excel file as for Problem 1, and in the same format (the output of each algorithm in a separate Worksheet) as prescribed for Exercise 8.</w:t>
      </w:r>
    </w:p>
    <w:p w:rsidR="00FB27E3" w:rsidRDefault="00FB27E3" w:rsidP="00FB27E3">
      <w:pPr>
        <w:pStyle w:val="textbox"/>
        <w:shd w:val="clear" w:color="auto" w:fill="FFFFFF"/>
        <w:spacing w:before="0" w:beforeAutospacing="0" w:after="0" w:afterAutospacing="0"/>
        <w:ind w:left="720"/>
      </w:pPr>
    </w:p>
    <w:p w:rsidR="002019C9" w:rsidRDefault="0073459B" w:rsidP="00B05D39">
      <w:pPr>
        <w:pStyle w:val="textbox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 xml:space="preserve">(3 marks) </w:t>
      </w:r>
      <w:r w:rsidR="00DC29F0">
        <w:t xml:space="preserve">Consider the aggregate planning formulation </w:t>
      </w:r>
      <w:r w:rsidR="002019C9">
        <w:t xml:space="preserve">including overtime you developed </w:t>
      </w:r>
      <w:r w:rsidR="0077366F">
        <w:t>for</w:t>
      </w:r>
      <w:r w:rsidR="002019C9">
        <w:t xml:space="preserve"> the MCL361 Minor 2 exam. Assume that it is a 7-month problem with</w:t>
      </w:r>
      <w:r w:rsidR="006F1F02">
        <w:t xml:space="preserve"> a single</w:t>
      </w:r>
      <w:r w:rsidR="002019C9">
        <w:t xml:space="preserve"> product</w:t>
      </w:r>
      <w:r w:rsidR="001725C9">
        <w:t xml:space="preserve">, and </w:t>
      </w:r>
      <w:r w:rsidR="00F347AE">
        <w:t>the</w:t>
      </w:r>
      <w:r w:rsidR="001725C9">
        <w:t xml:space="preserve"> product is produced on 4 workstations</w:t>
      </w:r>
      <w:r w:rsidR="002019C9">
        <w:t>. The following data is provided for the problem:</w:t>
      </w:r>
    </w:p>
    <w:p w:rsidR="002019C9" w:rsidRDefault="002019C9" w:rsidP="002019C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</w:tblGrid>
      <w:tr w:rsidR="00034E63" w:rsidTr="00B70D15">
        <w:tc>
          <w:tcPr>
            <w:tcW w:w="1735" w:type="dxa"/>
          </w:tcPr>
          <w:p w:rsidR="00034E63" w:rsidRPr="007757DD" w:rsidRDefault="00034E63" w:rsidP="002019C9">
            <w:pPr>
              <w:pStyle w:val="textbox"/>
              <w:spacing w:before="0" w:beforeAutospacing="0" w:after="0" w:afterAutospacing="0"/>
            </w:pPr>
            <w:proofErr w:type="spellStart"/>
            <w:r>
              <w:t>l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10, 20, 5, 0, 5, 10, 15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Pr="00AB056D" w:rsidRDefault="00034E63" w:rsidP="002019C9">
            <w:pPr>
              <w:pStyle w:val="textbox"/>
              <w:spacing w:before="0" w:beforeAutospacing="0" w:after="0" w:afterAutospacing="0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100, 150, 100, 200, 150, 160, 120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c</w:t>
            </w:r>
            <w:r w:rsidRPr="007C496F">
              <w:rPr>
                <w:vertAlign w:val="subscript"/>
              </w:rPr>
              <w:t>1t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c</w:t>
            </w:r>
            <w:r w:rsidRPr="007C496F">
              <w:rPr>
                <w:vertAlign w:val="subscript"/>
              </w:rPr>
              <w:t>2t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c</w:t>
            </w:r>
            <w:r>
              <w:rPr>
                <w:vertAlign w:val="subscript"/>
              </w:rPr>
              <w:t>3t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rPr>
                <w:vertAlign w:val="subscript"/>
              </w:rPr>
              <w:t>t</w:t>
            </w:r>
          </w:p>
        </w:tc>
      </w:tr>
      <w:tr w:rsidR="00034E63" w:rsidTr="00B70D15"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300, 250, 200, 400, 250, 180, 450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250, 250, 200, 400, 400, 300, 250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200, 200, 250, 200, 200, 150, 200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150, 200, 200, 250, 300, 250, 200</w:t>
            </w:r>
          </w:p>
        </w:tc>
      </w:tr>
      <w:tr w:rsidR="00034E63" w:rsidTr="00B70D15"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a</w:t>
            </w:r>
            <w:r w:rsidRPr="00EC2E92">
              <w:rPr>
                <w:vertAlign w:val="subscript"/>
              </w:rPr>
              <w:t>1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735" w:type="dxa"/>
          </w:tcPr>
          <w:p w:rsidR="00034E63" w:rsidRDefault="00F347AE" w:rsidP="002019C9">
            <w:pPr>
              <w:pStyle w:val="textbox"/>
              <w:spacing w:before="0" w:beforeAutospacing="0" w:after="0" w:afterAutospacing="0"/>
            </w:pPr>
            <w:r>
              <w:t>a</w:t>
            </w:r>
            <w:r w:rsidRPr="00F347AE">
              <w:rPr>
                <w:vertAlign w:val="subscript"/>
              </w:rPr>
              <w:t>4</w:t>
            </w:r>
          </w:p>
        </w:tc>
      </w:tr>
      <w:tr w:rsidR="00034E63" w:rsidTr="00B70D15">
        <w:tc>
          <w:tcPr>
            <w:tcW w:w="1735" w:type="dxa"/>
          </w:tcPr>
          <w:p w:rsidR="00034E63" w:rsidRDefault="00034E63" w:rsidP="002019C9">
            <w:pPr>
              <w:pStyle w:val="textbox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735" w:type="dxa"/>
          </w:tcPr>
          <w:p w:rsidR="00034E63" w:rsidRDefault="00F347AE" w:rsidP="002019C9">
            <w:pPr>
              <w:pStyle w:val="textbox"/>
              <w:spacing w:before="0" w:beforeAutospacing="0" w:after="0" w:afterAutospacing="0"/>
            </w:pPr>
            <w:r>
              <w:t>3</w:t>
            </w:r>
          </w:p>
        </w:tc>
        <w:tc>
          <w:tcPr>
            <w:tcW w:w="1735" w:type="dxa"/>
          </w:tcPr>
          <w:p w:rsidR="00034E63" w:rsidRDefault="00F347AE" w:rsidP="002019C9">
            <w:pPr>
              <w:pStyle w:val="textbox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735" w:type="dxa"/>
          </w:tcPr>
          <w:p w:rsidR="00034E63" w:rsidRDefault="00F347AE" w:rsidP="002019C9">
            <w:pPr>
              <w:pStyle w:val="textbox"/>
              <w:spacing w:before="0" w:beforeAutospacing="0" w:after="0" w:afterAutospacing="0"/>
            </w:pPr>
            <w:r>
              <w:t>4</w:t>
            </w:r>
          </w:p>
        </w:tc>
      </w:tr>
      <w:tr w:rsidR="00034E63" w:rsidTr="00B70D15">
        <w:tc>
          <w:tcPr>
            <w:tcW w:w="1735" w:type="dxa"/>
          </w:tcPr>
          <w:p w:rsidR="00034E63" w:rsidRPr="00C179C1" w:rsidRDefault="00034E63" w:rsidP="002019C9">
            <w:pPr>
              <w:pStyle w:val="textbox"/>
              <w:spacing w:before="0" w:beforeAutospacing="0" w:after="0" w:afterAutospacing="0"/>
            </w:pPr>
            <w:r>
              <w:t>r = 3</w:t>
            </w:r>
          </w:p>
        </w:tc>
        <w:tc>
          <w:tcPr>
            <w:tcW w:w="1735" w:type="dxa"/>
          </w:tcPr>
          <w:p w:rsidR="00034E63" w:rsidRPr="00C179C1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Pr="00C179C1" w:rsidRDefault="00034E63" w:rsidP="002019C9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Pr="00C179C1" w:rsidRDefault="00034E63" w:rsidP="002019C9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Pr="00B70D15" w:rsidRDefault="00034E63" w:rsidP="00262852">
            <w:pPr>
              <w:pStyle w:val="textbox"/>
              <w:spacing w:before="0" w:beforeAutospacing="0" w:after="0" w:afterAutospacing="0"/>
            </w:pPr>
            <w:r>
              <w:t>b = 0.5</w:t>
            </w:r>
          </w:p>
        </w:tc>
        <w:tc>
          <w:tcPr>
            <w:tcW w:w="1735" w:type="dxa"/>
          </w:tcPr>
          <w:p w:rsidR="00034E63" w:rsidRPr="00B70D15" w:rsidRDefault="00034E63" w:rsidP="00262852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Pr="00B70D15" w:rsidRDefault="00034E63" w:rsidP="00262852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Pr="00B70D15" w:rsidRDefault="00034E63" w:rsidP="00262852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Pr="00B70D15" w:rsidRDefault="00034E63" w:rsidP="00646E66">
            <w:pPr>
              <w:pStyle w:val="textbox"/>
              <w:spacing w:before="0" w:beforeAutospacing="0" w:after="0" w:afterAutospacing="0"/>
            </w:pPr>
            <w:r w:rsidRPr="00646E66">
              <w:t>h</w:t>
            </w:r>
            <w:r>
              <w:t xml:space="preserve"> = 0.</w:t>
            </w:r>
            <w:r>
              <w:t>2</w:t>
            </w:r>
            <w:r>
              <w:t>5</w:t>
            </w:r>
          </w:p>
        </w:tc>
        <w:tc>
          <w:tcPr>
            <w:tcW w:w="1735" w:type="dxa"/>
          </w:tcPr>
          <w:p w:rsidR="00034E63" w:rsidRPr="00B70D15" w:rsidRDefault="00034E63" w:rsidP="00646E66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Pr="00B70D15" w:rsidRDefault="00034E63" w:rsidP="00646E66">
            <w:pPr>
              <w:pStyle w:val="textbox"/>
              <w:spacing w:before="0" w:beforeAutospacing="0" w:after="0" w:afterAutospacing="0"/>
            </w:pPr>
          </w:p>
        </w:tc>
        <w:tc>
          <w:tcPr>
            <w:tcW w:w="1735" w:type="dxa"/>
          </w:tcPr>
          <w:p w:rsidR="00034E63" w:rsidRPr="00B70D15" w:rsidRDefault="00034E63" w:rsidP="00646E66">
            <w:pPr>
              <w:pStyle w:val="textbox"/>
              <w:spacing w:before="0" w:beforeAutospacing="0" w:after="0" w:afterAutospacing="0"/>
            </w:pPr>
          </w:p>
        </w:tc>
      </w:tr>
      <w:tr w:rsidR="00034E63" w:rsidTr="00B70D15">
        <w:tc>
          <w:tcPr>
            <w:tcW w:w="1735" w:type="dxa"/>
          </w:tcPr>
          <w:p w:rsidR="00034E63" w:rsidRPr="00E23A9D" w:rsidRDefault="00034E63" w:rsidP="00646E66">
            <w:pPr>
              <w:pStyle w:val="textbox"/>
              <w:spacing w:before="0" w:beforeAutospacing="0" w:after="0" w:afterAutospacing="0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 xml:space="preserve"> = 2.5</w:t>
            </w:r>
          </w:p>
        </w:tc>
        <w:tc>
          <w:tcPr>
            <w:tcW w:w="1735" w:type="dxa"/>
          </w:tcPr>
          <w:p w:rsidR="00034E63" w:rsidRDefault="00034E63" w:rsidP="00646E66">
            <w:pPr>
              <w:pStyle w:val="textbox"/>
              <w:spacing w:before="0" w:beforeAutospacing="0" w:after="0" w:afterAutospacing="0"/>
            </w:pPr>
            <w:r>
              <w:t>O</w:t>
            </w:r>
            <w:r w:rsidRPr="00E23A9D">
              <w:rPr>
                <w:vertAlign w:val="subscript"/>
              </w:rPr>
              <w:t>2</w:t>
            </w:r>
            <w:r>
              <w:t xml:space="preserve"> = </w:t>
            </w:r>
            <w:r>
              <w:t>1</w:t>
            </w:r>
            <w:r>
              <w:t>.5</w:t>
            </w:r>
          </w:p>
        </w:tc>
        <w:tc>
          <w:tcPr>
            <w:tcW w:w="1735" w:type="dxa"/>
          </w:tcPr>
          <w:p w:rsidR="00034E63" w:rsidRPr="00646E66" w:rsidRDefault="00034E63" w:rsidP="00646E66">
            <w:pPr>
              <w:pStyle w:val="textbox"/>
              <w:spacing w:before="0" w:beforeAutospacing="0" w:after="0" w:afterAutospacing="0"/>
            </w:pPr>
            <w:r>
              <w:t>O</w:t>
            </w:r>
            <w:r w:rsidRPr="00E23A9D">
              <w:rPr>
                <w:vertAlign w:val="subscript"/>
              </w:rPr>
              <w:t>3</w:t>
            </w:r>
            <w:r>
              <w:t xml:space="preserve"> = </w:t>
            </w:r>
            <w:r>
              <w:t>4.0</w:t>
            </w:r>
          </w:p>
        </w:tc>
        <w:tc>
          <w:tcPr>
            <w:tcW w:w="1735" w:type="dxa"/>
          </w:tcPr>
          <w:p w:rsidR="00034E63" w:rsidRPr="00B70D15" w:rsidRDefault="00034E63" w:rsidP="00646E66">
            <w:pPr>
              <w:pStyle w:val="textbox"/>
              <w:spacing w:before="0" w:beforeAutospacing="0" w:after="0" w:afterAutospacing="0"/>
            </w:pPr>
            <w:r>
              <w:t>O</w:t>
            </w:r>
            <w:r>
              <w:rPr>
                <w:vertAlign w:val="subscript"/>
              </w:rPr>
              <w:t>4</w:t>
            </w:r>
            <w:r>
              <w:t xml:space="preserve"> = 2.</w:t>
            </w:r>
            <w:r>
              <w:t>0</w:t>
            </w:r>
          </w:p>
        </w:tc>
      </w:tr>
    </w:tbl>
    <w:p w:rsidR="002019C9" w:rsidRDefault="002019C9" w:rsidP="002019C9">
      <w:pPr>
        <w:pStyle w:val="textbox"/>
        <w:shd w:val="clear" w:color="auto" w:fill="FFFFFF"/>
        <w:spacing w:before="0" w:beforeAutospacing="0" w:after="0" w:afterAutospacing="0"/>
        <w:ind w:left="720"/>
      </w:pPr>
    </w:p>
    <w:p w:rsidR="00287DC6" w:rsidRDefault="004B77A6" w:rsidP="00034E63">
      <w:pPr>
        <w:pStyle w:val="textbox"/>
        <w:shd w:val="clear" w:color="auto" w:fill="FFFFFF"/>
        <w:spacing w:before="0" w:beforeAutospacing="0" w:after="0" w:afterAutospacing="0"/>
        <w:ind w:left="720"/>
      </w:pPr>
      <w:r>
        <w:t xml:space="preserve">The symbols have their usual meaning, with the </w:t>
      </w:r>
      <w:proofErr w:type="spellStart"/>
      <w:r>
        <w:t>O</w:t>
      </w:r>
      <w:r w:rsidRPr="004B77A6">
        <w:rPr>
          <w:vertAlign w:val="subscript"/>
        </w:rPr>
        <w:t>j</w:t>
      </w:r>
      <w:proofErr w:type="spellEnd"/>
      <w:r>
        <w:t xml:space="preserve"> referring to the unit cost of overtime on workstation j. </w:t>
      </w:r>
      <w:r w:rsidR="00034E63">
        <w:t>Formulate and solve the above linear programming</w:t>
      </w:r>
      <w:r w:rsidR="00B05D39">
        <w:t xml:space="preserve"> problem using Excel’</w:t>
      </w:r>
      <w:r w:rsidR="00A52F08">
        <w:t>s Solver add-in</w:t>
      </w:r>
      <w:r w:rsidR="00C844D3">
        <w:t>, and provide your solution in the same Excel file</w:t>
      </w:r>
      <w:r w:rsidR="00F3014F">
        <w:t xml:space="preserve"> (separate worksheet named “P3”)</w:t>
      </w:r>
      <w:bookmarkStart w:id="0" w:name="_GoBack"/>
      <w:bookmarkEnd w:id="0"/>
      <w:r w:rsidR="00C844D3">
        <w:t xml:space="preserve"> as for Problems 1 and 2</w:t>
      </w:r>
      <w:r w:rsidR="00A52F08">
        <w:t xml:space="preserve">. </w:t>
      </w:r>
      <w:r w:rsidR="00AC64D7">
        <w:t xml:space="preserve">The objective function, constraints and optimal solution must be clearly indicated in the Excel file. </w:t>
      </w:r>
      <w:r w:rsidR="00287DC6">
        <w:t xml:space="preserve">Validate the solution using </w:t>
      </w:r>
      <w:proofErr w:type="spellStart"/>
      <w:r w:rsidR="00287DC6">
        <w:t>Matlab’s</w:t>
      </w:r>
      <w:proofErr w:type="spellEnd"/>
      <w:r w:rsidR="00287DC6">
        <w:t xml:space="preserve"> </w:t>
      </w:r>
      <w:proofErr w:type="spellStart"/>
      <w:r w:rsidR="00287DC6" w:rsidRPr="002019C9">
        <w:rPr>
          <w:b/>
        </w:rPr>
        <w:t>linprog</w:t>
      </w:r>
      <w:proofErr w:type="spellEnd"/>
      <w:r w:rsidR="00287DC6">
        <w:t xml:space="preserve"> function. </w:t>
      </w:r>
    </w:p>
    <w:p w:rsidR="007476AC" w:rsidRDefault="007476AC" w:rsidP="007476AC">
      <w:pPr>
        <w:pStyle w:val="ListParagraph"/>
      </w:pPr>
    </w:p>
    <w:p w:rsidR="007476AC" w:rsidRDefault="007476AC" w:rsidP="007476AC">
      <w:pPr>
        <w:pStyle w:val="textbox"/>
        <w:shd w:val="clear" w:color="auto" w:fill="FFFFFF"/>
        <w:spacing w:before="0" w:beforeAutospacing="0" w:after="0" w:afterAutospacing="0"/>
        <w:ind w:left="720"/>
        <w:jc w:val="center"/>
      </w:pPr>
    </w:p>
    <w:p w:rsidR="00287DC6" w:rsidRDefault="00287DC6" w:rsidP="00287DC6">
      <w:pPr>
        <w:pStyle w:val="ListParagraph"/>
      </w:pPr>
    </w:p>
    <w:p w:rsidR="00B05D39" w:rsidRPr="003C6F47" w:rsidRDefault="00B05D39" w:rsidP="00287DC6">
      <w:pPr>
        <w:pStyle w:val="textbox"/>
        <w:shd w:val="clear" w:color="auto" w:fill="FFFFFF"/>
        <w:spacing w:before="0" w:beforeAutospacing="0" w:after="0" w:afterAutospacing="0"/>
        <w:ind w:left="720"/>
      </w:pPr>
      <w:r>
        <w:t xml:space="preserve"> </w:t>
      </w:r>
    </w:p>
    <w:p w:rsidR="003C6F47" w:rsidRDefault="003C6F47" w:rsidP="00451CF6">
      <w:pPr>
        <w:pStyle w:val="textbox"/>
        <w:shd w:val="clear" w:color="auto" w:fill="FFFFFF"/>
        <w:spacing w:before="0" w:beforeAutospacing="0" w:after="0" w:afterAutospacing="0"/>
        <w:rPr>
          <w:sz w:val="10"/>
          <w:szCs w:val="10"/>
        </w:rPr>
      </w:pPr>
    </w:p>
    <w:p w:rsidR="003C6F47" w:rsidRDefault="003C6F47" w:rsidP="00451CF6">
      <w:pPr>
        <w:pStyle w:val="textbox"/>
        <w:shd w:val="clear" w:color="auto" w:fill="FFFFFF"/>
        <w:spacing w:before="0" w:beforeAutospacing="0" w:after="0" w:afterAutospacing="0"/>
        <w:rPr>
          <w:sz w:val="10"/>
          <w:szCs w:val="10"/>
        </w:rPr>
      </w:pPr>
    </w:p>
    <w:p w:rsidR="00D45396" w:rsidRDefault="00D45396" w:rsidP="0073459B">
      <w:pPr>
        <w:pStyle w:val="textbox"/>
        <w:shd w:val="clear" w:color="auto" w:fill="FFFFFF"/>
        <w:spacing w:before="0" w:beforeAutospacing="0" w:after="0" w:afterAutospacing="0"/>
      </w:pPr>
    </w:p>
    <w:p w:rsidR="0064090E" w:rsidRDefault="0064090E" w:rsidP="0064090E">
      <w:pPr>
        <w:ind w:left="360"/>
      </w:pPr>
    </w:p>
    <w:p w:rsidR="002B4349" w:rsidRDefault="002B4349"/>
    <w:sectPr w:rsidR="002B4349" w:rsidSect="00E3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3395"/>
    <w:multiLevelType w:val="hybridMultilevel"/>
    <w:tmpl w:val="9566E2E4"/>
    <w:lvl w:ilvl="0" w:tplc="D17AE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3868"/>
    <w:multiLevelType w:val="hybridMultilevel"/>
    <w:tmpl w:val="35627984"/>
    <w:lvl w:ilvl="0" w:tplc="CBDAF4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F7749"/>
    <w:multiLevelType w:val="hybridMultilevel"/>
    <w:tmpl w:val="E992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CF6"/>
    <w:rsid w:val="00034E63"/>
    <w:rsid w:val="00133871"/>
    <w:rsid w:val="001725C9"/>
    <w:rsid w:val="001D2A95"/>
    <w:rsid w:val="001D607D"/>
    <w:rsid w:val="002019C9"/>
    <w:rsid w:val="00224FCD"/>
    <w:rsid w:val="00257500"/>
    <w:rsid w:val="00262852"/>
    <w:rsid w:val="00287DC6"/>
    <w:rsid w:val="002B4349"/>
    <w:rsid w:val="002B7BE1"/>
    <w:rsid w:val="002C328E"/>
    <w:rsid w:val="002D1FE3"/>
    <w:rsid w:val="003927B3"/>
    <w:rsid w:val="003B18CB"/>
    <w:rsid w:val="003C6F47"/>
    <w:rsid w:val="004044C2"/>
    <w:rsid w:val="00422302"/>
    <w:rsid w:val="00451CF6"/>
    <w:rsid w:val="004534D3"/>
    <w:rsid w:val="00487564"/>
    <w:rsid w:val="00497EF6"/>
    <w:rsid w:val="004A73D2"/>
    <w:rsid w:val="004B77A6"/>
    <w:rsid w:val="004C3F08"/>
    <w:rsid w:val="00504148"/>
    <w:rsid w:val="00544CFC"/>
    <w:rsid w:val="005603DA"/>
    <w:rsid w:val="00567361"/>
    <w:rsid w:val="0057507B"/>
    <w:rsid w:val="005864C7"/>
    <w:rsid w:val="005B5445"/>
    <w:rsid w:val="005F1B17"/>
    <w:rsid w:val="00612500"/>
    <w:rsid w:val="0064090E"/>
    <w:rsid w:val="00646E66"/>
    <w:rsid w:val="00650FF2"/>
    <w:rsid w:val="006756B1"/>
    <w:rsid w:val="00676B20"/>
    <w:rsid w:val="006E5319"/>
    <w:rsid w:val="006F1F02"/>
    <w:rsid w:val="00722BD6"/>
    <w:rsid w:val="0073459B"/>
    <w:rsid w:val="007476AC"/>
    <w:rsid w:val="0077366F"/>
    <w:rsid w:val="007757DD"/>
    <w:rsid w:val="00781A56"/>
    <w:rsid w:val="007C496F"/>
    <w:rsid w:val="007C7559"/>
    <w:rsid w:val="007C7667"/>
    <w:rsid w:val="007C7FD1"/>
    <w:rsid w:val="007E0B31"/>
    <w:rsid w:val="00805A85"/>
    <w:rsid w:val="00815F9C"/>
    <w:rsid w:val="009D7209"/>
    <w:rsid w:val="009E328E"/>
    <w:rsid w:val="009E4211"/>
    <w:rsid w:val="009F3657"/>
    <w:rsid w:val="009F5116"/>
    <w:rsid w:val="00A00BE7"/>
    <w:rsid w:val="00A17754"/>
    <w:rsid w:val="00A52F08"/>
    <w:rsid w:val="00A81946"/>
    <w:rsid w:val="00A92B91"/>
    <w:rsid w:val="00A94C47"/>
    <w:rsid w:val="00AB056D"/>
    <w:rsid w:val="00AC64D7"/>
    <w:rsid w:val="00B05D39"/>
    <w:rsid w:val="00B70D15"/>
    <w:rsid w:val="00B75A70"/>
    <w:rsid w:val="00BA3D52"/>
    <w:rsid w:val="00BD78FE"/>
    <w:rsid w:val="00BF4736"/>
    <w:rsid w:val="00BF7266"/>
    <w:rsid w:val="00C179C1"/>
    <w:rsid w:val="00C42341"/>
    <w:rsid w:val="00C609B4"/>
    <w:rsid w:val="00C844D3"/>
    <w:rsid w:val="00C94C30"/>
    <w:rsid w:val="00CE7EBE"/>
    <w:rsid w:val="00CF22BA"/>
    <w:rsid w:val="00D43B37"/>
    <w:rsid w:val="00D45396"/>
    <w:rsid w:val="00D51609"/>
    <w:rsid w:val="00DA5DF4"/>
    <w:rsid w:val="00DB646B"/>
    <w:rsid w:val="00DC29F0"/>
    <w:rsid w:val="00E23A9D"/>
    <w:rsid w:val="00E33C3A"/>
    <w:rsid w:val="00E629D3"/>
    <w:rsid w:val="00EA705C"/>
    <w:rsid w:val="00EC2E92"/>
    <w:rsid w:val="00EC5FB1"/>
    <w:rsid w:val="00F254DD"/>
    <w:rsid w:val="00F3014F"/>
    <w:rsid w:val="00F347AE"/>
    <w:rsid w:val="00FA2F30"/>
    <w:rsid w:val="00FB27E3"/>
    <w:rsid w:val="00F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7FDE"/>
  <w15:docId w15:val="{67ED8523-7028-4A81-83D9-0B6A7C5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45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5A0"/>
    <w:pPr>
      <w:spacing w:after="160" w:line="259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FD45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science/article/pii/S15662535090001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Varun Ramamohan</cp:lastModifiedBy>
  <cp:revision>90</cp:revision>
  <dcterms:created xsi:type="dcterms:W3CDTF">2018-04-04T10:31:00Z</dcterms:created>
  <dcterms:modified xsi:type="dcterms:W3CDTF">2019-04-04T09:32:00Z</dcterms:modified>
</cp:coreProperties>
</file>