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00000"/>
          <w:left w:val="none"/>
          <w:right w:val="none"/>
          <w:insideH w:val="single" w:sz="4" w:space="0" w:color="CBD5E1"/>
          <w:insideV w:val="none"/>
        </w:tblBorders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2477"/>
            <w:tcMar>
              <w:top w:w="45" w:type="dxa"/>
              <w:bottom w:w="45" w:type="dxa"/>
              <w:left w:w="35" w:type="dxa"/>
              <w:right w:w="35" w:type="dxa"/>
            </w:tcMar>
            <w:shd w:fill="F0F4F8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Benchmark Operation</w:t>
            </w:r>
          </w:p>
        </w:tc>
        <w:tc>
          <w:tcPr>
            <w:tcW w:type="dxa" w:w="2333"/>
            <w:tcMar>
              <w:top w:w="45" w:type="dxa"/>
              <w:bottom w:w="45" w:type="dxa"/>
              <w:left w:w="35" w:type="dxa"/>
              <w:right w:w="35" w:type="dxa"/>
            </w:tcMar>
            <w:shd w:fill="F0F4F8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Test Sample / Conditions</w:t>
            </w:r>
          </w:p>
        </w:tc>
        <w:tc>
          <w:tcPr>
            <w:tcW w:type="dxa" w:w="1512"/>
            <w:tcMar>
              <w:top w:w="45" w:type="dxa"/>
              <w:bottom w:w="45" w:type="dxa"/>
              <w:left w:w="35" w:type="dxa"/>
              <w:right w:w="35" w:type="dxa"/>
            </w:tcMar>
            <w:shd w:fill="F0F4F8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Observed Latency</w:t>
            </w:r>
          </w:p>
        </w:tc>
        <w:tc>
          <w:tcPr>
            <w:tcW w:type="dxa" w:w="1469"/>
            <w:tcMar>
              <w:top w:w="45" w:type="dxa"/>
              <w:bottom w:w="45" w:type="dxa"/>
              <w:left w:w="35" w:type="dxa"/>
              <w:right w:w="35" w:type="dxa"/>
            </w:tcMar>
            <w:shd w:fill="F0F4F8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Production Target</w:t>
            </w:r>
          </w:p>
        </w:tc>
        <w:tc>
          <w:tcPr>
            <w:tcW w:type="dxa" w:w="878"/>
            <w:tcMar>
              <w:top w:w="45" w:type="dxa"/>
              <w:bottom w:w="45" w:type="dxa"/>
              <w:left w:w="35" w:type="dxa"/>
              <w:right w:w="35" w:type="dxa"/>
            </w:tcMar>
            <w:shd w:fill="F0F4F8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Authentication &amp; Token Sign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Bcrypt 12 rounds + JWT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62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150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Product SKU Query &amp; Filter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1,000 SKUs with regex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18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50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Bin Capacity Validation Check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Weight &amp; Volume calculation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4.2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Transactional Inward Ledger</w:t>
              <w:br/>
              <w:t>Write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MongoDB replica set txn ($inc)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32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80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Order Stock Reservation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Atomic $inc reservedQuantity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24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50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Nearest-First Picking Sort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40-item order location sort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2.8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Order Dispatch Clearance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Deduct stock + SHP- counter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38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100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WebSocket Real-Time</w:t>
              <w:br/>
              <w:t>Broadcast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Socket.IO event emit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12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30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  <w:tr>
        <w:trPr>
          <w:cantSplit/>
        </w:trPr>
        <w:tc>
          <w:tcPr>
            <w:tcW w:type="dxa" w:w="2477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RBAC Route Authorization</w:t>
              <w:br/>
              <w:t>Guard</w:t>
            </w:r>
          </w:p>
        </w:tc>
        <w:tc>
          <w:tcPr>
            <w:tcW w:type="dxa" w:w="2333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JWT decode + role validation</w:t>
            </w:r>
          </w:p>
        </w:tc>
        <w:tc>
          <w:tcPr>
            <w:tcW w:type="dxa" w:w="1512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1.1 ms</w:t>
            </w:r>
          </w:p>
        </w:tc>
        <w:tc>
          <w:tcPr>
            <w:tcW w:type="dxa" w:w="1469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sz w:val="17"/>
              </w:rPr>
              <w:t>&lt; 5 ms</w:t>
            </w:r>
          </w:p>
        </w:tc>
        <w:tc>
          <w:tcPr>
            <w:tcW w:type="dxa" w:w="878"/>
            <w:tcMar>
              <w:top w:w="30" w:type="dxa"/>
              <w:bottom w:w="30" w:type="dxa"/>
              <w:left w:w="35" w:type="dxa"/>
              <w:right w:w="35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Optimal</w:t>
            </w:r>
          </w:p>
        </w:tc>
      </w:tr>
    </w:tbl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