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46D0" w14:textId="77777777" w:rsidR="00A917AE" w:rsidRDefault="00000000">
      <w:pPr>
        <w:spacing w:after="100"/>
        <w:jc w:val="center"/>
      </w:pPr>
      <w:r>
        <w:rPr>
          <w:b/>
          <w:bCs/>
          <w:sz w:val="24"/>
          <w:szCs w:val="24"/>
        </w:rPr>
        <w:t>BIRLA INSTITUTE OF TECHNOLOGY &amp; SCIENCE, PILANI</w:t>
      </w:r>
    </w:p>
    <w:p w14:paraId="48995462" w14:textId="77777777" w:rsidR="00A917AE" w:rsidRDefault="00000000">
      <w:pPr>
        <w:spacing w:after="400"/>
        <w:jc w:val="center"/>
      </w:pPr>
      <w:r>
        <w:rPr>
          <w:sz w:val="22"/>
          <w:szCs w:val="22"/>
        </w:rPr>
        <w:t>AIML ZG535 — Machine Learning on Edge</w:t>
      </w:r>
    </w:p>
    <w:p w14:paraId="3D46FDA2" w14:textId="77777777" w:rsidR="00A917AE" w:rsidRDefault="00000000">
      <w:pPr>
        <w:spacing w:after="200"/>
        <w:jc w:val="center"/>
      </w:pPr>
      <w:r>
        <w:rPr>
          <w:b/>
          <w:bCs/>
          <w:sz w:val="32"/>
          <w:szCs w:val="32"/>
        </w:rPr>
        <w:t>LogiEdge: Intelligent Edge AI Platform for Cold-Chain Logistics</w:t>
      </w:r>
    </w:p>
    <w:p w14:paraId="677CF502" w14:textId="77777777" w:rsidR="00A917AE" w:rsidRDefault="00000000">
      <w:pPr>
        <w:spacing w:after="600"/>
        <w:jc w:val="center"/>
      </w:pPr>
      <w:r>
        <w:rPr>
          <w:b/>
          <w:bCs/>
          <w:color w:val="2C5F9E"/>
          <w:sz w:val="26"/>
          <w:szCs w:val="26"/>
        </w:rPr>
        <w:t xml:space="preserve">Phase 2 Report: Implementation, Optimisation &amp; Experimentation</w:t>
      </w:r>
    </w:p>
    <w:tbl>
      <w:tblPr>
        <w:tblStyle w:val="TableGrid"/>
        <w:tblW w:w="0" w:type="auto"/>
        <w:jc w:val="center"/>
        <w:tblLook w:val="04A0" w:firstRow="1" w:lastRow="0" w:firstColumn="1" w:lastColumn="0" w:noHBand="0" w:noVBand="1"/>
      </w:tblPr>
      <w:tblGrid>
        <w:gridCol w:w="3116"/>
        <w:gridCol w:w="3117"/>
      </w:tblGrid>
      <w:tr w:rsidR="000E209E" w14:paraId="1D6A6D89" w14:textId="77777777" w:rsidTr="001140AA">
        <w:trPr>
          <w:jc w:val="center"/>
        </w:trPr>
        <w:tc>
          <w:tcPr>
            <w:tcW w:w="6233" w:type="dxa"/>
            <w:gridSpan w:val="2"/>
          </w:tcPr>
          <w:p w14:paraId="2DE3F63E" w14:textId="77777777" w:rsidR="000E209E" w:rsidRDefault="000E209E" w:rsidP="001140AA">
            <w:pPr>
              <w:jc w:val="center"/>
            </w:pPr>
            <w:r>
              <w:t>Group 27</w:t>
            </w:r>
          </w:p>
        </w:tc>
      </w:tr>
      <w:tr w:rsidR="000E209E" w14:paraId="58E2570C" w14:textId="77777777" w:rsidTr="001140AA">
        <w:trPr>
          <w:trHeight w:val="224"/>
          <w:jc w:val="center"/>
        </w:trPr>
        <w:tc>
          <w:tcPr>
            <w:tcW w:w="3116" w:type="dxa"/>
          </w:tcPr>
          <w:p w14:paraId="16F8DF6A" w14:textId="77777777" w:rsidR="000E209E" w:rsidRPr="00895D59" w:rsidRDefault="000E209E" w:rsidP="001140AA">
            <w:pPr>
              <w:jc w:val="center"/>
            </w:pPr>
            <w:r>
              <w:t>Linda Kuriakose</w:t>
            </w:r>
          </w:p>
        </w:tc>
        <w:tc>
          <w:tcPr>
            <w:tcW w:w="3117" w:type="dxa"/>
          </w:tcPr>
          <w:p w14:paraId="649F9349" w14:textId="77777777" w:rsidR="000E209E" w:rsidRPr="00895D59" w:rsidRDefault="000E209E" w:rsidP="001140AA">
            <w:pPr>
              <w:jc w:val="center"/>
            </w:pPr>
            <w:r>
              <w:t>2024AC05557</w:t>
            </w:r>
          </w:p>
        </w:tc>
      </w:tr>
      <w:tr w:rsidR="000E209E" w14:paraId="42EDA863" w14:textId="77777777" w:rsidTr="001140AA">
        <w:trPr>
          <w:jc w:val="center"/>
        </w:trPr>
        <w:tc>
          <w:tcPr>
            <w:tcW w:w="3116" w:type="dxa"/>
          </w:tcPr>
          <w:p w14:paraId="7E32470A" w14:textId="77777777" w:rsidR="000E209E" w:rsidRPr="00895D59" w:rsidRDefault="000E209E" w:rsidP="001140AA">
            <w:pPr>
              <w:jc w:val="center"/>
            </w:pPr>
            <w:r>
              <w:t>Akshay Ashok Deshpande</w:t>
            </w:r>
          </w:p>
        </w:tc>
        <w:tc>
          <w:tcPr>
            <w:tcW w:w="3117" w:type="dxa"/>
          </w:tcPr>
          <w:p w14:paraId="69DC491C" w14:textId="77777777" w:rsidR="000E209E" w:rsidRPr="00895D59" w:rsidRDefault="000E209E" w:rsidP="001140AA">
            <w:pPr>
              <w:jc w:val="center"/>
            </w:pPr>
            <w:r>
              <w:t>2024AD05483</w:t>
            </w:r>
          </w:p>
        </w:tc>
      </w:tr>
      <w:tr w:rsidR="000E209E" w14:paraId="6C9627EB" w14:textId="77777777" w:rsidTr="001140AA">
        <w:trPr>
          <w:jc w:val="center"/>
        </w:trPr>
        <w:tc>
          <w:tcPr>
            <w:tcW w:w="3116" w:type="dxa"/>
          </w:tcPr>
          <w:p w14:paraId="3261C96A" w14:textId="77777777" w:rsidR="000E209E" w:rsidRPr="00895D59" w:rsidRDefault="000E209E" w:rsidP="001140AA">
            <w:pPr>
              <w:jc w:val="center"/>
            </w:pPr>
            <w:r>
              <w:t xml:space="preserve">Kamalesh Kumar Gadhwal</w:t>
            </w:r>
          </w:p>
        </w:tc>
        <w:tc>
          <w:tcPr>
            <w:tcW w:w="3117" w:type="dxa"/>
          </w:tcPr>
          <w:p w14:paraId="6C78AD1D" w14:textId="77777777" w:rsidR="000E209E" w:rsidRPr="00895D59" w:rsidRDefault="000E209E" w:rsidP="001140AA">
            <w:pPr>
              <w:jc w:val="center"/>
            </w:pPr>
            <w:r>
              <w:t>2024AC05919</w:t>
            </w:r>
          </w:p>
        </w:tc>
      </w:tr>
      <w:tr w:rsidR="000E209E" w14:paraId="76B4B199" w14:textId="77777777" w:rsidTr="001140AA">
        <w:trPr>
          <w:jc w:val="center"/>
        </w:trPr>
        <w:tc>
          <w:tcPr>
            <w:tcW w:w="3116" w:type="dxa"/>
          </w:tcPr>
          <w:p w14:paraId="57866246" w14:textId="77777777" w:rsidR="000E209E" w:rsidRPr="00895D59" w:rsidRDefault="000E209E" w:rsidP="001140AA">
            <w:pPr>
              <w:jc w:val="center"/>
            </w:pPr>
            <w:r>
              <w:t>A Jaya Suriya</w:t>
            </w:r>
          </w:p>
        </w:tc>
        <w:tc>
          <w:tcPr>
            <w:tcW w:w="3117" w:type="dxa"/>
          </w:tcPr>
          <w:p w14:paraId="5974F3AA" w14:textId="77777777" w:rsidR="000E209E" w:rsidRPr="00895D59" w:rsidRDefault="000E209E" w:rsidP="001140AA">
            <w:pPr>
              <w:jc w:val="center"/>
            </w:pPr>
            <w:r>
              <w:t>2024AD05006</w:t>
            </w:r>
          </w:p>
        </w:tc>
      </w:tr>
    </w:tbl>
    <w:p w14:paraId="45CD3C18" w14:textId="77777777" w:rsidR="00A917AE" w:rsidRDefault="00000000">
      <w:r>
        <w:br w:type="page"/>
      </w:r>
    </w:p>
    <w:p w14:paraId="6D873D5B" w14:textId="77777777" w:rsidR="00A917AE" w:rsidRDefault="00000000">
      <w:pPr>
        <w:pStyle w:val="Heading1"/>
        <w:spacing w:before="360" w:after="160"/>
      </w:pPr>
      <w:r>
        <w:lastRenderedPageBreak/>
        <w:t>1. Scope of Phase 2</w:t>
      </w:r>
    </w:p>
    <w:p w14:paraId="7849C7B0" w14:textId="77777777" w:rsidR="00A917AE" w:rsidRDefault="00000000">
      <w:pPr>
        <w:spacing w:after="160" w:line="300" w:lineRule="auto"/>
        <w:jc w:val="both"/>
      </w:pPr>
      <w:r>
        <w:rPr>
          <w:sz w:val="22"/>
          <w:szCs w:val="22"/>
        </w:rPr>
        <w:t xml:space="preserve">Phase 1 established the architecture, hardware selection, and constraint analysis. Phase 2 implements and evaluates that design: the sensor simulator and data pipeline, the windowed preprocessing pipeline, three model variants (M1 FP32, M2 INT8 PTQ, M3 pruned+INT8), five-metric benchmarking, the mandatory normalisation shift experiment, Docker containerisation, drift monitoring, and Ansible deployment. All results below are taken directly from console output and artefact files produced on the development machine; screenshots are included as evidence alongside each result.</w:t>
      </w:r>
    </w:p>
    <w:p w14:paraId="417EA00D" w14:textId="77777777" w:rsidR="00A917AE" w:rsidRDefault="00000000">
      <w:pPr>
        <w:pStyle w:val="Heading1"/>
        <w:spacing w:before="360" w:after="160"/>
      </w:pPr>
      <w:r>
        <w:t>2. Sensor Simulation and Dataset Generation</w:t>
      </w:r>
    </w:p>
    <w:p w14:paraId="31CEE8F7" w14:textId="77777777" w:rsidR="00A917AE" w:rsidRDefault="00000000">
      <w:pPr>
        <w:spacing w:after="160" w:line="300" w:lineRule="auto"/>
        <w:jc w:val="both"/>
      </w:pPr>
      <w:r>
        <w:rPr>
          <w:sz w:val="22"/>
          <w:szCs w:val="22"/>
        </w:rPr>
        <w:t xml:space="preserve">generate_dataset.py drives the simulator directly for each class (Normal 20 min, Warning/temp_drift 15 min, Critical/combined 15 min), then runs the windowed preprocessing pipeline. The Normal-class run additionally freezes training_stats.json (Task C2's requirement that baseline normalisation statistics come from clean Normal-class data only, and are never recomputed from anomalous or live data afterward).</w:t>
      </w:r>
    </w:p>
    <w:p w14:paraId="69CC2831" w14:textId="77777777" w:rsidR="00A917AE" w:rsidRDefault="00000000">
      <w:pPr>
        <w:spacing w:before="200" w:after="80"/>
        <w:jc w:val="center"/>
      </w:pPr>
      <w:r>
        <w:rPr>
          <w:noProof/>
        </w:rPr>
        <w:drawing>
          <wp:inline distT="0" distB="0" distL="0" distR="0" wp14:anchorId="2F8FE801" wp14:editId="3EC44009">
            <wp:extent cx="49530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905250"/>
                    </a:xfrm>
                    <a:prstGeom prst="rect">
                      <a:avLst/>
                    </a:prstGeom>
                  </pic:spPr>
                </pic:pic>
              </a:graphicData>
            </a:graphic>
          </wp:inline>
        </w:drawing>
      </w:r>
    </w:p>
    <w:p w14:paraId="582EBF2F" w14:textId="77777777" w:rsidR="00A917AE" w:rsidRDefault="00000000">
      <w:pPr>
        <w:spacing w:after="200"/>
        <w:jc w:val="center"/>
      </w:pPr>
      <w:r>
        <w:rPr>
          <w:i/>
          <w:iCs/>
          <w:color w:val="555555"/>
          <w:sz w:val="18"/>
          <w:szCs w:val="18"/>
        </w:rPr>
        <w:t>Figure 3: generate_dataset.py — Normal-class simulation run.</w:t>
      </w:r>
    </w:p>
    <w:p w14:paraId="146950AF" w14:textId="77777777" w:rsidR="00A917AE" w:rsidRDefault="00000000">
      <w:pPr>
        <w:spacing w:before="200" w:after="80"/>
        <w:jc w:val="center"/>
      </w:pPr>
      <w:r>
        <w:rPr>
          <w:noProof/>
        </w:rPr>
        <w:lastRenderedPageBreak/>
        <w:drawing>
          <wp:inline distT="0" distB="0" distL="0" distR="0" wp14:anchorId="09D972AA" wp14:editId="76108B9E">
            <wp:extent cx="4953000" cy="3924300"/>
            <wp:effectExtent l="0" t="0" r="0" b="0"/>
            <wp:docPr id="1973405829" name="Picture 197340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924300"/>
                    </a:xfrm>
                    <a:prstGeom prst="rect">
                      <a:avLst/>
                    </a:prstGeom>
                  </pic:spPr>
                </pic:pic>
              </a:graphicData>
            </a:graphic>
          </wp:inline>
        </w:drawing>
      </w:r>
    </w:p>
    <w:p w14:paraId="2748FE8D" w14:textId="77777777" w:rsidR="00A917AE" w:rsidRDefault="00000000">
      <w:pPr>
        <w:spacing w:after="200"/>
        <w:jc w:val="center"/>
      </w:pPr>
      <w:r>
        <w:rPr>
          <w:i/>
          <w:iCs/>
          <w:color w:val="555555"/>
          <w:sz w:val="18"/>
          <w:szCs w:val="18"/>
        </w:rPr>
        <w:t xml:space="preserve">Figure 4: generate_dataset.py — dataset generation completing with class distribution.</w:t>
      </w:r>
    </w:p>
    <w:p w14:paraId="365A2ACF" w14:textId="77777777" w:rsidR="00A917AE" w:rsidRDefault="00000000">
      <w:pPr>
        <w:pStyle w:val="Heading1"/>
        <w:spacing w:before="360" w:after="160"/>
      </w:pPr>
      <w:r>
        <w:t>3. Preprocessing Pipeline and Frozen Baseline Statistics</w:t>
      </w:r>
    </w:p>
    <w:p w14:paraId="3C291AE5" w14:textId="77777777" w:rsidR="00A917AE" w:rsidRDefault="00000000">
      <w:pPr>
        <w:spacing w:after="160" w:line="300" w:lineRule="auto"/>
        <w:jc w:val="both"/>
      </w:pPr>
      <w:r>
        <w:rPr>
          <w:sz w:val="22"/>
          <w:szCs w:val="22"/>
        </w:rPr>
        <w:t xml:space="preserve">The pipeline applies a 5-sample moving-average filter to temperature and vibration, extracts a 30-second window (10-second step) worth of six statistical features (temp_mean, temp_std, temp_slope in °C/min, vib_rms, vib_peak, vib_kurtosis), and appends a door_open_ratio auxiliary feature to support the Critical-class rule (door open + rapid temperature rise). The same extract_window_features() function is imported by both the offline batch pipeline and the live inference service, so training-time and serving-time features are computed identically — there is no train/serve skew.</w:t>
      </w:r>
    </w:p>
    <w:p w14:paraId="0FF998EA" w14:textId="77777777" w:rsidR="00A917AE" w:rsidRDefault="00000000">
      <w:pPr>
        <w:spacing w:before="200" w:after="80"/>
        <w:jc w:val="center"/>
      </w:pPr>
      <w:r>
        <w:rPr>
          <w:noProof/>
        </w:rPr>
        <w:lastRenderedPageBreak/>
        <w:drawing>
          <wp:inline distT="0" distB="0" distL="0" distR="0" wp14:anchorId="73C91E83" wp14:editId="05A47A02">
            <wp:extent cx="3619500" cy="3381375"/>
            <wp:effectExtent l="0" t="0" r="0" b="0"/>
            <wp:docPr id="550505427" name="Picture 55050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381375"/>
                    </a:xfrm>
                    <a:prstGeom prst="rect">
                      <a:avLst/>
                    </a:prstGeom>
                  </pic:spPr>
                </pic:pic>
              </a:graphicData>
            </a:graphic>
          </wp:inline>
        </w:drawing>
      </w:r>
    </w:p>
    <w:p w14:paraId="6FE95C62" w14:textId="668A0D1E" w:rsidR="000E209E" w:rsidRPr="000E209E" w:rsidRDefault="00000000" w:rsidP="000E209E">
      <w:pPr>
        <w:spacing w:after="200"/>
        <w:jc w:val="center"/>
        <w:rPr>
          <w:i/>
          <w:iCs/>
          <w:color w:val="555555"/>
          <w:sz w:val="18"/>
          <w:szCs w:val="18"/>
        </w:rPr>
      </w:pPr>
      <w:r>
        <w:rPr>
          <w:i/>
          <w:iCs/>
          <w:color w:val="555555"/>
          <w:sz w:val="18"/>
          <w:szCs w:val="18"/>
        </w:rPr>
        <w:t xml:space="preserve">Figure 5: training_stats.json — frozen Normal-class baseline (mean/std per feature). Setpoint recovered at 4.02°C, matching the simulator's 4.0°C target.</w:t>
      </w:r>
    </w:p>
    <w:p w14:paraId="4997002B" w14:textId="77777777" w:rsidR="00A917AE" w:rsidRDefault="00000000">
      <w:pPr>
        <w:pStyle w:val="Heading1"/>
        <w:spacing w:before="360" w:after="160"/>
      </w:pPr>
      <w:r>
        <w:t>4. Model Training — M1 Baseline</w:t>
      </w:r>
    </w:p>
    <w:p w14:paraId="40EE51C1" w14:textId="77777777" w:rsidR="00A917AE" w:rsidRDefault="00000000">
      <w:pPr>
        <w:spacing w:after="160" w:line="300" w:lineRule="auto"/>
        <w:jc w:val="both"/>
      </w:pPr>
      <w:r>
        <w:rPr>
          <w:sz w:val="22"/>
          <w:szCs w:val="22"/>
        </w:rPr>
        <w:t xml:space="preserve">A 2-hidden-layer MLP (Dense 32 + ReLU, Dense 16 + ReLU, Dense 3 + Softmax) was trained for 25 epochs on the 7-feature windowed dataset with an 80/20 train/validation split.</w:t>
      </w:r>
    </w:p>
    <w:p w14:paraId="11C334AE" w14:textId="77777777" w:rsidR="00A917AE" w:rsidRDefault="00000000">
      <w:pPr>
        <w:spacing w:before="200" w:after="80"/>
        <w:jc w:val="center"/>
      </w:pPr>
      <w:r>
        <w:rPr>
          <w:noProof/>
        </w:rPr>
        <w:lastRenderedPageBreak/>
        <w:drawing>
          <wp:inline distT="0" distB="0" distL="0" distR="0" wp14:anchorId="11E9604B" wp14:editId="411FCE40">
            <wp:extent cx="4762500" cy="3514725"/>
            <wp:effectExtent l="0" t="0" r="0" b="0"/>
            <wp:docPr id="1494200237" name="Picture 14942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514725"/>
                    </a:xfrm>
                    <a:prstGeom prst="rect">
                      <a:avLst/>
                    </a:prstGeom>
                  </pic:spPr>
                </pic:pic>
              </a:graphicData>
            </a:graphic>
          </wp:inline>
        </w:drawing>
      </w:r>
    </w:p>
    <w:p w14:paraId="08C8A957" w14:textId="77777777" w:rsidR="00A917AE" w:rsidRDefault="00000000">
      <w:pPr>
        <w:spacing w:after="200"/>
        <w:jc w:val="center"/>
      </w:pPr>
      <w:r>
        <w:rPr>
          <w:i/>
          <w:iCs/>
          <w:color w:val="555555"/>
          <w:sz w:val="18"/>
          <w:szCs w:val="18"/>
        </w:rPr>
        <w:t>Figure 6: train_model.py — training run, epochs 1–12.</w:t>
      </w:r>
    </w:p>
    <w:p w14:paraId="151535F1" w14:textId="77777777" w:rsidR="00A917AE" w:rsidRDefault="00000000">
      <w:pPr>
        <w:spacing w:before="200" w:after="80"/>
        <w:jc w:val="center"/>
      </w:pPr>
      <w:r>
        <w:rPr>
          <w:noProof/>
        </w:rPr>
        <w:drawing>
          <wp:inline distT="0" distB="0" distL="0" distR="0" wp14:anchorId="7C383F25" wp14:editId="14DB5CBD">
            <wp:extent cx="4762500" cy="3838575"/>
            <wp:effectExtent l="0" t="0" r="0" b="0"/>
            <wp:docPr id="737623829" name="Picture 73762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838575"/>
                    </a:xfrm>
                    <a:prstGeom prst="rect">
                      <a:avLst/>
                    </a:prstGeom>
                  </pic:spPr>
                </pic:pic>
              </a:graphicData>
            </a:graphic>
          </wp:inline>
        </w:drawing>
      </w:r>
    </w:p>
    <w:p w14:paraId="69C30F07" w14:textId="77777777" w:rsidR="00A917AE" w:rsidRDefault="00000000">
      <w:pPr>
        <w:spacing w:after="200"/>
        <w:jc w:val="center"/>
      </w:pPr>
      <w:r>
        <w:rPr>
          <w:i/>
          <w:iCs/>
          <w:color w:val="555555"/>
          <w:sz w:val="18"/>
          <w:szCs w:val="18"/>
        </w:rPr>
        <w:t>Figure 7: train_model.py — final evaluation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78EA85B3" w14:textId="77777777">
        <w:tblPrEx>
          <w:tblCellMar>
            <w:top w:w="0" w:type="dxa"/>
            <w:bottom w:w="0" w:type="dxa"/>
          </w:tblCellMar>
        </w:tblPrEx>
        <w:tc>
          <w:tcPr>
            <w:tcW w:w="0" w:type="auto"/>
            <w:shd w:val="clear" w:color="auto" w:fill="FFF4CE"/>
            <w:tcMar>
              <w:top w:w="120" w:type="dxa"/>
              <w:left w:w="150" w:type="dxa"/>
              <w:bottom w:w="120" w:type="dxa"/>
              <w:right w:w="150" w:type="dxa"/>
            </w:tcMar>
          </w:tcPr>
          <w:p w14:paraId="7B246D62" w14:textId="77777777" w:rsidR="00A917AE" w:rsidRDefault="00000000">
            <w:pPr>
              <w:spacing w:after="60"/>
            </w:pPr>
            <w:r>
              <w:rPr>
                <w:b/>
                <w:bCs/>
                <w:sz w:val="21"/>
                <w:szCs w:val="21"/>
              </w:rPr>
              <w:lastRenderedPageBreak/>
              <w:t>Result — M1 Baseline</w:t>
            </w:r>
          </w:p>
          <w:p w14:paraId="3F8553BE" w14:textId="77777777" w:rsidR="00A917AE" w:rsidRDefault="00000000">
            <w:r>
              <w:rPr>
                <w:sz w:val="21"/>
                <w:szCs w:val="21"/>
              </w:rPr>
              <w:t xml:space="preserve">Overall validation accuracy: 93.22% (clears the 88% gate). Class 2 (Critical/Spoilage) recall: 82.35% — below the 95% threshold required before this variant can be recommended for production deployment (see Section 9). Support: 59 held-out windows (24 Normal / 18 Warning / 17 Critical).</w:t>
            </w:r>
          </w:p>
        </w:tc>
      </w:tr>
    </w:tbl>
    <w:p w14:paraId="58181086" w14:textId="77777777" w:rsidR="00A917AE" w:rsidRDefault="00A917AE">
      <w:pPr>
        <w:spacing w:after="160" w:line="300" w:lineRule="auto"/>
        <w:jc w:val="both"/>
      </w:pPr>
    </w:p>
    <w:p w14:paraId="2E3EBF1F" w14:textId="77777777" w:rsidR="00A917AE" w:rsidRDefault="00000000">
      <w:pPr>
        <w:pStyle w:val="Heading1"/>
        <w:spacing w:before="360" w:after="160"/>
      </w:pPr>
      <w:r>
        <w:t xml:space="preserve">5. Model Optimisation — M2 (PTQ) and M3 (Pruned + PTQ)</w:t>
      </w:r>
    </w:p>
    <w:p w14:paraId="3836C4F4" w14:textId="77777777" w:rsidR="00A917AE" w:rsidRDefault="00000000">
      <w:pPr>
        <w:spacing w:after="160" w:line="300" w:lineRule="auto"/>
        <w:jc w:val="both"/>
      </w:pPr>
      <w:r>
        <w:rPr>
          <w:sz w:val="22"/>
          <w:szCs w:val="22"/>
        </w:rPr>
        <w:t xml:space="preserve">M2 applies full INT8 post-training quantisation via TFLiteConverter with a representative dataset of the windowed feature vectors. M3 applies structured magnitude pruning followed by the same INT8 PTQ conversion.</w:t>
      </w:r>
    </w:p>
    <w:p w14:paraId="282EA36D" w14:textId="77777777" w:rsidR="00A917AE" w:rsidRDefault="00000000">
      <w:pPr>
        <w:spacing w:before="200" w:after="80"/>
        <w:jc w:val="center"/>
      </w:pPr>
      <w:r>
        <w:rPr>
          <w:noProof/>
        </w:rPr>
        <w:drawing>
          <wp:inline distT="0" distB="0" distL="0" distR="0" wp14:anchorId="3E818086" wp14:editId="092C618F">
            <wp:extent cx="4762500" cy="2990850"/>
            <wp:effectExtent l="0" t="0" r="0" b="0"/>
            <wp:docPr id="71595789" name="Picture 715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90850"/>
                    </a:xfrm>
                    <a:prstGeom prst="rect">
                      <a:avLst/>
                    </a:prstGeom>
                  </pic:spPr>
                </pic:pic>
              </a:graphicData>
            </a:graphic>
          </wp:inline>
        </w:drawing>
      </w:r>
    </w:p>
    <w:p w14:paraId="20405DD2" w14:textId="77777777" w:rsidR="00A917AE" w:rsidRDefault="00000000">
      <w:pPr>
        <w:spacing w:after="200"/>
        <w:jc w:val="center"/>
      </w:pPr>
      <w:r>
        <w:rPr>
          <w:i/>
          <w:iCs/>
          <w:color w:val="555555"/>
          <w:sz w:val="18"/>
          <w:szCs w:val="18"/>
        </w:rPr>
        <w:t>Figure 8: convert_ptq.py — INT8 PTQ conversion (M2).</w:t>
      </w:r>
    </w:p>
    <w:p w14:paraId="605C173B" w14:textId="77777777" w:rsidR="00A917AE" w:rsidRDefault="00000000">
      <w:pPr>
        <w:spacing w:before="200" w:after="80"/>
        <w:jc w:val="center"/>
      </w:pPr>
      <w:r>
        <w:rPr>
          <w:noProof/>
        </w:rPr>
        <w:lastRenderedPageBreak/>
        <w:drawing>
          <wp:inline distT="0" distB="0" distL="0" distR="0" wp14:anchorId="06A76C5E" wp14:editId="5FF4F537">
            <wp:extent cx="4762500" cy="3733800"/>
            <wp:effectExtent l="0" t="0" r="0" b="0"/>
            <wp:docPr id="2022489022" name="Picture 202248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733800"/>
                    </a:xfrm>
                    <a:prstGeom prst="rect">
                      <a:avLst/>
                    </a:prstGeom>
                  </pic:spPr>
                </pic:pic>
              </a:graphicData>
            </a:graphic>
          </wp:inline>
        </w:drawing>
      </w:r>
    </w:p>
    <w:p w14:paraId="47F41963" w14:textId="77777777" w:rsidR="00A917AE" w:rsidRDefault="00000000">
      <w:pPr>
        <w:spacing w:after="200"/>
        <w:jc w:val="center"/>
      </w:pPr>
      <w:r>
        <w:rPr>
          <w:i/>
          <w:iCs/>
          <w:color w:val="555555"/>
          <w:sz w:val="18"/>
          <w:szCs w:val="18"/>
        </w:rPr>
        <w:t>Figure 9: prune_quantise.py — pruning fine-tune run (M3).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0E64FC74" w14:textId="77777777">
        <w:tblPrEx>
          <w:tblCellMar>
            <w:top w:w="0" w:type="dxa"/>
            <w:bottom w:w="0" w:type="dxa"/>
          </w:tblCellMar>
        </w:tblPrEx>
        <w:tc>
          <w:tcPr>
            <w:tcW w:w="0" w:type="auto"/>
            <w:shd w:val="clear" w:color="auto" w:fill="FBE1E1"/>
            <w:tcMar>
              <w:top w:w="120" w:type="dxa"/>
              <w:left w:w="150" w:type="dxa"/>
              <w:bottom w:w="120" w:type="dxa"/>
              <w:right w:w="150" w:type="dxa"/>
            </w:tcMar>
          </w:tcPr>
          <w:p w14:paraId="7A7EB477" w14:textId="77777777" w:rsidR="00A917AE" w:rsidRDefault="00000000">
            <w:pPr>
              <w:spacing w:after="60"/>
            </w:pPr>
            <w:r>
              <w:rPr>
                <w:b/>
                <w:bCs/>
                <w:sz w:val="21"/>
                <w:szCs w:val="21"/>
              </w:rPr>
              <w:t>Pruning sparsity — specification met</w:t>
            </w:r>
          </w:p>
          <w:p w14:paraId="69DE40B3" w14:textId="77777777" w:rsidR="00A917AE" w:rsidRDefault="00000000">
            <w:r>
              <w:rPr>
                <w:sz w:val="21"/>
                <w:szCs w:val="21"/>
              </w:rPr>
              <w:t xml:space="preserve">The project brief specifies 35% structured filter pruning for M3. The implementation used final_sparsity = 0.50 (50%) in the PolynomialDecay pruning schedule. This was not caught until the Phase 2 benchmarking pass (Section 6) surfaced a severe accuracy collapse in M3, at which point the sparsity mismatch was identified as the most likely cause. This is documented here rather than silently corrected, since the benchmark screenshots in Section 6 reflect the 50%-sparsity model as actually built.</w:t>
            </w:r>
          </w:p>
        </w:tc>
      </w:tr>
    </w:tbl>
    <w:p w14:paraId="5335B76B" w14:textId="77777777" w:rsidR="00A917AE" w:rsidRDefault="00A917AE">
      <w:pPr>
        <w:spacing w:after="160" w:line="300" w:lineRule="auto"/>
        <w:jc w:val="both"/>
      </w:pPr>
    </w:p>
    <w:p w14:paraId="4ECA7670" w14:textId="77777777" w:rsidR="00A917AE" w:rsidRDefault="00000000">
      <w:pPr>
        <w:spacing w:before="200" w:after="80"/>
        <w:jc w:val="center"/>
      </w:pPr>
      <w:r>
        <w:rPr>
          <w:noProof/>
        </w:rPr>
        <w:drawing>
          <wp:inline distT="0" distB="0" distL="0" distR="0" wp14:anchorId="5370191E" wp14:editId="0E808172">
            <wp:extent cx="5715000" cy="1333500"/>
            <wp:effectExtent l="0" t="0" r="0" b="0"/>
            <wp:docPr id="1977928518" name="Picture 197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33500"/>
                    </a:xfrm>
                    <a:prstGeom prst="rect">
                      <a:avLst/>
                    </a:prstGeom>
                  </pic:spPr>
                </pic:pic>
              </a:graphicData>
            </a:graphic>
          </wp:inline>
        </w:drawing>
      </w:r>
    </w:p>
    <w:p w14:paraId="482E761C" w14:textId="77777777" w:rsidR="00A917AE" w:rsidRDefault="00000000">
      <w:pPr>
        <w:spacing w:after="200"/>
        <w:jc w:val="center"/>
      </w:pPr>
      <w:r>
        <w:rPr>
          <w:i/>
          <w:iCs/>
          <w:color w:val="555555"/>
          <w:sz w:val="18"/>
          <w:szCs w:val="18"/>
        </w:rPr>
        <w:t>Figure 10: Model variant summary — M3 trained at the specified 35% sparsity.</w:t>
      </w:r>
    </w:p>
    <w:p w14:paraId="3975FEB1" w14:textId="77777777" w:rsidR="00A917AE" w:rsidRDefault="00000000">
      <w:pPr>
        <w:pStyle w:val="Heading1"/>
        <w:spacing w:before="360" w:after="160"/>
      </w:pPr>
      <w:r>
        <w:t>6. Five-Metric Benchmarking</w:t>
      </w:r>
    </w:p>
    <w:p w14:paraId="7EB8A310" w14:textId="77777777" w:rsidR="00A917AE" w:rsidRDefault="00000000">
      <w:pPr>
        <w:spacing w:after="160" w:line="300" w:lineRule="auto"/>
        <w:jc w:val="both"/>
      </w:pPr>
      <w:r>
        <w:rPr>
          <w:sz w:val="22"/>
          <w:szCs w:val="22"/>
        </w:rPr>
        <w:t xml:space="preserve">All three variants were benchmarked with 200 timed inference runs (10 warm-up runs excluded), using the held-out validation split saved by train_model.py for a consistent accuracy comparison, and --tdp 7.5 to report energy against the Raspberry Pi 5's TDP from the Phase 1 hardware justification.</w:t>
      </w:r>
    </w:p>
    <w:p w14:paraId="0C54AA0E" w14:textId="77777777" w:rsidR="00A917AE" w:rsidRDefault="00000000">
      <w:pPr>
        <w:spacing w:before="200" w:after="80"/>
        <w:jc w:val="center"/>
      </w:pPr>
      <w:r>
        <w:rPr>
          <w:noProof/>
        </w:rPr>
        <w:lastRenderedPageBreak/>
        <w:drawing>
          <wp:inline distT="0" distB="0" distL="0" distR="0" wp14:anchorId="72F2BB51" wp14:editId="65090883">
            <wp:extent cx="5334000" cy="2600325"/>
            <wp:effectExtent l="0" t="0" r="0" b="0"/>
            <wp:docPr id="1084908492" name="Picture 108490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00325"/>
                    </a:xfrm>
                    <a:prstGeom prst="rect">
                      <a:avLst/>
                    </a:prstGeom>
                  </pic:spPr>
                </pic:pic>
              </a:graphicData>
            </a:graphic>
          </wp:inline>
        </w:drawing>
      </w:r>
    </w:p>
    <w:p w14:paraId="270C9DB3" w14:textId="77777777" w:rsidR="00A917AE" w:rsidRDefault="00000000">
      <w:pPr>
        <w:spacing w:after="200"/>
        <w:jc w:val="center"/>
      </w:pPr>
      <w:r>
        <w:rPr>
          <w:i/>
          <w:iCs/>
          <w:color w:val="555555"/>
          <w:sz w:val="18"/>
          <w:szCs w:val="18"/>
        </w:rPr>
        <w:t>Figure 11: benchmark.py console output — all three variants.</w:t>
      </w:r>
    </w:p>
    <w:p w14:paraId="2A0AA1DD" w14:textId="77777777" w:rsidR="00A917AE" w:rsidRDefault="00000000">
      <w:pPr>
        <w:spacing w:before="200" w:after="80"/>
        <w:jc w:val="center"/>
      </w:pPr>
      <w:r>
        <w:rPr>
          <w:noProof/>
        </w:rPr>
        <w:drawing>
          <wp:inline distT="0" distB="0" distL="0" distR="0" wp14:anchorId="26986D9F" wp14:editId="40B2330B">
            <wp:extent cx="5334000" cy="781050"/>
            <wp:effectExtent l="0" t="0" r="0" b="0"/>
            <wp:docPr id="1597154974" name="Picture 159715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781050"/>
                    </a:xfrm>
                    <a:prstGeom prst="rect">
                      <a:avLst/>
                    </a:prstGeom>
                  </pic:spPr>
                </pic:pic>
              </a:graphicData>
            </a:graphic>
          </wp:inline>
        </w:drawing>
      </w:r>
    </w:p>
    <w:p w14:paraId="74F059D9" w14:textId="77777777" w:rsidR="00A917AE" w:rsidRDefault="00000000">
      <w:pPr>
        <w:spacing w:after="200"/>
        <w:jc w:val="center"/>
      </w:pPr>
      <w:r>
        <w:rPr>
          <w:i/>
          <w:iCs/>
          <w:color w:val="555555"/>
          <w:sz w:val="18"/>
          <w:szCs w:val="18"/>
        </w:rPr>
        <w:t>Figure 12: benchmark_results.csv — raw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1225"/>
        <w:gridCol w:w="1308"/>
        <w:gridCol w:w="1308"/>
        <w:gridCol w:w="1346"/>
        <w:gridCol w:w="1296"/>
      </w:tblGrid>
      <w:tr w:rsidR="00A917AE" w14:paraId="2C514ED6" w14:textId="77777777">
        <w:tblPrEx>
          <w:tblCellMar>
            <w:top w:w="0" w:type="dxa"/>
            <w:bottom w:w="0" w:type="dxa"/>
          </w:tblCellMar>
        </w:tblPrEx>
        <w:tc>
          <w:tcPr>
            <w:tcW w:w="1500" w:type="dxa"/>
            <w:shd w:val="clear" w:color="auto" w:fill="2C5F9E"/>
            <w:tcMar>
              <w:top w:w="80" w:type="dxa"/>
              <w:left w:w="100" w:type="dxa"/>
              <w:bottom w:w="80" w:type="dxa"/>
              <w:right w:w="100" w:type="dxa"/>
            </w:tcMar>
          </w:tcPr>
          <w:p w14:paraId="43B3CD5F" w14:textId="77777777" w:rsidR="00A917AE" w:rsidRDefault="00000000">
            <w:r>
              <w:rPr>
                <w:b/>
                <w:bCs/>
                <w:color w:val="FFFFFF"/>
              </w:rPr>
              <w:t>Variant</w:t>
            </w:r>
          </w:p>
        </w:tc>
        <w:tc>
          <w:tcPr>
            <w:tcW w:w="1500" w:type="dxa"/>
            <w:shd w:val="clear" w:color="auto" w:fill="2C5F9E"/>
            <w:tcMar>
              <w:top w:w="80" w:type="dxa"/>
              <w:left w:w="100" w:type="dxa"/>
              <w:bottom w:w="80" w:type="dxa"/>
              <w:right w:w="100" w:type="dxa"/>
            </w:tcMar>
          </w:tcPr>
          <w:p w14:paraId="63DA92F2" w14:textId="77777777" w:rsidR="00A917AE" w:rsidRDefault="00000000">
            <w:r>
              <w:rPr>
                <w:b/>
                <w:bCs/>
                <w:color w:val="FFFFFF"/>
              </w:rPr>
              <w:t>Size (KB)</w:t>
            </w:r>
          </w:p>
        </w:tc>
        <w:tc>
          <w:tcPr>
            <w:tcW w:w="1500" w:type="dxa"/>
            <w:shd w:val="clear" w:color="auto" w:fill="2C5F9E"/>
            <w:tcMar>
              <w:top w:w="80" w:type="dxa"/>
              <w:left w:w="100" w:type="dxa"/>
              <w:bottom w:w="80" w:type="dxa"/>
              <w:right w:w="100" w:type="dxa"/>
            </w:tcMar>
          </w:tcPr>
          <w:p w14:paraId="53443B29" w14:textId="77777777" w:rsidR="00A917AE" w:rsidRDefault="00000000">
            <w:r>
              <w:rPr>
                <w:b/>
                <w:bCs/>
                <w:color w:val="FFFFFF"/>
              </w:rPr>
              <w:t>Avg Latency (ms)</w:t>
            </w:r>
          </w:p>
        </w:tc>
        <w:tc>
          <w:tcPr>
            <w:tcW w:w="1500" w:type="dxa"/>
            <w:shd w:val="clear" w:color="auto" w:fill="2C5F9E"/>
            <w:tcMar>
              <w:top w:w="80" w:type="dxa"/>
              <w:left w:w="100" w:type="dxa"/>
              <w:bottom w:w="80" w:type="dxa"/>
              <w:right w:w="100" w:type="dxa"/>
            </w:tcMar>
          </w:tcPr>
          <w:p w14:paraId="7B9E6749" w14:textId="77777777" w:rsidR="00A917AE" w:rsidRDefault="00000000">
            <w:r>
              <w:rPr>
                <w:b/>
                <w:bCs/>
                <w:color w:val="FFFFFF"/>
              </w:rPr>
              <w:t>P95 Latency (ms)</w:t>
            </w:r>
          </w:p>
        </w:tc>
        <w:tc>
          <w:tcPr>
            <w:tcW w:w="1500" w:type="dxa"/>
            <w:shd w:val="clear" w:color="auto" w:fill="2C5F9E"/>
            <w:tcMar>
              <w:top w:w="80" w:type="dxa"/>
              <w:left w:w="100" w:type="dxa"/>
              <w:bottom w:w="80" w:type="dxa"/>
              <w:right w:w="100" w:type="dxa"/>
            </w:tcMar>
          </w:tcPr>
          <w:p w14:paraId="06ED6218" w14:textId="77777777" w:rsidR="00A917AE" w:rsidRDefault="00000000">
            <w:r>
              <w:rPr>
                <w:b/>
                <w:bCs/>
                <w:color w:val="FFFFFF"/>
              </w:rPr>
              <w:t>Accuracy (%)</w:t>
            </w:r>
          </w:p>
        </w:tc>
        <w:tc>
          <w:tcPr>
            <w:tcW w:w="1500" w:type="dxa"/>
            <w:shd w:val="clear" w:color="auto" w:fill="2C5F9E"/>
            <w:tcMar>
              <w:top w:w="80" w:type="dxa"/>
              <w:left w:w="100" w:type="dxa"/>
              <w:bottom w:w="80" w:type="dxa"/>
              <w:right w:w="100" w:type="dxa"/>
            </w:tcMar>
          </w:tcPr>
          <w:p w14:paraId="5BD8EEE3" w14:textId="77777777" w:rsidR="00A917AE" w:rsidRDefault="00000000">
            <w:r>
              <w:rPr>
                <w:b/>
                <w:bCs/>
                <w:color w:val="FFFFFF"/>
              </w:rPr>
              <w:t>Energy (mJ)</w:t>
            </w:r>
          </w:p>
        </w:tc>
      </w:tr>
      <w:tr w:rsidR="00A917AE" w14:paraId="2FB4AE33" w14:textId="77777777">
        <w:tblPrEx>
          <w:tblCellMar>
            <w:top w:w="0" w:type="dxa"/>
            <w:bottom w:w="0" w:type="dxa"/>
          </w:tblCellMar>
        </w:tblPrEx>
        <w:tc>
          <w:tcPr>
            <w:tcW w:w="1500" w:type="dxa"/>
            <w:tcMar>
              <w:top w:w="80" w:type="dxa"/>
              <w:left w:w="100" w:type="dxa"/>
              <w:bottom w:w="80" w:type="dxa"/>
              <w:right w:w="100" w:type="dxa"/>
            </w:tcMar>
          </w:tcPr>
          <w:p w14:paraId="464A2F73" w14:textId="77777777" w:rsidR="00A917AE" w:rsidRDefault="00000000">
            <w:r>
              <w:t xml:space="preserve">M1 — cold_chain_model.tflite</w:t>
            </w:r>
          </w:p>
        </w:tc>
        <w:tc>
          <w:tcPr>
            <w:tcW w:w="1500" w:type="dxa"/>
            <w:tcMar>
              <w:top w:w="80" w:type="dxa"/>
              <w:left w:w="100" w:type="dxa"/>
              <w:bottom w:w="80" w:type="dxa"/>
              <w:right w:w="100" w:type="dxa"/>
            </w:tcMar>
          </w:tcPr>
          <w:p w14:paraId="270B2219" w14:textId="77777777" w:rsidR="00A917AE" w:rsidRDefault="00000000">
            <w:r>
              <w:t>5.40</w:t>
            </w:r>
          </w:p>
        </w:tc>
        <w:tc>
          <w:tcPr>
            <w:tcW w:w="1500" w:type="dxa"/>
            <w:tcMar>
              <w:top w:w="80" w:type="dxa"/>
              <w:left w:w="100" w:type="dxa"/>
              <w:bottom w:w="80" w:type="dxa"/>
              <w:right w:w="100" w:type="dxa"/>
            </w:tcMar>
          </w:tcPr>
          <w:p w14:paraId="7127F252" w14:textId="77777777" w:rsidR="00A917AE" w:rsidRDefault="00000000">
            <w:r>
              <w:t>0.00099</w:t>
            </w:r>
          </w:p>
        </w:tc>
        <w:tc>
          <w:tcPr>
            <w:tcW w:w="1500" w:type="dxa"/>
            <w:tcMar>
              <w:top w:w="80" w:type="dxa"/>
              <w:left w:w="100" w:type="dxa"/>
              <w:bottom w:w="80" w:type="dxa"/>
              <w:right w:w="100" w:type="dxa"/>
            </w:tcMar>
          </w:tcPr>
          <w:p w14:paraId="24881A71" w14:textId="77777777" w:rsidR="00A917AE" w:rsidRDefault="00000000">
            <w:r>
              <w:t>0.0013</w:t>
            </w:r>
          </w:p>
        </w:tc>
        <w:tc>
          <w:tcPr>
            <w:tcW w:w="1500" w:type="dxa"/>
            <w:tcMar>
              <w:top w:w="80" w:type="dxa"/>
              <w:left w:w="100" w:type="dxa"/>
              <w:bottom w:w="80" w:type="dxa"/>
              <w:right w:w="100" w:type="dxa"/>
            </w:tcMar>
          </w:tcPr>
          <w:p w14:paraId="146B3533" w14:textId="77777777" w:rsidR="00A917AE" w:rsidRDefault="00000000">
            <w:r>
              <w:t>93.22</w:t>
            </w:r>
          </w:p>
        </w:tc>
        <w:tc>
          <w:tcPr>
            <w:tcW w:w="1500" w:type="dxa"/>
            <w:tcMar>
              <w:top w:w="80" w:type="dxa"/>
              <w:left w:w="100" w:type="dxa"/>
              <w:bottom w:w="80" w:type="dxa"/>
              <w:right w:w="100" w:type="dxa"/>
            </w:tcMar>
          </w:tcPr>
          <w:p w14:paraId="6FE49853" w14:textId="77777777" w:rsidR="00A917AE" w:rsidRDefault="00000000">
            <w:r>
              <w:t>0.0000*</w:t>
            </w:r>
          </w:p>
        </w:tc>
      </w:tr>
      <w:tr w:rsidR="00A917AE" w14:paraId="1E118208" w14:textId="77777777">
        <w:tblPrEx>
          <w:tblCellMar>
            <w:top w:w="0" w:type="dxa"/>
            <w:bottom w:w="0" w:type="dxa"/>
          </w:tblCellMar>
        </w:tblPrEx>
        <w:tc>
          <w:tcPr>
            <w:tcW w:w="1500" w:type="dxa"/>
            <w:tcMar>
              <w:top w:w="80" w:type="dxa"/>
              <w:left w:w="100" w:type="dxa"/>
              <w:bottom w:w="80" w:type="dxa"/>
              <w:right w:w="100" w:type="dxa"/>
            </w:tcMar>
          </w:tcPr>
          <w:p w14:paraId="418BB2B8" w14:textId="77777777" w:rsidR="00A917AE" w:rsidRDefault="00000000">
            <w:r>
              <w:t>M2 — logibridge_int8.tflite</w:t>
            </w:r>
          </w:p>
        </w:tc>
        <w:tc>
          <w:tcPr>
            <w:tcW w:w="1500" w:type="dxa"/>
            <w:tcMar>
              <w:top w:w="80" w:type="dxa"/>
              <w:left w:w="100" w:type="dxa"/>
              <w:bottom w:w="80" w:type="dxa"/>
              <w:right w:w="100" w:type="dxa"/>
            </w:tcMar>
          </w:tcPr>
          <w:p w14:paraId="27540EAB" w14:textId="77777777" w:rsidR="00A917AE" w:rsidRDefault="00000000">
            <w:r>
              <w:t>4.61</w:t>
            </w:r>
          </w:p>
        </w:tc>
        <w:tc>
          <w:tcPr>
            <w:tcW w:w="1500" w:type="dxa"/>
            <w:tcMar>
              <w:top w:w="80" w:type="dxa"/>
              <w:left w:w="100" w:type="dxa"/>
              <w:bottom w:w="80" w:type="dxa"/>
              <w:right w:w="100" w:type="dxa"/>
            </w:tcMar>
          </w:tcPr>
          <w:p w14:paraId="5EC37715" w14:textId="77777777" w:rsidR="00A917AE" w:rsidRDefault="00000000">
            <w:r>
              <w:t>0.00099</w:t>
            </w:r>
          </w:p>
        </w:tc>
        <w:tc>
          <w:tcPr>
            <w:tcW w:w="1500" w:type="dxa"/>
            <w:tcMar>
              <w:top w:w="80" w:type="dxa"/>
              <w:left w:w="100" w:type="dxa"/>
              <w:bottom w:w="80" w:type="dxa"/>
              <w:right w:w="100" w:type="dxa"/>
            </w:tcMar>
          </w:tcPr>
          <w:p w14:paraId="0BBC4CFB" w14:textId="77777777" w:rsidR="00A917AE" w:rsidRDefault="00000000">
            <w:r>
              <w:t>0.0011</w:t>
            </w:r>
          </w:p>
        </w:tc>
        <w:tc>
          <w:tcPr>
            <w:tcW w:w="1500" w:type="dxa"/>
            <w:tcMar>
              <w:top w:w="80" w:type="dxa"/>
              <w:left w:w="100" w:type="dxa"/>
              <w:bottom w:w="80" w:type="dxa"/>
              <w:right w:w="100" w:type="dxa"/>
            </w:tcMar>
          </w:tcPr>
          <w:p w14:paraId="51E1DF52" w14:textId="77777777" w:rsidR="00A917AE" w:rsidRDefault="00000000">
            <w:r>
              <w:t>93.22</w:t>
            </w:r>
          </w:p>
        </w:tc>
        <w:tc>
          <w:tcPr>
            <w:tcW w:w="1500" w:type="dxa"/>
            <w:tcMar>
              <w:top w:w="80" w:type="dxa"/>
              <w:left w:w="100" w:type="dxa"/>
              <w:bottom w:w="80" w:type="dxa"/>
              <w:right w:w="100" w:type="dxa"/>
            </w:tcMar>
          </w:tcPr>
          <w:p w14:paraId="61413816" w14:textId="77777777" w:rsidR="00A917AE" w:rsidRDefault="00000000">
            <w:r>
              <w:t>0.0000*</w:t>
            </w:r>
          </w:p>
        </w:tc>
      </w:tr>
      <w:tr w:rsidR="00A917AE" w14:paraId="2D9486DF" w14:textId="77777777">
        <w:tblPrEx>
          <w:tblCellMar>
            <w:top w:w="0" w:type="dxa"/>
            <w:bottom w:w="0" w:type="dxa"/>
          </w:tblCellMar>
        </w:tblPrEx>
        <w:tc>
          <w:tcPr>
            <w:tcW w:w="1500" w:type="dxa"/>
            <w:tcMar>
              <w:top w:w="80" w:type="dxa"/>
              <w:left w:w="100" w:type="dxa"/>
              <w:bottom w:w="80" w:type="dxa"/>
              <w:right w:w="100" w:type="dxa"/>
            </w:tcMar>
          </w:tcPr>
          <w:p w14:paraId="20B61ED0" w14:textId="77777777" w:rsidR="00A917AE" w:rsidRDefault="00000000">
            <w:r>
              <w:t>M3 — logibridge_pruned_int8.tflite</w:t>
            </w:r>
          </w:p>
        </w:tc>
        <w:tc>
          <w:tcPr>
            <w:tcW w:w="1500" w:type="dxa"/>
            <w:tcMar>
              <w:top w:w="80" w:type="dxa"/>
              <w:left w:w="100" w:type="dxa"/>
              <w:bottom w:w="80" w:type="dxa"/>
              <w:right w:w="100" w:type="dxa"/>
            </w:tcMar>
          </w:tcPr>
          <w:p w14:paraId="05C8C3FE" w14:textId="77777777" w:rsidR="00A917AE" w:rsidRDefault="00000000">
            <w:r>
              <w:t>4.54</w:t>
            </w:r>
          </w:p>
        </w:tc>
        <w:tc>
          <w:tcPr>
            <w:tcW w:w="1500" w:type="dxa"/>
            <w:tcMar>
              <w:top w:w="80" w:type="dxa"/>
              <w:left w:w="100" w:type="dxa"/>
              <w:bottom w:w="80" w:type="dxa"/>
              <w:right w:w="100" w:type="dxa"/>
            </w:tcMar>
          </w:tcPr>
          <w:p w14:paraId="0213A41F" w14:textId="77777777" w:rsidR="00A917AE" w:rsidRDefault="00000000">
            <w:r>
              <w:t>0.00114</w:t>
            </w:r>
          </w:p>
        </w:tc>
        <w:tc>
          <w:tcPr>
            <w:tcW w:w="1500" w:type="dxa"/>
            <w:tcMar>
              <w:top w:w="80" w:type="dxa"/>
              <w:left w:w="100" w:type="dxa"/>
              <w:bottom w:w="80" w:type="dxa"/>
              <w:right w:w="100" w:type="dxa"/>
            </w:tcMar>
          </w:tcPr>
          <w:p w14:paraId="468BD942" w14:textId="77777777" w:rsidR="00A917AE" w:rsidRDefault="00000000">
            <w:r>
              <w:t>0.0016</w:t>
            </w:r>
          </w:p>
        </w:tc>
        <w:tc>
          <w:tcPr>
            <w:tcW w:w="1500" w:type="dxa"/>
            <w:tcMar>
              <w:top w:w="80" w:type="dxa"/>
              <w:left w:w="100" w:type="dxa"/>
              <w:bottom w:w="80" w:type="dxa"/>
              <w:right w:w="100" w:type="dxa"/>
            </w:tcMar>
          </w:tcPr>
          <w:p w14:paraId="7E1A81F5" w14:textId="77777777" w:rsidR="00A917AE" w:rsidRDefault="00000000">
            <w:r>
              <w:t>40.68</w:t>
            </w:r>
          </w:p>
        </w:tc>
        <w:tc>
          <w:tcPr>
            <w:tcW w:w="1500" w:type="dxa"/>
            <w:tcMar>
              <w:top w:w="80" w:type="dxa"/>
              <w:left w:w="100" w:type="dxa"/>
              <w:bottom w:w="80" w:type="dxa"/>
              <w:right w:w="100" w:type="dxa"/>
            </w:tcMar>
          </w:tcPr>
          <w:p w14:paraId="59F881B3" w14:textId="77777777" w:rsidR="00A917AE" w:rsidRDefault="00000000">
            <w:r>
              <w:t>0.0000*</w:t>
            </w:r>
          </w:p>
        </w:tc>
      </w:tr>
    </w:tbl>
    <w:p w14:paraId="3606E07F" w14:textId="77777777" w:rsidR="00A917AE" w:rsidRDefault="00A917AE">
      <w:pPr>
        <w:spacing w:after="160" w:line="300" w:lineRule="auto"/>
        <w:jc w:val="both"/>
      </w:pPr>
    </w:p>
    <w:p w14:paraId="40DF268D" w14:textId="77777777" w:rsidR="00A917AE" w:rsidRDefault="00000000">
      <w:pPr>
        <w:spacing w:before="200" w:after="80"/>
        <w:jc w:val="center"/>
      </w:pPr>
      <w:r>
        <w:rPr>
          <w:noProof/>
        </w:rPr>
        <w:lastRenderedPageBreak/>
        <w:drawing>
          <wp:inline distT="0" distB="0" distL="0" distR="0" wp14:anchorId="0F5D1560" wp14:editId="0109B854">
            <wp:extent cx="4572000" cy="2819400"/>
            <wp:effectExtent l="0" t="0" r="0" b="0"/>
            <wp:docPr id="1783569539" name="Picture 178356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19400"/>
                    </a:xfrm>
                    <a:prstGeom prst="rect">
                      <a:avLst/>
                    </a:prstGeom>
                  </pic:spPr>
                </pic:pic>
              </a:graphicData>
            </a:graphic>
          </wp:inline>
        </w:drawing>
      </w:r>
    </w:p>
    <w:p w14:paraId="4BD6D4D3" w14:textId="77777777" w:rsidR="00A917AE" w:rsidRDefault="00000000">
      <w:pPr>
        <w:spacing w:after="200"/>
        <w:jc w:val="center"/>
      </w:pPr>
      <w:r>
        <w:rPr>
          <w:i/>
          <w:iCs/>
          <w:color w:val="555555"/>
          <w:sz w:val="18"/>
          <w:szCs w:val="18"/>
        </w:rPr>
        <w:t>Figure 13: Pareto frontier — model size vs. inference latency.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1C70D8C0" w14:textId="77777777">
        <w:tblPrEx>
          <w:tblCellMar>
            <w:top w:w="0" w:type="dxa"/>
            <w:bottom w:w="0" w:type="dxa"/>
          </w:tblCellMar>
        </w:tblPrEx>
        <w:tc>
          <w:tcPr>
            <w:tcW w:w="0" w:type="auto"/>
            <w:shd w:val="clear" w:color="auto" w:fill="FFF4CE"/>
            <w:tcMar>
              <w:top w:w="120" w:type="dxa"/>
              <w:left w:w="150" w:type="dxa"/>
              <w:bottom w:w="120" w:type="dxa"/>
              <w:right w:w="150" w:type="dxa"/>
            </w:tcMar>
          </w:tcPr>
          <w:p w14:paraId="0BAF882F" w14:textId="77777777" w:rsidR="00A917AE" w:rsidRDefault="00000000">
            <w:pPr>
              <w:spacing w:after="60"/>
            </w:pPr>
            <w:r>
              <w:rPr>
                <w:b/>
                <w:bCs/>
                <w:sz w:val="21"/>
                <w:szCs w:val="21"/>
              </w:rPr>
              <w:t>Two genuine findings worth flagging</w:t>
            </w:r>
          </w:p>
          <w:p w14:paraId="68082B45" w14:textId="77777777" w:rsidR="00A917AE" w:rsidRDefault="00000000">
            <w:r>
              <w:rPr>
                <w:sz w:val="21"/>
                <w:szCs w:val="21"/>
              </w:rPr>
              <w:t xml:space="preserve">(1) Energy reads 0.0 mJ for every variant. This is a real measurement limitation, not a code bug: psutil.cpu_percent(interval=None) needs a measurable wall-clock gap between calls to register non-zero CPU usage, and 200 inferences of a ~5 KB model complete in well under a millisecond total, so the OS never samples a busy CPU tick. A longer synthetic workload (e.g. batching or an artificial delay per inference) would be needed to get a meaningful energy figure from this method. (2) M2 and M1 report identical accuracy (93.22%) to full precision — INT8 quantisation lost zero accuracy on this validation set, which is a genuinely strong result for the PTQ step. M3 was trained at the specification-correct 35% sparsity; see updated benchmark results in the table above.</w:t>
            </w:r>
          </w:p>
        </w:tc>
      </w:tr>
    </w:tbl>
    <w:p w14:paraId="3037F9B2" w14:textId="77777777" w:rsidR="00A917AE" w:rsidRDefault="00A917AE">
      <w:pPr>
        <w:spacing w:after="160" w:line="300" w:lineRule="auto"/>
        <w:jc w:val="both"/>
      </w:pPr>
    </w:p>
    <w:p w14:paraId="6E72E120" w14:textId="77777777" w:rsidR="00A917AE" w:rsidRDefault="00000000">
      <w:pPr>
        <w:pStyle w:val="Heading1"/>
        <w:spacing w:before="360" w:after="160"/>
      </w:pPr>
      <w:r>
        <w:t xml:space="preserve">7. Mandatory Experiment — Normalisation 3σ Mean-Shift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2153657D" w14:textId="77777777">
        <w:tblPrEx>
          <w:tblCellMar>
            <w:top w:w="0" w:type="dxa"/>
            <w:bottom w:w="0" w:type="dxa"/>
          </w:tblCellMar>
        </w:tblPrEx>
        <w:tc>
          <w:tcPr>
            <w:tcW w:w="0" w:type="auto"/>
            <w:shd w:val="clear" w:color="auto" w:fill="FBE3E3"/>
            <w:tcMar>
              <w:top w:w="120" w:type="dxa"/>
              <w:left w:w="150" w:type="dxa"/>
              <w:bottom w:w="120" w:type="dxa"/>
              <w:right w:w="150" w:type="dxa"/>
            </w:tcMar>
          </w:tcPr>
          <w:p w14:paraId="4833830F" w14:textId="77777777" w:rsidR="00A917AE" w:rsidRDefault="00000000">
            <w:pPr>
              <w:spacing w:after="60"/>
            </w:pPr>
            <w:r>
              <w:rPr>
                <w:b/>
                <w:bCs/>
                <w:sz w:val="21"/>
                <w:szCs w:val="21"/>
              </w:rPr>
              <w:t>Data gap — this section needs your actual run before submission</w:t>
            </w:r>
          </w:p>
          <w:p w14:paraId="7B37A8CB" w14:textId="77777777" w:rsidR="00A917AE" w:rsidRDefault="00000000">
            <w:r>
              <w:rPr>
                <w:sz w:val="21"/>
                <w:szCs w:val="21"/>
              </w:rPr>
              <w:t xml:space="preserve">preprocessing.py --sigma-shift 3.0 implements this experiment (it shifts the temperature column by 3 standard deviations before normalisation, using the frozen baseline stats, and re-runs the windowing pipeline), but no screenshot of this specific run was included in the material provided for this report. Task C2 requires accuracy before vs. after the shift to be reported here. Run: `python preprocessing.py --input sensor_data.csv --sigma-shift 0.0` then `--sigma-shift 3.0`, re-evaluate the trained model on each output, and replace this box with the actual before/after accuracy figures and a screenshot. I have not fabricated numbers for this table.</w:t>
            </w:r>
          </w:p>
        </w:tc>
      </w:tr>
    </w:tbl>
    <w:p w14:paraId="17693C10" w14:textId="77777777" w:rsidR="00A917AE" w:rsidRDefault="00A917AE">
      <w:pPr>
        <w:spacing w:after="160" w:line="300" w:lineRule="auto"/>
        <w:jc w:val="both"/>
      </w:pPr>
    </w:p>
    <w:p w14:paraId="259744EB" w14:textId="77777777" w:rsidR="000E209E" w:rsidRDefault="000E209E">
      <w:pPr>
        <w:spacing w:after="160" w:line="300" w:lineRule="auto"/>
        <w:jc w:val="both"/>
      </w:pPr>
    </w:p>
    <w:p w14:paraId="092C4FC3" w14:textId="77777777" w:rsidR="000E209E" w:rsidRDefault="000E209E">
      <w:pPr>
        <w:spacing w:after="16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917AE" w14:paraId="7B17FEC3" w14:textId="77777777">
        <w:tblPrEx>
          <w:tblCellMar>
            <w:top w:w="0" w:type="dxa"/>
            <w:bottom w:w="0" w:type="dxa"/>
          </w:tblCellMar>
        </w:tblPrEx>
        <w:tc>
          <w:tcPr>
            <w:tcW w:w="3000" w:type="dxa"/>
            <w:shd w:val="clear" w:color="auto" w:fill="2C5F9E"/>
            <w:tcMar>
              <w:top w:w="80" w:type="dxa"/>
              <w:left w:w="100" w:type="dxa"/>
              <w:bottom w:w="80" w:type="dxa"/>
              <w:right w:w="100" w:type="dxa"/>
            </w:tcMar>
          </w:tcPr>
          <w:p w14:paraId="3B31E883" w14:textId="77777777" w:rsidR="00A917AE" w:rsidRDefault="00000000">
            <w:r>
              <w:rPr>
                <w:b/>
                <w:bCs/>
                <w:color w:val="FFFFFF"/>
              </w:rPr>
              <w:lastRenderedPageBreak/>
              <w:t>Condition</w:t>
            </w:r>
          </w:p>
        </w:tc>
        <w:tc>
          <w:tcPr>
            <w:tcW w:w="3000" w:type="dxa"/>
            <w:shd w:val="clear" w:color="auto" w:fill="2C5F9E"/>
            <w:tcMar>
              <w:top w:w="80" w:type="dxa"/>
              <w:left w:w="100" w:type="dxa"/>
              <w:bottom w:w="80" w:type="dxa"/>
              <w:right w:w="100" w:type="dxa"/>
            </w:tcMar>
          </w:tcPr>
          <w:p w14:paraId="04B1B3FF" w14:textId="77777777" w:rsidR="00A917AE" w:rsidRDefault="00000000">
            <w:r>
              <w:rPr>
                <w:b/>
                <w:bCs/>
                <w:color w:val="FFFFFF"/>
              </w:rPr>
              <w:t>Accuracy (%)</w:t>
            </w:r>
          </w:p>
        </w:tc>
        <w:tc>
          <w:tcPr>
            <w:tcW w:w="3000" w:type="dxa"/>
            <w:shd w:val="clear" w:color="auto" w:fill="2C5F9E"/>
            <w:tcMar>
              <w:top w:w="80" w:type="dxa"/>
              <w:left w:w="100" w:type="dxa"/>
              <w:bottom w:w="80" w:type="dxa"/>
              <w:right w:w="100" w:type="dxa"/>
            </w:tcMar>
          </w:tcPr>
          <w:p w14:paraId="3052FF46" w14:textId="77777777" w:rsidR="00A917AE" w:rsidRDefault="00000000">
            <w:r>
              <w:rPr>
                <w:b/>
                <w:bCs/>
                <w:color w:val="FFFFFF"/>
              </w:rPr>
              <w:t>Notes</w:t>
            </w:r>
          </w:p>
        </w:tc>
      </w:tr>
      <w:tr w:rsidR="00A917AE" w14:paraId="11F8B1F4" w14:textId="77777777">
        <w:tblPrEx>
          <w:tblCellMar>
            <w:top w:w="0" w:type="dxa"/>
            <w:bottom w:w="0" w:type="dxa"/>
          </w:tblCellMar>
        </w:tblPrEx>
        <w:tc>
          <w:tcPr>
            <w:tcW w:w="3000" w:type="dxa"/>
            <w:tcMar>
              <w:top w:w="80" w:type="dxa"/>
              <w:left w:w="100" w:type="dxa"/>
              <w:bottom w:w="80" w:type="dxa"/>
              <w:right w:w="100" w:type="dxa"/>
            </w:tcMar>
          </w:tcPr>
          <w:p w14:paraId="629572FA" w14:textId="77777777" w:rsidR="00A917AE" w:rsidRDefault="00000000">
            <w:r>
              <w:t>Baseline (no shift)</w:t>
            </w:r>
          </w:p>
        </w:tc>
        <w:tc>
          <w:tcPr>
            <w:tcW w:w="3000" w:type="dxa"/>
            <w:tcMar>
              <w:top w:w="80" w:type="dxa"/>
              <w:left w:w="100" w:type="dxa"/>
              <w:bottom w:w="80" w:type="dxa"/>
              <w:right w:w="100" w:type="dxa"/>
            </w:tcMar>
          </w:tcPr>
          <w:p w14:paraId="1A68CFA4" w14:textId="77777777" w:rsidR="00A917AE" w:rsidRDefault="00000000">
            <w:r>
              <w:t>[fill in]</w:t>
            </w:r>
          </w:p>
        </w:tc>
        <w:tc>
          <w:tcPr>
            <w:tcW w:w="3000" w:type="dxa"/>
            <w:tcMar>
              <w:top w:w="80" w:type="dxa"/>
              <w:left w:w="100" w:type="dxa"/>
              <w:bottom w:w="80" w:type="dxa"/>
              <w:right w:w="100" w:type="dxa"/>
            </w:tcMar>
          </w:tcPr>
          <w:p w14:paraId="41F292DB" w14:textId="77777777" w:rsidR="00A917AE" w:rsidRDefault="00000000">
            <w:r>
              <w:t xml:space="preserve">Uses frozen training_stats.json as-is</w:t>
            </w:r>
          </w:p>
        </w:tc>
      </w:tr>
      <w:tr w:rsidR="00A917AE" w14:paraId="1C35BE00" w14:textId="77777777">
        <w:tblPrEx>
          <w:tblCellMar>
            <w:top w:w="0" w:type="dxa"/>
            <w:bottom w:w="0" w:type="dxa"/>
          </w:tblCellMar>
        </w:tblPrEx>
        <w:tc>
          <w:tcPr>
            <w:tcW w:w="3000" w:type="dxa"/>
            <w:tcMar>
              <w:top w:w="80" w:type="dxa"/>
              <w:left w:w="100" w:type="dxa"/>
              <w:bottom w:w="80" w:type="dxa"/>
              <w:right w:w="100" w:type="dxa"/>
            </w:tcMar>
          </w:tcPr>
          <w:p w14:paraId="0CCFA1AE" w14:textId="77777777" w:rsidR="00A917AE" w:rsidRDefault="00000000">
            <w:r>
              <w:t>3σ temperature shift</w:t>
            </w:r>
          </w:p>
        </w:tc>
        <w:tc>
          <w:tcPr>
            <w:tcW w:w="3000" w:type="dxa"/>
            <w:tcMar>
              <w:top w:w="80" w:type="dxa"/>
              <w:left w:w="100" w:type="dxa"/>
              <w:bottom w:w="80" w:type="dxa"/>
              <w:right w:w="100" w:type="dxa"/>
            </w:tcMar>
          </w:tcPr>
          <w:p w14:paraId="147A40FE" w14:textId="77777777" w:rsidR="00A917AE" w:rsidRDefault="00000000">
            <w:r>
              <w:t>[fill in]</w:t>
            </w:r>
          </w:p>
        </w:tc>
        <w:tc>
          <w:tcPr>
            <w:tcW w:w="3000" w:type="dxa"/>
            <w:tcMar>
              <w:top w:w="80" w:type="dxa"/>
              <w:left w:w="100" w:type="dxa"/>
              <w:bottom w:w="80" w:type="dxa"/>
              <w:right w:w="100" w:type="dxa"/>
            </w:tcMar>
          </w:tcPr>
          <w:p w14:paraId="311C0D44" w14:textId="77777777" w:rsidR="00A917AE" w:rsidRDefault="00000000">
            <w:r>
              <w:t>Expected: accuracy drop as shifted inputs fall outside the training distribution</w:t>
            </w:r>
          </w:p>
        </w:tc>
      </w:tr>
    </w:tbl>
    <w:p w14:paraId="54C6C6BD" w14:textId="77777777" w:rsidR="00A917AE" w:rsidRDefault="00A917AE">
      <w:pPr>
        <w:spacing w:after="160" w:line="300" w:lineRule="auto"/>
        <w:jc w:val="both"/>
      </w:pPr>
    </w:p>
    <w:p w14:paraId="68C31819" w14:textId="77777777" w:rsidR="00A917AE" w:rsidRDefault="00000000">
      <w:pPr>
        <w:spacing w:after="160" w:line="300" w:lineRule="auto"/>
        <w:jc w:val="both"/>
      </w:pPr>
      <w:r>
        <w:rPr>
          <w:sz w:val="22"/>
          <w:szCs w:val="22"/>
        </w:rPr>
        <w:t xml:space="preserve">Expected direction of result: because training_stats.json is frozen and never recomputed from shifted data, a 3σ shift should push normalised temperature features well outside the range seen during training, and accuracy should drop — this is the intended demonstration that frozen-baseline normalisation is sensitive to distribution shift, motivating the drift monitor in Section 9.</w:t>
      </w:r>
    </w:p>
    <w:p w14:paraId="1F807650" w14:textId="77777777" w:rsidR="00A917AE" w:rsidRDefault="00000000">
      <w:pPr>
        <w:pStyle w:val="Heading1"/>
        <w:spacing w:before="360" w:after="160"/>
      </w:pPr>
      <w:r>
        <w:t>8. Live Pipeline — Simulator, Consumer, Inference</w:t>
      </w:r>
    </w:p>
    <w:p w14:paraId="1E479EE0" w14:textId="77777777" w:rsidR="00A917AE" w:rsidRDefault="00000000">
      <w:pPr>
        <w:spacing w:before="200" w:after="80"/>
        <w:jc w:val="center"/>
      </w:pPr>
      <w:r>
        <w:rPr>
          <w:noProof/>
        </w:rPr>
        <w:drawing>
          <wp:inline distT="0" distB="0" distL="0" distR="0" wp14:anchorId="6CF127AF" wp14:editId="7A8C551D">
            <wp:extent cx="4762500" cy="3752850"/>
            <wp:effectExtent l="0" t="0" r="0" b="0"/>
            <wp:docPr id="669063286" name="Picture 66906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752850"/>
                    </a:xfrm>
                    <a:prstGeom prst="rect">
                      <a:avLst/>
                    </a:prstGeom>
                  </pic:spPr>
                </pic:pic>
              </a:graphicData>
            </a:graphic>
          </wp:inline>
        </w:drawing>
      </w:r>
    </w:p>
    <w:p w14:paraId="3CA6B99D" w14:textId="77777777" w:rsidR="00A917AE" w:rsidRDefault="00000000">
      <w:pPr>
        <w:spacing w:after="200"/>
        <w:jc w:val="center"/>
      </w:pPr>
      <w:r>
        <w:rPr>
          <w:i/>
          <w:iCs/>
          <w:color w:val="555555"/>
          <w:sz w:val="18"/>
          <w:szCs w:val="18"/>
        </w:rPr>
        <w:t>Figure 14: simulator.py — live sensor stream.</w:t>
      </w:r>
    </w:p>
    <w:p w14:paraId="632B8563" w14:textId="77777777" w:rsidR="00A917AE" w:rsidRDefault="00000000">
      <w:pPr>
        <w:spacing w:before="200" w:after="80"/>
        <w:jc w:val="center"/>
      </w:pPr>
      <w:r>
        <w:rPr>
          <w:noProof/>
        </w:rPr>
        <w:lastRenderedPageBreak/>
        <w:drawing>
          <wp:inline distT="0" distB="0" distL="0" distR="0" wp14:anchorId="74AA3E88" wp14:editId="422DD121">
            <wp:extent cx="4762500" cy="3752850"/>
            <wp:effectExtent l="0" t="0" r="0" b="0"/>
            <wp:docPr id="2119888181" name="Picture 211988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752850"/>
                    </a:xfrm>
                    <a:prstGeom prst="rect">
                      <a:avLst/>
                    </a:prstGeom>
                  </pic:spPr>
                </pic:pic>
              </a:graphicData>
            </a:graphic>
          </wp:inline>
        </w:drawing>
      </w:r>
    </w:p>
    <w:p w14:paraId="17A92080" w14:textId="77777777" w:rsidR="00A917AE" w:rsidRDefault="00000000">
      <w:pPr>
        <w:spacing w:after="200"/>
        <w:jc w:val="center"/>
      </w:pPr>
      <w:r>
        <w:rPr>
          <w:i/>
          <w:iCs/>
          <w:color w:val="555555"/>
          <w:sz w:val="18"/>
          <w:szCs w:val="18"/>
        </w:rPr>
        <w:t>Figure 15: inference_service.py — live predictions with window index and confidence.</w:t>
      </w:r>
    </w:p>
    <w:p w14:paraId="4E5099CD" w14:textId="77777777" w:rsidR="00A917AE" w:rsidRDefault="00000000">
      <w:pPr>
        <w:pStyle w:val="Heading1"/>
        <w:spacing w:before="360" w:after="160"/>
      </w:pPr>
      <w:r>
        <w:t xml:space="preserve">9. Docker Containerisation and OTA Layer-Cache Demonstration</w:t>
      </w:r>
    </w:p>
    <w:p w14:paraId="05293C5F" w14:textId="77777777" w:rsidR="00A917AE" w:rsidRDefault="00000000">
      <w:pPr>
        <w:spacing w:before="200" w:after="80"/>
        <w:jc w:val="center"/>
      </w:pPr>
      <w:r>
        <w:rPr>
          <w:noProof/>
        </w:rPr>
        <w:drawing>
          <wp:inline distT="0" distB="0" distL="0" distR="0" wp14:anchorId="72BCC437" wp14:editId="4EC05B08">
            <wp:extent cx="5334000" cy="3248025"/>
            <wp:effectExtent l="0" t="0" r="0" b="0"/>
            <wp:docPr id="1755174560" name="Picture 175517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248025"/>
                    </a:xfrm>
                    <a:prstGeom prst="rect">
                      <a:avLst/>
                    </a:prstGeom>
                  </pic:spPr>
                </pic:pic>
              </a:graphicData>
            </a:graphic>
          </wp:inline>
        </w:drawing>
      </w:r>
    </w:p>
    <w:p w14:paraId="19FDB565" w14:textId="77777777" w:rsidR="00A917AE" w:rsidRDefault="00000000">
      <w:pPr>
        <w:spacing w:after="200"/>
        <w:jc w:val="center"/>
      </w:pPr>
      <w:r>
        <w:rPr>
          <w:i/>
          <w:iCs/>
          <w:color w:val="555555"/>
          <w:sz w:val="18"/>
          <w:szCs w:val="18"/>
        </w:rPr>
        <w:t>Figure 16: docker build — all 8 layers CACHED on a repeat build with no source changes (pip install, code, and model layers all reused).</w:t>
      </w:r>
    </w:p>
    <w:p w14:paraId="3524B5F7" w14:textId="77777777" w:rsidR="00A917AE" w:rsidRDefault="00000000">
      <w:pPr>
        <w:spacing w:before="200" w:after="80"/>
        <w:jc w:val="center"/>
      </w:pPr>
      <w:r>
        <w:rPr>
          <w:noProof/>
        </w:rPr>
        <w:lastRenderedPageBreak/>
        <w:drawing>
          <wp:inline distT="0" distB="0" distL="0" distR="0" wp14:anchorId="44710EDC" wp14:editId="4053D64E">
            <wp:extent cx="5334000" cy="2457450"/>
            <wp:effectExtent l="0" t="0" r="0" b="0"/>
            <wp:docPr id="2119848798" name="Picture 211984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57450"/>
                    </a:xfrm>
                    <a:prstGeom prst="rect">
                      <a:avLst/>
                    </a:prstGeom>
                  </pic:spPr>
                </pic:pic>
              </a:graphicData>
            </a:graphic>
          </wp:inline>
        </w:drawing>
      </w:r>
    </w:p>
    <w:p w14:paraId="5C658923" w14:textId="77777777" w:rsidR="00A917AE" w:rsidRDefault="00000000">
      <w:pPr>
        <w:spacing w:after="200"/>
        <w:jc w:val="center"/>
      </w:pPr>
      <w:r>
        <w:rPr>
          <w:i/>
          <w:iCs/>
          <w:color w:val="555555"/>
          <w:sz w:val="18"/>
          <w:szCs w:val="18"/>
        </w:rPr>
        <w:t xml:space="preserve">Figure 17: docker run — container connects to the MQTT broker and loads the model. Note the model auto-detection fell back to logibridge_int8.tflite (M2) since the pruned M3 file was not present in the image at build time — this confirms the priority-ordered fallback logic in find_model_path() works correctly.</w:t>
      </w:r>
    </w:p>
    <w:p w14:paraId="3E4AFDB3" w14:textId="77777777" w:rsidR="00A917AE" w:rsidRDefault="00000000">
      <w:pPr>
        <w:spacing w:after="160" w:line="300" w:lineRule="auto"/>
        <w:jc w:val="both"/>
      </w:pPr>
      <w:r>
        <w:rPr>
          <w:sz w:val="22"/>
          <w:szCs w:val="22"/>
        </w:rPr>
        <w:t xml:space="preserve">The Dockerfile places the two model-carrying COPY instructions (models/ and training_stats.json) last, after pip install and all code copies. In an OTA update, only these final layers are invalidated and rebuilt — every layer above them is reused from cache. At 85 trucks and a ~5 KB model file, an OTA push ships roughly 425 KB of model data fleet-wide, versus redistributing the full multi-hundred-MB image if layer caching were not exploited.</w:t>
      </w:r>
    </w:p>
    <w:p w14:paraId="5DF38AC7" w14:textId="77777777" w:rsidR="00A917AE" w:rsidRDefault="00000000">
      <w:pPr>
        <w:spacing w:before="200" w:after="80"/>
        <w:jc w:val="center"/>
      </w:pPr>
      <w:r>
        <w:rPr>
          <w:noProof/>
        </w:rPr>
        <w:drawing>
          <wp:inline distT="0" distB="0" distL="0" distR="0" wp14:anchorId="6B5133A4" wp14:editId="25371B75">
            <wp:extent cx="4953000" cy="2390775"/>
            <wp:effectExtent l="0" t="0" r="0" b="0"/>
            <wp:docPr id="1006919590" name="Picture 100691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390775"/>
                    </a:xfrm>
                    <a:prstGeom prst="rect">
                      <a:avLst/>
                    </a:prstGeom>
                  </pic:spPr>
                </pic:pic>
              </a:graphicData>
            </a:graphic>
          </wp:inline>
        </w:drawing>
      </w:r>
    </w:p>
    <w:p w14:paraId="631FCA75" w14:textId="77777777" w:rsidR="00A917AE" w:rsidRDefault="00000000">
      <w:pPr>
        <w:spacing w:after="200"/>
        <w:jc w:val="center"/>
        <w:rPr>
          <w:i/>
          <w:iCs/>
          <w:color w:val="555555"/>
          <w:sz w:val="18"/>
          <w:szCs w:val="18"/>
        </w:rPr>
      </w:pPr>
      <w:r>
        <w:rPr>
          <w:i/>
          <w:iCs/>
          <w:color w:val="555555"/>
          <w:sz w:val="18"/>
          <w:szCs w:val="18"/>
        </w:rPr>
        <w:t>Figure 18: Local Docker registry — tag and push for the Ansible pull step.</w:t>
      </w:r>
    </w:p>
    <w:p w14:paraId="0C704400" w14:textId="77777777" w:rsidR="000E209E" w:rsidRDefault="000E209E">
      <w:pPr>
        <w:spacing w:after="200"/>
        <w:jc w:val="center"/>
        <w:rPr>
          <w:i/>
          <w:iCs/>
          <w:color w:val="555555"/>
          <w:sz w:val="18"/>
          <w:szCs w:val="18"/>
        </w:rPr>
      </w:pPr>
    </w:p>
    <w:p w14:paraId="32E9CD87" w14:textId="77777777" w:rsidR="000E209E" w:rsidRDefault="000E209E">
      <w:pPr>
        <w:spacing w:after="200"/>
        <w:jc w:val="center"/>
        <w:rPr>
          <w:i/>
          <w:iCs/>
          <w:color w:val="555555"/>
          <w:sz w:val="18"/>
          <w:szCs w:val="18"/>
        </w:rPr>
      </w:pPr>
    </w:p>
    <w:p w14:paraId="6888E399" w14:textId="77777777" w:rsidR="000E209E" w:rsidRDefault="000E209E">
      <w:pPr>
        <w:spacing w:after="200"/>
        <w:jc w:val="center"/>
        <w:rPr>
          <w:i/>
          <w:iCs/>
          <w:color w:val="555555"/>
          <w:sz w:val="18"/>
          <w:szCs w:val="18"/>
        </w:rPr>
      </w:pPr>
    </w:p>
    <w:p w14:paraId="4AB11920" w14:textId="77777777" w:rsidR="000E209E" w:rsidRDefault="000E209E">
      <w:pPr>
        <w:spacing w:after="200"/>
        <w:jc w:val="center"/>
      </w:pPr>
    </w:p>
    <w:p w14:paraId="55A6E65C" w14:textId="77777777" w:rsidR="00A917AE" w:rsidRDefault="00000000">
      <w:pPr>
        <w:pStyle w:val="Heading1"/>
        <w:spacing w:before="360" w:after="160"/>
      </w:pPr>
      <w:r>
        <w:lastRenderedPageBreak/>
        <w:t>10. Ansible Deployment</w:t>
      </w:r>
    </w:p>
    <w:p w14:paraId="7EE03AEC" w14:textId="77777777" w:rsidR="00A917AE" w:rsidRDefault="00000000">
      <w:pPr>
        <w:spacing w:before="200" w:after="80"/>
        <w:jc w:val="center"/>
      </w:pPr>
      <w:r>
        <w:rPr>
          <w:noProof/>
        </w:rPr>
        <w:drawing>
          <wp:inline distT="0" distB="0" distL="0" distR="0" wp14:anchorId="4E251B2A" wp14:editId="008FF4ED">
            <wp:extent cx="5334000" cy="3657600"/>
            <wp:effectExtent l="0" t="0" r="0" b="0"/>
            <wp:docPr id="648784222" name="Picture 64878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657600"/>
                    </a:xfrm>
                    <a:prstGeom prst="rect">
                      <a:avLst/>
                    </a:prstGeom>
                  </pic:spPr>
                </pic:pic>
              </a:graphicData>
            </a:graphic>
          </wp:inline>
        </w:drawing>
      </w:r>
    </w:p>
    <w:p w14:paraId="7B417853" w14:textId="77777777" w:rsidR="00A917AE" w:rsidRDefault="00000000">
      <w:pPr>
        <w:spacing w:after="200"/>
        <w:jc w:val="center"/>
      </w:pPr>
      <w:r>
        <w:rPr>
          <w:i/>
          <w:iCs/>
          <w:color w:val="555555"/>
          <w:sz w:val="18"/>
          <w:szCs w:val="18"/>
        </w:rPr>
        <w:t>Figure 19: ansible-playbook — first run against the WSL/Ubuntu controller.</w:t>
      </w:r>
    </w:p>
    <w:p w14:paraId="19B20D74" w14:textId="77777777" w:rsidR="00A917AE" w:rsidRDefault="00000000">
      <w:pPr>
        <w:spacing w:after="160" w:line="300" w:lineRule="auto"/>
        <w:jc w:val="both"/>
      </w:pPr>
      <w:r>
        <w:rPr>
          <w:sz w:val="22"/>
          <w:szCs w:val="22"/>
        </w:rPr>
        <w:t xml:space="preserve">The playbook was run twice with no source changes between runs, using a guard condition on the stop/restart tasks so the container is only bounced when the model or reference distribution actually 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62BB350E"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5EBAD402" w14:textId="77777777" w:rsidR="00A917AE" w:rsidRDefault="00000000">
            <w:pPr>
              <w:spacing w:after="20"/>
            </w:pPr>
            <w:r>
              <w:rPr>
                <w:rFonts w:ascii="Consolas" w:eastAsia="Consolas" w:hAnsi="Consolas" w:cs="Consolas"/>
                <w:color w:val="D4D4D4"/>
                <w:sz w:val="18"/>
                <w:szCs w:val="18"/>
              </w:rPr>
              <w:t>Run 1: ok=10  changed=3  unreachable=0  failed=0  skipped=1</w:t>
            </w:r>
          </w:p>
          <w:p w14:paraId="40644BC2" w14:textId="77777777" w:rsidR="00A917AE" w:rsidRDefault="00000000">
            <w:pPr>
              <w:spacing w:after="20"/>
            </w:pPr>
            <w:r>
              <w:rPr>
                <w:rFonts w:ascii="Consolas" w:eastAsia="Consolas" w:hAnsi="Consolas" w:cs="Consolas"/>
                <w:color w:val="D4D4D4"/>
                <w:sz w:val="18"/>
                <w:szCs w:val="18"/>
              </w:rPr>
              <w:t>Run 2: ok=9   changed=0  unreachable=0  failed=0  skipped=2   &lt;-- idempotent</w:t>
            </w:r>
          </w:p>
        </w:tc>
      </w:tr>
    </w:tbl>
    <w:p w14:paraId="42EF4349" w14:textId="77777777" w:rsidR="00A917AE" w:rsidRDefault="00000000">
      <w:pPr>
        <w:spacing w:after="160" w:line="300" w:lineRule="auto"/>
        <w:jc w:val="both"/>
        <w:rPr>
          <w:sz w:val="22"/>
          <w:szCs w:val="22"/>
        </w:rPr>
      </w:pPr>
      <w:r>
        <w:rPr>
          <w:sz w:val="22"/>
          <w:szCs w:val="22"/>
        </w:rPr>
        <w:t>Run 2 correctly shows changed=0: Tasks 1–3 found nothing to change, Task 4 (stop) was skipped by its guard condition since nothing changed upstream, Task 5 (pull) found the same image digest, and Task 6 (start) found the container already running with identical configuration.</w:t>
      </w:r>
    </w:p>
    <w:p w14:paraId="1A4DBB7E" w14:textId="77777777" w:rsidR="000E209E" w:rsidRDefault="000E209E">
      <w:pPr>
        <w:spacing w:after="160" w:line="300" w:lineRule="auto"/>
        <w:jc w:val="both"/>
        <w:rPr>
          <w:sz w:val="22"/>
          <w:szCs w:val="22"/>
        </w:rPr>
      </w:pPr>
    </w:p>
    <w:p w14:paraId="358D93DF" w14:textId="77777777" w:rsidR="000E209E" w:rsidRDefault="000E209E">
      <w:pPr>
        <w:spacing w:after="160" w:line="300" w:lineRule="auto"/>
        <w:jc w:val="both"/>
        <w:rPr>
          <w:sz w:val="22"/>
          <w:szCs w:val="22"/>
        </w:rPr>
      </w:pPr>
    </w:p>
    <w:p w14:paraId="14B5BF0C" w14:textId="77777777" w:rsidR="000E209E" w:rsidRDefault="000E209E">
      <w:pPr>
        <w:spacing w:after="160" w:line="300" w:lineRule="auto"/>
        <w:jc w:val="both"/>
        <w:rPr>
          <w:sz w:val="22"/>
          <w:szCs w:val="22"/>
        </w:rPr>
      </w:pPr>
    </w:p>
    <w:p w14:paraId="0931AFB6" w14:textId="77777777" w:rsidR="000E209E" w:rsidRDefault="000E209E">
      <w:pPr>
        <w:spacing w:after="160" w:line="300" w:lineRule="auto"/>
        <w:jc w:val="both"/>
        <w:rPr>
          <w:sz w:val="22"/>
          <w:szCs w:val="22"/>
        </w:rPr>
      </w:pPr>
    </w:p>
    <w:p w14:paraId="5C8A0F46" w14:textId="77777777" w:rsidR="000E209E" w:rsidRDefault="000E209E">
      <w:pPr>
        <w:spacing w:after="160" w:line="300" w:lineRule="auto"/>
        <w:jc w:val="both"/>
        <w:rPr>
          <w:sz w:val="22"/>
          <w:szCs w:val="22"/>
        </w:rPr>
      </w:pPr>
    </w:p>
    <w:p w14:paraId="2F64D135" w14:textId="77777777" w:rsidR="000E209E" w:rsidRDefault="000E209E">
      <w:pPr>
        <w:spacing w:after="160" w:line="300" w:lineRule="auto"/>
        <w:jc w:val="both"/>
        <w:rPr>
          <w:sz w:val="22"/>
          <w:szCs w:val="22"/>
        </w:rPr>
      </w:pPr>
    </w:p>
    <w:p w14:paraId="17866CD0" w14:textId="77777777" w:rsidR="000E209E" w:rsidRDefault="000E209E">
      <w:pPr>
        <w:spacing w:after="160" w:line="300" w:lineRule="auto"/>
        <w:jc w:val="both"/>
      </w:pPr>
    </w:p>
    <w:p w14:paraId="6FF52241" w14:textId="77777777" w:rsidR="00A917AE" w:rsidRDefault="00000000">
      <w:pPr>
        <w:pStyle w:val="Heading1"/>
        <w:spacing w:before="360" w:after="160"/>
      </w:pPr>
      <w:r>
        <w:lastRenderedPageBreak/>
        <w:t>11. Drift Monitoring — Reference Distribution</w:t>
      </w:r>
    </w:p>
    <w:p w14:paraId="2A30168B" w14:textId="77777777" w:rsidR="00A917AE" w:rsidRDefault="00000000">
      <w:pPr>
        <w:spacing w:before="200" w:after="80"/>
        <w:jc w:val="center"/>
      </w:pPr>
      <w:r>
        <w:rPr>
          <w:noProof/>
        </w:rPr>
        <w:drawing>
          <wp:inline distT="0" distB="0" distL="0" distR="0" wp14:anchorId="2DB3D355" wp14:editId="66BF364D">
            <wp:extent cx="5334000" cy="1895475"/>
            <wp:effectExtent l="0" t="0" r="0" b="0"/>
            <wp:docPr id="445971876" name="Picture 44597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895475"/>
                    </a:xfrm>
                    <a:prstGeom prst="rect">
                      <a:avLst/>
                    </a:prstGeom>
                  </pic:spPr>
                </pic:pic>
              </a:graphicData>
            </a:graphic>
          </wp:inline>
        </w:drawing>
      </w:r>
    </w:p>
    <w:p w14:paraId="11DDA0F3" w14:textId="77777777" w:rsidR="00A917AE" w:rsidRDefault="00000000">
      <w:pPr>
        <w:spacing w:after="200"/>
        <w:jc w:val="center"/>
      </w:pPr>
      <w:r>
        <w:rPr>
          <w:i/>
          <w:iCs/>
          <w:color w:val="555555"/>
          <w:sz w:val="18"/>
          <w:szCs w:val="18"/>
        </w:rPr>
        <w:t xml:space="preserve">Figure 20: drift_monitor.py --mode build-reference — live collection of clean Normal-class confidence scores. Note: the monitor was updated to track a _total_received counter so PSI is only recomputed when new inference messages arrive, preventing stale repeated alerts.</w:t>
      </w:r>
    </w:p>
    <w:p w14:paraId="7E744491" w14:textId="77777777" w:rsidR="00A917AE" w:rsidRDefault="00000000">
      <w:pPr>
        <w:spacing w:before="200" w:after="80"/>
        <w:jc w:val="center"/>
      </w:pPr>
      <w:r>
        <w:rPr>
          <w:noProof/>
        </w:rPr>
        <w:drawing>
          <wp:inline distT="0" distB="0" distL="0" distR="0" wp14:anchorId="509305D2" wp14:editId="3353235B">
            <wp:extent cx="3048000" cy="2438400"/>
            <wp:effectExtent l="0" t="0" r="0" b="0"/>
            <wp:docPr id="452301331" name="Picture 45230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2438400"/>
                    </a:xfrm>
                    <a:prstGeom prst="rect">
                      <a:avLst/>
                    </a:prstGeom>
                  </pic:spPr>
                </pic:pic>
              </a:graphicData>
            </a:graphic>
          </wp:inline>
        </w:drawing>
      </w:r>
    </w:p>
    <w:p w14:paraId="4D777B04" w14:textId="77777777" w:rsidR="00A917AE" w:rsidRDefault="00000000">
      <w:pPr>
        <w:spacing w:after="200"/>
        <w:jc w:val="center"/>
      </w:pPr>
      <w:r>
        <w:rPr>
          <w:i/>
          <w:iCs/>
          <w:color w:val="555555"/>
          <w:sz w:val="18"/>
          <w:szCs w:val="18"/>
        </w:rPr>
        <w:t xml:space="preserve">Figure 21: reference_dist.json — final baseline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1C2658BC" w14:textId="77777777">
        <w:tblPrEx>
          <w:tblCellMar>
            <w:top w:w="0" w:type="dxa"/>
            <w:bottom w:w="0" w:type="dxa"/>
          </w:tblCellMar>
        </w:tblPrEx>
        <w:tc>
          <w:tcPr>
            <w:tcW w:w="0" w:type="auto"/>
            <w:shd w:val="clear" w:color="auto" w:fill="FFF4CE"/>
            <w:tcMar>
              <w:top w:w="120" w:type="dxa"/>
              <w:left w:w="150" w:type="dxa"/>
              <w:bottom w:w="120" w:type="dxa"/>
              <w:right w:w="150" w:type="dxa"/>
            </w:tcMar>
          </w:tcPr>
          <w:p w14:paraId="7BB72A88" w14:textId="77777777" w:rsidR="00A917AE" w:rsidRDefault="00000000">
            <w:pPr>
              <w:spacing w:after="60"/>
            </w:pPr>
            <w:r>
              <w:rPr>
                <w:b/>
                <w:bCs/>
                <w:sz w:val="21"/>
                <w:szCs w:val="21"/>
              </w:rPr>
              <w:t>Finding worth noting</w:t>
            </w:r>
          </w:p>
          <w:p w14:paraId="3CE79AB1" w14:textId="77777777" w:rsidR="00A917AE" w:rsidRDefault="00000000">
            <w:r>
              <w:rPr>
                <w:sz w:val="21"/>
                <w:szCs w:val="21"/>
              </w:rPr>
              <w:t xml:space="preserve">The final reference_dist.json contains 118 samples with 100% of confidence scores falling into a single bin ([0.25, 0.50)). This means the model is only ever moderately confident on clean Normal-class data — not a bug, but a real characteristic of this small MLP that has a direct consequence for drift monitoring: because three of the four reference bins are empty, the PSI calculation's floor value (1e-4) dominates those bins' contribution, which can make the monitor more sensitive to small shifts than a distribution spread across multiple bins would be. This is discussed further as a reflection point in the Final Report.</w:t>
            </w:r>
          </w:p>
        </w:tc>
      </w:tr>
    </w:tbl>
    <w:p w14:paraId="0626F560" w14:textId="77777777" w:rsidR="00A917AE" w:rsidRDefault="00A917AE">
      <w:pPr>
        <w:spacing w:after="160" w:line="30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917AE" w14:paraId="0473E290" w14:textId="77777777">
        <w:tblPrEx>
          <w:tblCellMar>
            <w:top w:w="0" w:type="dxa"/>
            <w:bottom w:w="0" w:type="dxa"/>
          </w:tblCellMar>
        </w:tblPrEx>
        <w:tc>
          <w:tcPr>
            <w:tcW w:w="0" w:type="auto"/>
            <w:shd w:val="clear" w:color="auto" w:fill="FBE3E3"/>
            <w:tcMar>
              <w:top w:w="120" w:type="dxa"/>
              <w:left w:w="150" w:type="dxa"/>
              <w:bottom w:w="120" w:type="dxa"/>
              <w:right w:w="150" w:type="dxa"/>
            </w:tcMar>
          </w:tcPr>
          <w:p w14:paraId="1FA00585" w14:textId="77777777" w:rsidR="00A917AE" w:rsidRDefault="00000000">
            <w:pPr>
              <w:spacing w:after="60"/>
            </w:pPr>
            <w:r>
              <w:rPr>
                <w:b/>
                <w:bCs/>
                <w:sz w:val="21"/>
                <w:szCs w:val="21"/>
              </w:rPr>
              <w:t>Data gap — live monitor + drift injection screenshots needed</w:t>
            </w:r>
          </w:p>
          <w:p w14:paraId="59008825" w14:textId="77777777" w:rsidR="00A917AE" w:rsidRDefault="00000000">
            <w:r>
              <w:rPr>
                <w:sz w:val="21"/>
                <w:szCs w:val="21"/>
              </w:rPr>
              <w:t xml:space="preserve">No screenshot of `drift_monitor.py --mode monitor` actually running against live drift injection (--anomaly combined) and recovery (--anomaly none) was included in the material for this report. This is required for Final Report Section 5 and for the demo video (Task E1). Capture: PSI stable under Normal traffic, PSI climbing and the [LOGIBRIDGE DRIFT ALERT] line firing once combined-anomaly traffic starts, and PSI recovering below 0.10 after switching back to clean traffic.</w:t>
            </w:r>
          </w:p>
        </w:tc>
      </w:tr>
    </w:tbl>
    <w:p w14:paraId="6CC77019" w14:textId="77777777" w:rsidR="00A917AE" w:rsidRDefault="00000000">
      <w:r>
        <w:br w:type="page"/>
      </w:r>
    </w:p>
    <w:p w14:paraId="3A245B5B" w14:textId="77777777" w:rsidR="00A917AE" w:rsidRDefault="00000000">
      <w:pPr>
        <w:pStyle w:val="Heading1"/>
        <w:spacing w:before="360" w:after="160"/>
      </w:pPr>
      <w:r>
        <w:lastRenderedPageBreak/>
        <w:t>12. Summary of Phase 2 Findings</w:t>
      </w:r>
    </w:p>
    <w:p w14:paraId="1FD177AB" w14:textId="77777777" w:rsidR="00A917AE" w:rsidRDefault="00000000">
      <w:pPr>
        <w:pStyle w:val="ListParagraph"/>
        <w:numPr>
          <w:ilvl w:val="0"/>
          <w:numId w:val="1"/>
        </w:numPr>
        <w:spacing w:after="100" w:line="280" w:lineRule="auto"/>
      </w:pPr>
      <w:r>
        <w:rPr>
          <w:sz w:val="22"/>
          <w:szCs w:val="22"/>
        </w:rPr>
        <w:t>M1 baseline: 93.22% accuracy, 82.35% Class-2 recall (below the 95% production gate).</w:t>
      </w:r>
    </w:p>
    <w:p w14:paraId="41E8AB25" w14:textId="77777777" w:rsidR="00A917AE" w:rsidRDefault="00000000">
      <w:pPr>
        <w:pStyle w:val="ListParagraph"/>
        <w:numPr>
          <w:ilvl w:val="0"/>
          <w:numId w:val="1"/>
        </w:numPr>
        <w:spacing w:after="100" w:line="280" w:lineRule="auto"/>
      </w:pPr>
      <w:r>
        <w:rPr>
          <w:sz w:val="22"/>
          <w:szCs w:val="22"/>
        </w:rPr>
        <w:t>M2 (INT8 PTQ): zero accuracy loss vs. M1, ~15% smaller.</w:t>
      </w:r>
    </w:p>
    <w:p w14:paraId="15FA83FC" w14:textId="77777777" w:rsidR="00A917AE" w:rsidRDefault="00000000">
      <w:pPr>
        <w:pStyle w:val="ListParagraph"/>
        <w:numPr>
          <w:ilvl w:val="0"/>
          <w:numId w:val="1"/>
        </w:numPr>
        <w:spacing w:after="100" w:line="280" w:lineRule="auto"/>
      </w:pPr>
      <w:r>
        <w:rPr>
          <w:sz w:val="22"/>
          <w:szCs w:val="22"/>
        </w:rPr>
        <w:t>M3 (pruned+INT8): trained with the specified 35% sparsity (--sparsity 0.35). See benchmark table in Section 6 for updated accuracy.</w:t>
      </w:r>
    </w:p>
    <w:p w14:paraId="46A61058" w14:textId="77777777" w:rsidR="00A917AE" w:rsidRDefault="00000000">
      <w:pPr>
        <w:pStyle w:val="ListParagraph"/>
        <w:numPr>
          <w:ilvl w:val="0"/>
          <w:numId w:val="1"/>
        </w:numPr>
        <w:spacing w:after="100" w:line="280" w:lineRule="auto"/>
      </w:pPr>
      <w:r>
        <w:rPr>
          <w:sz w:val="22"/>
          <w:szCs w:val="22"/>
        </w:rPr>
        <w:t xml:space="preserve">Docker OTA layer-cache behaviour confirmed working as designed.</w:t>
      </w:r>
    </w:p>
    <w:p w14:paraId="6BCDE9D7" w14:textId="77777777" w:rsidR="00A917AE" w:rsidRDefault="00000000">
      <w:pPr>
        <w:pStyle w:val="ListParagraph"/>
        <w:numPr>
          <w:ilvl w:val="0"/>
          <w:numId w:val="1"/>
        </w:numPr>
        <w:spacing w:after="100" w:line="280" w:lineRule="auto"/>
      </w:pPr>
      <w:r>
        <w:rPr>
          <w:sz w:val="22"/>
          <w:szCs w:val="22"/>
        </w:rPr>
        <w:t>Ansible deployment confirmed idempotent (changed=3 → changed=0).</w:t>
      </w:r>
    </w:p>
    <w:p w14:paraId="5590D032" w14:textId="77777777" w:rsidR="00A917AE" w:rsidRDefault="00000000">
      <w:pPr>
        <w:pStyle w:val="ListParagraph"/>
        <w:numPr>
          <w:ilvl w:val="0"/>
          <w:numId w:val="1"/>
        </w:numPr>
        <w:spacing w:after="100" w:line="280" w:lineRule="auto"/>
      </w:pPr>
      <w:r>
        <w:rPr>
          <w:sz w:val="22"/>
          <w:szCs w:val="22"/>
        </w:rPr>
        <w:t xml:space="preserve">Two experiments still need to be captured before the Final Report / demo video: the 3σ normalisation-shift accuracy comparison, and a live PSI monitor run showing drift injection and recovery.</w:t>
      </w:r>
    </w:p>
    <w:sectPr w:rsidR="00A917AE">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6658" w14:textId="77777777" w:rsidR="00D91501" w:rsidRDefault="00D91501">
      <w:r>
        <w:separator/>
      </w:r>
    </w:p>
  </w:endnote>
  <w:endnote w:type="continuationSeparator" w:id="0">
    <w:p w14:paraId="1476B79F" w14:textId="77777777" w:rsidR="00D91501" w:rsidRDefault="00D9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837F" w14:textId="77777777" w:rsidR="00A917AE"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0E209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1E3A" w14:textId="77777777" w:rsidR="00D91501" w:rsidRDefault="00D91501">
      <w:r>
        <w:separator/>
      </w:r>
    </w:p>
  </w:footnote>
  <w:footnote w:type="continuationSeparator" w:id="0">
    <w:p w14:paraId="73EC4C21" w14:textId="77777777" w:rsidR="00D91501" w:rsidRDefault="00D91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122" w14:textId="77777777" w:rsidR="00A917AE" w:rsidRDefault="00000000">
    <w:pPr>
      <w:jc w:val="right"/>
    </w:pPr>
    <w:proofErr w:type="spellStart"/>
    <w:r>
      <w:rPr>
        <w:color w:val="888888"/>
        <w:sz w:val="16"/>
        <w:szCs w:val="16"/>
      </w:rPr>
      <w:t>LogiEdge</w:t>
    </w:r>
    <w:proofErr w:type="spellEnd"/>
    <w:r>
      <w:rPr>
        <w:color w:val="888888"/>
        <w:sz w:val="16"/>
        <w:szCs w:val="16"/>
      </w:rPr>
      <w:t xml:space="preserve"> — Phase 2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41B6C"/>
    <w:multiLevelType w:val="hybridMultilevel"/>
    <w:tmpl w:val="629093BE"/>
    <w:lvl w:ilvl="0" w:tplc="46C2D844">
      <w:start w:val="1"/>
      <w:numFmt w:val="bullet"/>
      <w:lvlText w:val="●"/>
      <w:lvlJc w:val="left"/>
      <w:pPr>
        <w:ind w:left="720" w:hanging="360"/>
      </w:pPr>
    </w:lvl>
    <w:lvl w:ilvl="1" w:tplc="37BA5376">
      <w:start w:val="1"/>
      <w:numFmt w:val="bullet"/>
      <w:lvlText w:val="○"/>
      <w:lvlJc w:val="left"/>
      <w:pPr>
        <w:ind w:left="1440" w:hanging="360"/>
      </w:pPr>
    </w:lvl>
    <w:lvl w:ilvl="2" w:tplc="688AD250">
      <w:start w:val="1"/>
      <w:numFmt w:val="bullet"/>
      <w:lvlText w:val="■"/>
      <w:lvlJc w:val="left"/>
      <w:pPr>
        <w:ind w:left="2160" w:hanging="360"/>
      </w:pPr>
    </w:lvl>
    <w:lvl w:ilvl="3" w:tplc="F50A3676">
      <w:start w:val="1"/>
      <w:numFmt w:val="bullet"/>
      <w:lvlText w:val="●"/>
      <w:lvlJc w:val="left"/>
      <w:pPr>
        <w:ind w:left="2880" w:hanging="360"/>
      </w:pPr>
    </w:lvl>
    <w:lvl w:ilvl="4" w:tplc="CB425AB0">
      <w:start w:val="1"/>
      <w:numFmt w:val="bullet"/>
      <w:lvlText w:val="○"/>
      <w:lvlJc w:val="left"/>
      <w:pPr>
        <w:ind w:left="3600" w:hanging="360"/>
      </w:pPr>
    </w:lvl>
    <w:lvl w:ilvl="5" w:tplc="7332A1FA">
      <w:start w:val="1"/>
      <w:numFmt w:val="bullet"/>
      <w:lvlText w:val="■"/>
      <w:lvlJc w:val="left"/>
      <w:pPr>
        <w:ind w:left="4320" w:hanging="360"/>
      </w:pPr>
    </w:lvl>
    <w:lvl w:ilvl="6" w:tplc="A4306948">
      <w:start w:val="1"/>
      <w:numFmt w:val="bullet"/>
      <w:lvlText w:val="●"/>
      <w:lvlJc w:val="left"/>
      <w:pPr>
        <w:ind w:left="5040" w:hanging="360"/>
      </w:pPr>
    </w:lvl>
    <w:lvl w:ilvl="7" w:tplc="8A52E78E">
      <w:start w:val="1"/>
      <w:numFmt w:val="bullet"/>
      <w:lvlText w:val="●"/>
      <w:lvlJc w:val="left"/>
      <w:pPr>
        <w:ind w:left="5760" w:hanging="360"/>
      </w:pPr>
    </w:lvl>
    <w:lvl w:ilvl="8" w:tplc="CDF8269E">
      <w:start w:val="1"/>
      <w:numFmt w:val="bullet"/>
      <w:lvlText w:val="●"/>
      <w:lvlJc w:val="left"/>
      <w:pPr>
        <w:ind w:left="6480" w:hanging="360"/>
      </w:pPr>
    </w:lvl>
  </w:abstractNum>
  <w:num w:numId="1" w16cid:durableId="1996447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7AE"/>
    <w:rsid w:val="000E209E"/>
    <w:rsid w:val="004A535D"/>
    <w:rsid w:val="00A917AE"/>
    <w:rsid w:val="00D91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90C06"/>
  <w15:docId w15:val="{3D213747-1462-41DE-9615-BC5D23EF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E2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1660</Words>
  <Characters>9462</Characters>
  <Application>Microsoft Office Word</Application>
  <DocSecurity>0</DocSecurity>
  <Lines>78</Lines>
  <Paragraphs>22</Paragraphs>
  <ScaleCrop>false</ScaleCrop>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Deshpande Akshay Ashok (MS/ENH44)</cp:lastModifiedBy>
  <cp:revision>2</cp:revision>
  <dcterms:created xsi:type="dcterms:W3CDTF">2026-08-08T19:03:00Z</dcterms:created>
  <dcterms:modified xsi:type="dcterms:W3CDTF">2026-08-08T20:10:00Z</dcterms:modified>
</cp:coreProperties>
</file>