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3 Task Report</w:t>
      </w:r>
    </w:p>
    <w:p>
      <w:pPr>
        <w:jc w:val="center"/>
      </w:pPr>
      <w:r>
        <w:rPr>
          <w:b/>
          <w:sz w:val="32"/>
        </w:rPr>
        <w:t>Python-Based Machine Learning Model Development and Evaluation Plan</w:t>
      </w:r>
    </w:p>
    <w:p>
      <w:pPr>
        <w:jc w:val="center"/>
      </w:pPr>
      <w:r>
        <w:rPr>
          <w:i/>
        </w:rPr>
        <w:t>Hypothetical Project: Customer Churn Prediction</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
              <w:rPr>
                <w:b/>
                <w:color w:val="FFFFFF"/>
                <w:sz w:val="18"/>
              </w:rPr>
              <w:t>Item</w:t>
            </w:r>
          </w:p>
        </w:tc>
        <w:tc>
          <w:tcPr>
            <w:tcW w:type="dxa" w:w="7056"/>
            <w:vAlign w:val="center"/>
            <w:shd w:fill="1F4E78"/>
          </w:tcPr>
          <w:p>
            <w:r/>
            <w:r>
              <w:rPr>
                <w:b/>
                <w:color w:val="FFFFFF"/>
                <w:sz w:val="18"/>
              </w:rPr>
              <w:t>Plan</w:t>
            </w:r>
          </w:p>
        </w:tc>
      </w:tr>
      <w:tr>
        <w:tc>
          <w:tcPr>
            <w:tcW w:type="dxa" w:w="2880"/>
            <w:vAlign w:val="center"/>
          </w:tcPr>
          <w:p>
            <w:r/>
            <w:r>
              <w:rPr>
                <w:b w:val="0"/>
                <w:color w:val="000000"/>
                <w:sz w:val="16"/>
              </w:rPr>
              <w:t>Problem type</w:t>
            </w:r>
          </w:p>
        </w:tc>
        <w:tc>
          <w:tcPr>
            <w:tcW w:type="dxa" w:w="7056"/>
            <w:vAlign w:val="center"/>
          </w:tcPr>
          <w:p>
            <w:r/>
            <w:r>
              <w:rPr>
                <w:b w:val="0"/>
                <w:color w:val="000000"/>
                <w:sz w:val="16"/>
              </w:rPr>
              <w:t>Binary classification: predict whether a customer will churn (1) or stay (0).</w:t>
            </w:r>
          </w:p>
        </w:tc>
      </w:tr>
      <w:tr>
        <w:tc>
          <w:tcPr>
            <w:tcW w:type="dxa" w:w="2880"/>
            <w:vAlign w:val="center"/>
          </w:tcPr>
          <w:p>
            <w:r/>
            <w:r>
              <w:rPr>
                <w:b w:val="0"/>
                <w:color w:val="000000"/>
                <w:sz w:val="16"/>
              </w:rPr>
              <w:t>Primary language</w:t>
            </w:r>
          </w:p>
        </w:tc>
        <w:tc>
          <w:tcPr>
            <w:tcW w:type="dxa" w:w="7056"/>
            <w:vAlign w:val="center"/>
          </w:tcPr>
          <w:p>
            <w:r/>
            <w:r>
              <w:rPr>
                <w:b w:val="0"/>
                <w:color w:val="000000"/>
                <w:sz w:val="16"/>
              </w:rPr>
              <w:t>Python 3.x</w:t>
            </w:r>
          </w:p>
        </w:tc>
      </w:tr>
      <w:tr>
        <w:tc>
          <w:tcPr>
            <w:tcW w:type="dxa" w:w="2880"/>
            <w:vAlign w:val="center"/>
          </w:tcPr>
          <w:p>
            <w:r/>
            <w:r>
              <w:rPr>
                <w:b w:val="0"/>
                <w:color w:val="000000"/>
                <w:sz w:val="16"/>
              </w:rPr>
              <w:t>Candidate models</w:t>
            </w:r>
          </w:p>
        </w:tc>
        <w:tc>
          <w:tcPr>
            <w:tcW w:type="dxa" w:w="7056"/>
            <w:vAlign w:val="center"/>
          </w:tcPr>
          <w:p>
            <w:r/>
            <w:r>
              <w:rPr>
                <w:b w:val="0"/>
                <w:color w:val="000000"/>
                <w:sz w:val="16"/>
              </w:rPr>
              <w:t>Logistic Regression, Decision Tree, Random Forest, Gradient Boosting</w:t>
            </w:r>
          </w:p>
        </w:tc>
      </w:tr>
      <w:tr>
        <w:tc>
          <w:tcPr>
            <w:tcW w:type="dxa" w:w="2880"/>
            <w:vAlign w:val="center"/>
          </w:tcPr>
          <w:p>
            <w:r/>
            <w:r>
              <w:rPr>
                <w:b w:val="0"/>
                <w:color w:val="000000"/>
                <w:sz w:val="16"/>
              </w:rPr>
              <w:t>Preferred baseline</w:t>
            </w:r>
          </w:p>
        </w:tc>
        <w:tc>
          <w:tcPr>
            <w:tcW w:type="dxa" w:w="7056"/>
            <w:vAlign w:val="center"/>
          </w:tcPr>
          <w:p>
            <w:r/>
            <w:r>
              <w:rPr>
                <w:b w:val="0"/>
                <w:color w:val="000000"/>
                <w:sz w:val="16"/>
              </w:rPr>
              <w:t>Logistic Regression for interpretability and probability output</w:t>
            </w:r>
          </w:p>
        </w:tc>
      </w:tr>
      <w:tr>
        <w:tc>
          <w:tcPr>
            <w:tcW w:type="dxa" w:w="2880"/>
            <w:vAlign w:val="center"/>
          </w:tcPr>
          <w:p>
            <w:r/>
            <w:r>
              <w:rPr>
                <w:b w:val="0"/>
                <w:color w:val="000000"/>
                <w:sz w:val="16"/>
              </w:rPr>
              <w:t>Primary evaluation</w:t>
            </w:r>
          </w:p>
        </w:tc>
        <w:tc>
          <w:tcPr>
            <w:tcW w:type="dxa" w:w="7056"/>
            <w:vAlign w:val="center"/>
          </w:tcPr>
          <w:p>
            <w:r/>
            <w:r>
              <w:rPr>
                <w:b w:val="0"/>
                <w:color w:val="000000"/>
                <w:sz w:val="16"/>
              </w:rPr>
              <w:t>Recall, Precision, F1-score, ROC-AUC, confusion matrix</w:t>
            </w:r>
          </w:p>
        </w:tc>
      </w:tr>
      <w:tr>
        <w:tc>
          <w:tcPr>
            <w:tcW w:type="dxa" w:w="2880"/>
            <w:vAlign w:val="center"/>
          </w:tcPr>
          <w:p>
            <w:r/>
            <w:r>
              <w:rPr>
                <w:b w:val="0"/>
                <w:color w:val="000000"/>
                <w:sz w:val="16"/>
              </w:rPr>
              <w:t>Validation</w:t>
            </w:r>
          </w:p>
        </w:tc>
        <w:tc>
          <w:tcPr>
            <w:tcW w:type="dxa" w:w="7056"/>
            <w:vAlign w:val="center"/>
          </w:tcPr>
          <w:p>
            <w:r/>
            <w:r>
              <w:rPr>
                <w:b w:val="0"/>
                <w:color w:val="000000"/>
                <w:sz w:val="16"/>
              </w:rPr>
              <w:t>Stratified train/validation/test split + Stratified K-Fold cross-validation</w:t>
            </w:r>
          </w:p>
        </w:tc>
      </w:tr>
      <w:tr>
        <w:tc>
          <w:tcPr>
            <w:tcW w:type="dxa" w:w="2880"/>
            <w:vAlign w:val="center"/>
          </w:tcPr>
          <w:p>
            <w:r/>
            <w:r>
              <w:rPr>
                <w:b w:val="0"/>
                <w:color w:val="000000"/>
                <w:sz w:val="16"/>
              </w:rPr>
              <w:t>Planned effort</w:t>
            </w:r>
          </w:p>
        </w:tc>
        <w:tc>
          <w:tcPr>
            <w:tcW w:type="dxa" w:w="7056"/>
            <w:vAlign w:val="center"/>
          </w:tcPr>
          <w:p>
            <w:r/>
            <w:r>
              <w:rPr>
                <w:b w:val="0"/>
                <w:color w:val="000000"/>
                <w:sz w:val="16"/>
              </w:rPr>
              <w:t>32 hours</w:t>
            </w:r>
          </w:p>
        </w:tc>
      </w:tr>
      <w:tr>
        <w:tc>
          <w:tcPr>
            <w:tcW w:type="dxa" w:w="2880"/>
            <w:vAlign w:val="center"/>
          </w:tcPr>
          <w:p>
            <w:r/>
            <w:r>
              <w:rPr>
                <w:b w:val="0"/>
                <w:color w:val="000000"/>
                <w:sz w:val="16"/>
              </w:rPr>
              <w:t>Deployment concept</w:t>
            </w:r>
          </w:p>
        </w:tc>
        <w:tc>
          <w:tcPr>
            <w:tcW w:type="dxa" w:w="7056"/>
            <w:vAlign w:val="center"/>
          </w:tcPr>
          <w:p>
            <w:r/>
            <w:r>
              <w:rPr>
                <w:b w:val="0"/>
                <w:color w:val="000000"/>
                <w:sz w:val="16"/>
              </w:rPr>
              <w:t>FastAPI/Flask service + monitoring + periodic retraining</w:t>
            </w:r>
          </w:p>
        </w:tc>
      </w:tr>
    </w:tbl>
    <w:p/>
    <w:p>
      <w:pPr>
        <w:pStyle w:val="Heading1"/>
        <w:spacing w:before="200" w:after="100"/>
      </w:pPr>
      <w:r>
        <w:t>Executive Summary</w:t>
      </w:r>
    </w:p>
    <w:p>
      <w:r>
        <w:rPr>
          <w:b/>
        </w:rPr>
        <w:t xml:space="preserve">This report defines a complete planning framework for developing and evaluating a Python-based machine learning system that predicts customer churn. </w:t>
      </w:r>
      <w:r>
        <w:t>The objective is to move from a clearly defined business question to a reproducible model pipeline, while preventing data leakage and selecting metrics that reflect the cost of missed churners. The plan uses a hypothetical tabular customer dataset containing demographics, service usage, tenure, billing information, support interactions, and a binary churn label. No real dataset or code execution is required for Week 3; the emphasis is on a logical implementation strategy, model selection, evaluation, validation, and future deployment. The approach intentionally includes numerical examples so that each decision can be checked and communicated clearly.</w:t>
      </w:r>
    </w:p>
    <w:p>
      <w:r>
        <w:br w:type="page"/>
      </w:r>
    </w:p>
    <w:p>
      <w:pPr>
        <w:pStyle w:val="Heading1"/>
        <w:spacing w:before="200" w:after="100"/>
      </w:pPr>
      <w:r>
        <w:t>1. Problem Definition and Business Context</w:t>
      </w:r>
    </w:p>
    <w:p>
      <w:r>
        <w:t>Customer churn occurs when an existing customer stops using a company's service. A predictive model can estimate churn risk before the customer leaves, allowing the business to prioritize retention actions. The planning target is a binary label: Churn = 1 for a customer expected to leave and Churn = 0 for a customer expected to stay.</w:t>
      </w:r>
    </w:p>
    <w:p>
      <w:pPr>
        <w:pStyle w:val="Heading2"/>
        <w:spacing w:before="200" w:after="100"/>
      </w:pPr>
      <w:r>
        <w:t>1.1 Why Machine Learning?</w:t>
      </w:r>
    </w:p>
    <w:p>
      <w:pPr>
        <w:pStyle w:val="ListBullet"/>
        <w:spacing w:after="60"/>
      </w:pPr>
      <w:r>
        <w:t>The relationship between churn and customer behavior is rarely linear; tree ensembles can capture interactions such as low tenure combined with high support complaints.</w:t>
      </w:r>
    </w:p>
    <w:p>
      <w:pPr>
        <w:pStyle w:val="ListBullet"/>
        <w:spacing w:after="60"/>
      </w:pPr>
      <w:r>
        <w:t>Supervised learning is appropriate because historical examples include an observed target label (churn/no churn).</w:t>
      </w:r>
    </w:p>
    <w:p>
      <w:pPr>
        <w:pStyle w:val="ListBullet"/>
        <w:spacing w:after="60"/>
      </w:pPr>
      <w:r>
        <w:t>Probability scores allow the business to rank customers rather than treating every customer as equally risky.</w:t>
      </w:r>
    </w:p>
    <w:p>
      <w:pPr>
        <w:pStyle w:val="Heading2"/>
        <w:spacing w:before="200" w:after="100"/>
      </w:pPr>
      <w:r>
        <w:t>1.2 Example Dataset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center"/>
            <w:shd w:fill="1F4E78"/>
          </w:tcPr>
          <w:p>
            <w:r/>
            <w:r>
              <w:rPr>
                <w:b/>
                <w:color w:val="FFFFFF"/>
                <w:sz w:val="18"/>
              </w:rPr>
              <w:t>Feature</w:t>
            </w:r>
          </w:p>
        </w:tc>
        <w:tc>
          <w:tcPr>
            <w:tcW w:type="dxa" w:w="1512"/>
            <w:vAlign w:val="center"/>
            <w:shd w:fill="1F4E78"/>
          </w:tcPr>
          <w:p>
            <w:r/>
            <w:r>
              <w:rPr>
                <w:b/>
                <w:color w:val="FFFFFF"/>
                <w:sz w:val="18"/>
              </w:rPr>
              <w:t>Type</w:t>
            </w:r>
          </w:p>
        </w:tc>
        <w:tc>
          <w:tcPr>
            <w:tcW w:type="dxa" w:w="3024"/>
            <w:vAlign w:val="center"/>
            <w:shd w:fill="1F4E78"/>
          </w:tcPr>
          <w:p>
            <w:r/>
            <w:r>
              <w:rPr>
                <w:b/>
                <w:color w:val="FFFFFF"/>
                <w:sz w:val="18"/>
              </w:rPr>
              <w:t>Example / meaning</w:t>
            </w:r>
          </w:p>
        </w:tc>
        <w:tc>
          <w:tcPr>
            <w:tcW w:type="dxa" w:w="3384"/>
            <w:vAlign w:val="center"/>
            <w:shd w:fill="1F4E78"/>
          </w:tcPr>
          <w:p>
            <w:r/>
            <w:r>
              <w:rPr>
                <w:b/>
                <w:color w:val="FFFFFF"/>
                <w:sz w:val="18"/>
              </w:rPr>
              <w:t>Expected treatment</w:t>
            </w:r>
          </w:p>
        </w:tc>
      </w:tr>
      <w:tr>
        <w:tc>
          <w:tcPr>
            <w:tcW w:type="dxa" w:w="1944"/>
            <w:vAlign w:val="center"/>
          </w:tcPr>
          <w:p>
            <w:r/>
            <w:r>
              <w:rPr>
                <w:b w:val="0"/>
                <w:color w:val="000000"/>
                <w:sz w:val="16"/>
              </w:rPr>
              <w:t>tenure_months</w:t>
            </w:r>
          </w:p>
        </w:tc>
        <w:tc>
          <w:tcPr>
            <w:tcW w:type="dxa" w:w="1512"/>
            <w:vAlign w:val="center"/>
          </w:tcPr>
          <w:p>
            <w:r/>
            <w:r>
              <w:rPr>
                <w:b w:val="0"/>
                <w:color w:val="000000"/>
                <w:sz w:val="16"/>
              </w:rPr>
              <w:t>Numeric</w:t>
            </w:r>
          </w:p>
        </w:tc>
        <w:tc>
          <w:tcPr>
            <w:tcW w:type="dxa" w:w="3024"/>
            <w:vAlign w:val="center"/>
          </w:tcPr>
          <w:p>
            <w:r/>
            <w:r>
              <w:rPr>
                <w:b w:val="0"/>
                <w:color w:val="000000"/>
                <w:sz w:val="16"/>
              </w:rPr>
              <w:t>18 months</w:t>
            </w:r>
          </w:p>
        </w:tc>
        <w:tc>
          <w:tcPr>
            <w:tcW w:type="dxa" w:w="3384"/>
            <w:vAlign w:val="center"/>
          </w:tcPr>
          <w:p>
            <w:r/>
            <w:r>
              <w:rPr>
                <w:b w:val="0"/>
                <w:color w:val="000000"/>
                <w:sz w:val="16"/>
              </w:rPr>
              <w:t>Keep numeric; check range 0–120</w:t>
            </w:r>
          </w:p>
        </w:tc>
      </w:tr>
      <w:tr>
        <w:tc>
          <w:tcPr>
            <w:tcW w:type="dxa" w:w="1944"/>
            <w:vAlign w:val="center"/>
          </w:tcPr>
          <w:p>
            <w:r/>
            <w:r>
              <w:rPr>
                <w:b w:val="0"/>
                <w:color w:val="000000"/>
                <w:sz w:val="16"/>
              </w:rPr>
              <w:t>monthly_charges</w:t>
            </w:r>
          </w:p>
        </w:tc>
        <w:tc>
          <w:tcPr>
            <w:tcW w:type="dxa" w:w="1512"/>
            <w:vAlign w:val="center"/>
          </w:tcPr>
          <w:p>
            <w:r/>
            <w:r>
              <w:rPr>
                <w:b w:val="0"/>
                <w:color w:val="000000"/>
                <w:sz w:val="16"/>
              </w:rPr>
              <w:t>Numeric</w:t>
            </w:r>
          </w:p>
        </w:tc>
        <w:tc>
          <w:tcPr>
            <w:tcW w:type="dxa" w:w="3024"/>
            <w:vAlign w:val="center"/>
          </w:tcPr>
          <w:p>
            <w:r/>
            <w:r>
              <w:rPr>
                <w:b w:val="0"/>
                <w:color w:val="000000"/>
                <w:sz w:val="16"/>
              </w:rPr>
              <w:t>₹799.00</w:t>
            </w:r>
          </w:p>
        </w:tc>
        <w:tc>
          <w:tcPr>
            <w:tcW w:type="dxa" w:w="3384"/>
            <w:vAlign w:val="center"/>
          </w:tcPr>
          <w:p>
            <w:r/>
            <w:r>
              <w:rPr>
                <w:b w:val="0"/>
                <w:color w:val="000000"/>
                <w:sz w:val="16"/>
              </w:rPr>
              <w:t>Outlier and skew checks</w:t>
            </w:r>
          </w:p>
        </w:tc>
      </w:tr>
      <w:tr>
        <w:tc>
          <w:tcPr>
            <w:tcW w:type="dxa" w:w="1944"/>
            <w:vAlign w:val="center"/>
          </w:tcPr>
          <w:p>
            <w:r/>
            <w:r>
              <w:rPr>
                <w:b w:val="0"/>
                <w:color w:val="000000"/>
                <w:sz w:val="16"/>
              </w:rPr>
              <w:t>contract_type</w:t>
            </w:r>
          </w:p>
        </w:tc>
        <w:tc>
          <w:tcPr>
            <w:tcW w:type="dxa" w:w="1512"/>
            <w:vAlign w:val="center"/>
          </w:tcPr>
          <w:p>
            <w:r/>
            <w:r>
              <w:rPr>
                <w:b w:val="0"/>
                <w:color w:val="000000"/>
                <w:sz w:val="16"/>
              </w:rPr>
              <w:t>Categorical</w:t>
            </w:r>
          </w:p>
        </w:tc>
        <w:tc>
          <w:tcPr>
            <w:tcW w:type="dxa" w:w="3024"/>
            <w:vAlign w:val="center"/>
          </w:tcPr>
          <w:p>
            <w:r/>
            <w:r>
              <w:rPr>
                <w:b w:val="0"/>
                <w:color w:val="000000"/>
                <w:sz w:val="16"/>
              </w:rPr>
              <w:t>Month-to-month</w:t>
            </w:r>
          </w:p>
        </w:tc>
        <w:tc>
          <w:tcPr>
            <w:tcW w:type="dxa" w:w="3384"/>
            <w:vAlign w:val="center"/>
          </w:tcPr>
          <w:p>
            <w:r/>
            <w:r>
              <w:rPr>
                <w:b w:val="0"/>
                <w:color w:val="000000"/>
                <w:sz w:val="16"/>
              </w:rPr>
              <w:t>One-hot encode</w:t>
            </w:r>
          </w:p>
        </w:tc>
      </w:tr>
      <w:tr>
        <w:tc>
          <w:tcPr>
            <w:tcW w:type="dxa" w:w="1944"/>
            <w:vAlign w:val="center"/>
          </w:tcPr>
          <w:p>
            <w:r/>
            <w:r>
              <w:rPr>
                <w:b w:val="0"/>
                <w:color w:val="000000"/>
                <w:sz w:val="16"/>
              </w:rPr>
              <w:t>support_tickets_90d</w:t>
            </w:r>
          </w:p>
        </w:tc>
        <w:tc>
          <w:tcPr>
            <w:tcW w:type="dxa" w:w="1512"/>
            <w:vAlign w:val="center"/>
          </w:tcPr>
          <w:p>
            <w:r/>
            <w:r>
              <w:rPr>
                <w:b w:val="0"/>
                <w:color w:val="000000"/>
                <w:sz w:val="16"/>
              </w:rPr>
              <w:t>Numeric</w:t>
            </w:r>
          </w:p>
        </w:tc>
        <w:tc>
          <w:tcPr>
            <w:tcW w:type="dxa" w:w="3024"/>
            <w:vAlign w:val="center"/>
          </w:tcPr>
          <w:p>
            <w:r/>
            <w:r>
              <w:rPr>
                <w:b w:val="0"/>
                <w:color w:val="000000"/>
                <w:sz w:val="16"/>
              </w:rPr>
              <w:t>4 tickets</w:t>
            </w:r>
          </w:p>
        </w:tc>
        <w:tc>
          <w:tcPr>
            <w:tcW w:type="dxa" w:w="3384"/>
            <w:vAlign w:val="center"/>
          </w:tcPr>
          <w:p>
            <w:r/>
            <w:r>
              <w:rPr>
                <w:b w:val="0"/>
                <w:color w:val="000000"/>
                <w:sz w:val="16"/>
              </w:rPr>
              <w:t>Check zero-inflation</w:t>
            </w:r>
          </w:p>
        </w:tc>
      </w:tr>
      <w:tr>
        <w:tc>
          <w:tcPr>
            <w:tcW w:type="dxa" w:w="1944"/>
            <w:vAlign w:val="center"/>
          </w:tcPr>
          <w:p>
            <w:r/>
            <w:r>
              <w:rPr>
                <w:b w:val="0"/>
                <w:color w:val="000000"/>
                <w:sz w:val="16"/>
              </w:rPr>
              <w:t>payment_method</w:t>
            </w:r>
          </w:p>
        </w:tc>
        <w:tc>
          <w:tcPr>
            <w:tcW w:type="dxa" w:w="1512"/>
            <w:vAlign w:val="center"/>
          </w:tcPr>
          <w:p>
            <w:r/>
            <w:r>
              <w:rPr>
                <w:b w:val="0"/>
                <w:color w:val="000000"/>
                <w:sz w:val="16"/>
              </w:rPr>
              <w:t>Categorical</w:t>
            </w:r>
          </w:p>
        </w:tc>
        <w:tc>
          <w:tcPr>
            <w:tcW w:type="dxa" w:w="3024"/>
            <w:vAlign w:val="center"/>
          </w:tcPr>
          <w:p>
            <w:r/>
            <w:r>
              <w:rPr>
                <w:b w:val="0"/>
                <w:color w:val="000000"/>
                <w:sz w:val="16"/>
              </w:rPr>
              <w:t>UPI / card / bank</w:t>
            </w:r>
          </w:p>
        </w:tc>
        <w:tc>
          <w:tcPr>
            <w:tcW w:type="dxa" w:w="3384"/>
            <w:vAlign w:val="center"/>
          </w:tcPr>
          <w:p>
            <w:r/>
            <w:r>
              <w:rPr>
                <w:b w:val="0"/>
                <w:color w:val="000000"/>
                <w:sz w:val="16"/>
              </w:rPr>
              <w:t>One-hot encode</w:t>
            </w:r>
          </w:p>
        </w:tc>
      </w:tr>
      <w:tr>
        <w:tc>
          <w:tcPr>
            <w:tcW w:type="dxa" w:w="1944"/>
            <w:vAlign w:val="center"/>
          </w:tcPr>
          <w:p>
            <w:r/>
            <w:r>
              <w:rPr>
                <w:b w:val="0"/>
                <w:color w:val="000000"/>
                <w:sz w:val="16"/>
              </w:rPr>
              <w:t>churn</w:t>
            </w:r>
          </w:p>
        </w:tc>
        <w:tc>
          <w:tcPr>
            <w:tcW w:type="dxa" w:w="1512"/>
            <w:vAlign w:val="center"/>
          </w:tcPr>
          <w:p>
            <w:r/>
            <w:r>
              <w:rPr>
                <w:b w:val="0"/>
                <w:color w:val="000000"/>
                <w:sz w:val="16"/>
              </w:rPr>
              <w:t>Binary target</w:t>
            </w:r>
          </w:p>
        </w:tc>
        <w:tc>
          <w:tcPr>
            <w:tcW w:type="dxa" w:w="3024"/>
            <w:vAlign w:val="center"/>
          </w:tcPr>
          <w:p>
            <w:r/>
            <w:r>
              <w:rPr>
                <w:b w:val="0"/>
                <w:color w:val="000000"/>
                <w:sz w:val="16"/>
              </w:rPr>
              <w:t>0 or 1</w:t>
            </w:r>
          </w:p>
        </w:tc>
        <w:tc>
          <w:tcPr>
            <w:tcW w:type="dxa" w:w="3384"/>
            <w:vAlign w:val="center"/>
          </w:tcPr>
          <w:p>
            <w:r/>
            <w:r>
              <w:rPr>
                <w:b w:val="0"/>
                <w:color w:val="000000"/>
                <w:sz w:val="16"/>
              </w:rPr>
              <w:t>Stratified split; never use as feature</w:t>
            </w:r>
          </w:p>
        </w:tc>
      </w:tr>
    </w:tbl>
    <w:p/>
    <w:p>
      <w:pPr>
        <w:pStyle w:val="Heading2"/>
        <w:spacing w:before="200" w:after="100"/>
      </w:pPr>
      <w:r>
        <w:t>1.3 Acceptance Criteria</w:t>
      </w:r>
    </w:p>
    <w:p>
      <w:pPr>
        <w:pStyle w:val="ListBullet"/>
        <w:spacing w:after="60"/>
      </w:pPr>
      <w:r>
        <w:t>Reproducible preprocessing and training pipeline.</w:t>
      </w:r>
    </w:p>
    <w:p>
      <w:pPr>
        <w:pStyle w:val="ListBullet"/>
        <w:spacing w:after="60"/>
      </w:pPr>
      <w:r>
        <w:t>No target leakage and no use of post-churn information.</w:t>
      </w:r>
    </w:p>
    <w:p>
      <w:pPr>
        <w:pStyle w:val="ListBullet"/>
        <w:spacing w:after="60"/>
      </w:pPr>
      <w:r>
        <w:t>Evaluation performed on an untouched test set.</w:t>
      </w:r>
    </w:p>
    <w:p>
      <w:pPr>
        <w:pStyle w:val="ListBullet"/>
        <w:spacing w:after="60"/>
      </w:pPr>
      <w:r>
        <w:t>Model scorecard includes precision, recall, F1, ROC-AUC and confusion matrix.</w:t>
      </w:r>
    </w:p>
    <w:p>
      <w:pPr>
        <w:pStyle w:val="ListBullet"/>
        <w:spacing w:after="60"/>
      </w:pPr>
      <w:r>
        <w:t>Threshold recommendation tied to the business cost of missing a true churner.</w:t>
      </w:r>
    </w:p>
    <w:p>
      <w:pPr>
        <w:pStyle w:val="Heading1"/>
        <w:spacing w:before="200" w:after="100"/>
      </w:pPr>
      <w:r>
        <w:t>2. End-to-End Machine Learning Workflow</w:t>
      </w:r>
    </w:p>
    <w:p>
      <w:r>
        <w:drawing>
          <wp:inline xmlns:a="http://schemas.openxmlformats.org/drawingml/2006/main" xmlns:pic="http://schemas.openxmlformats.org/drawingml/2006/picture">
            <wp:extent cx="6309360" cy="2736175"/>
            <wp:docPr id="1" name="Picture 1"/>
            <wp:cNvGraphicFramePr>
              <a:graphicFrameLocks noChangeAspect="1"/>
            </wp:cNvGraphicFramePr>
            <a:graphic>
              <a:graphicData uri="http://schemas.openxmlformats.org/drawingml/2006/picture">
                <pic:pic>
                  <pic:nvPicPr>
                    <pic:cNvPr id="0" name="ml_workflow.png"/>
                    <pic:cNvPicPr/>
                  </pic:nvPicPr>
                  <pic:blipFill>
                    <a:blip r:embed="rId11"/>
                    <a:stretch>
                      <a:fillRect/>
                    </a:stretch>
                  </pic:blipFill>
                  <pic:spPr>
                    <a:xfrm>
                      <a:off x="0" y="0"/>
                      <a:ext cx="6309360" cy="2736175"/>
                    </a:xfrm>
                    <a:prstGeom prst="rect"/>
                  </pic:spPr>
                </pic:pic>
              </a:graphicData>
            </a:graphic>
          </wp:inline>
        </w:drawing>
      </w:r>
    </w:p>
    <w:p>
      <w:pPr>
        <w:jc w:val="center"/>
      </w:pPr>
      <w:r>
        <w:t>Figure 1. Planned workflow from business problem to deployment and monitoring.</w:t>
      </w:r>
    </w:p>
    <w:p>
      <w:pPr>
        <w:pStyle w:val="Heading1"/>
        <w:spacing w:before="200" w:after="100"/>
      </w:pPr>
      <w:r>
        <w:t>3. Data Preprocessing Plan</w:t>
      </w:r>
    </w:p>
    <w:p>
      <w:pPr>
        <w:pStyle w:val="Heading2"/>
        <w:spacing w:before="200" w:after="100"/>
      </w:pPr>
      <w:r>
        <w:t>3.1 Data Quality Checks</w:t>
      </w:r>
    </w:p>
    <w:p>
      <w:pPr>
        <w:pStyle w:val="ListBullet"/>
        <w:spacing w:after="60"/>
      </w:pPr>
      <w:r>
        <w:t>Schema check: confirm expected columns, data types, and target definition.</w:t>
      </w:r>
    </w:p>
    <w:p>
      <w:pPr>
        <w:pStyle w:val="ListBullet"/>
        <w:spacing w:after="60"/>
      </w:pPr>
      <w:r>
        <w:t>Missingness report: calculate missing count and missing percentage per feature.</w:t>
      </w:r>
    </w:p>
    <w:p>
      <w:pPr>
        <w:pStyle w:val="ListBullet"/>
        <w:spacing w:after="60"/>
      </w:pPr>
      <w:r>
        <w:t>Duplicate detection: compare duplicate rows and customer IDs.</w:t>
      </w:r>
    </w:p>
    <w:p>
      <w:pPr>
        <w:pStyle w:val="ListBullet"/>
        <w:spacing w:after="60"/>
      </w:pPr>
      <w:r>
        <w:t>Range checks: e.g., tenure_months must be &gt;= 0; monthly_charges must be &gt; 0.</w:t>
      </w:r>
    </w:p>
    <w:p>
      <w:pPr>
        <w:pStyle w:val="ListBullet"/>
        <w:spacing w:after="60"/>
      </w:pPr>
      <w:r>
        <w:t>Category consistency: standardize labels such as “Month-to-month”, “Month to month”, and “Monthly”.</w:t>
      </w:r>
    </w:p>
    <w:p>
      <w:pPr>
        <w:pStyle w:val="Heading2"/>
        <w:spacing w:before="200" w:after="100"/>
      </w:pPr>
      <w:r>
        <w:t>3.2 Missing-Value Strategy</w:t>
      </w:r>
    </w:p>
    <w:p>
      <w:r>
        <w:t>Example: if 4,000 records are available and 120 values of monthly_charges are missing, missingness is 120/4,000 × 100 = 3%. A numeric feature with 3% missingness can be imputed with the median computed on the training set. If a feature is 45% missing, the team should investigate why it is missing before deciding whether to retain or remove it.</w:t>
      </w:r>
    </w:p>
    <w:p>
      <w:pPr>
        <w:spacing w:after="120"/>
        <w:ind w:left="360" w:right="360"/>
      </w:pPr>
      <w:r>
        <w:rPr>
          <w:rFonts w:ascii="Courier New" w:hAnsi="Courier New"/>
          <w:color w:val="282828"/>
          <w:sz w:val="17"/>
        </w:rPr>
        <w:t>from sklearn.impute import SimpleImputer</w:t>
        <w:br/>
        <w:t>imputer = SimpleImputer(strategy='median')</w:t>
        <w:br/>
        <w:t>X_train_num = imputer.fit_transform(X_train_num)</w:t>
        <w:br/>
        <w:t>X_test_num = imputer.transform(X_test_num)</w:t>
      </w:r>
    </w:p>
    <w:p>
      <w:pPr>
        <w:pStyle w:val="Heading2"/>
        <w:spacing w:before="200" w:after="100"/>
      </w:pPr>
      <w:r>
        <w:t>3.3 Outlier Strategy</w:t>
      </w:r>
    </w:p>
    <w:p>
      <w:r>
        <w:t>Use box plots and IQR rules to flag unusually large values. For example, if Q1 = 420, Q3 = 980, then IQR = 560 and the upper IQR fence is 980 + 1.5×560 = 1,820. Values above 1,820 should be reviewed rather than automatically deleted because an extreme charge may represent a legitimate enterprise customer.</w:t>
      </w:r>
      <w:r>
        <w:br w:type="page"/>
      </w:r>
    </w:p>
    <w:p>
      <w:pPr>
        <w:pStyle w:val="Heading2"/>
        <w:spacing w:before="200" w:after="100"/>
      </w:pPr>
      <w:r>
        <w:t>3.4 Encoding and Scaling</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1F4E78"/>
          </w:tcPr>
          <w:p>
            <w:r/>
            <w:r>
              <w:rPr>
                <w:b/>
                <w:color w:val="FFFFFF"/>
                <w:sz w:val="18"/>
              </w:rPr>
              <w:t>Data type</w:t>
            </w:r>
          </w:p>
        </w:tc>
        <w:tc>
          <w:tcPr>
            <w:tcW w:type="dxa" w:w="4320"/>
            <w:vAlign w:val="center"/>
            <w:shd w:fill="1F4E78"/>
          </w:tcPr>
          <w:p>
            <w:r/>
            <w:r>
              <w:rPr>
                <w:b/>
                <w:color w:val="FFFFFF"/>
                <w:sz w:val="18"/>
              </w:rPr>
              <w:t>Transformation</w:t>
            </w:r>
          </w:p>
        </w:tc>
        <w:tc>
          <w:tcPr>
            <w:tcW w:type="dxa" w:w="3312"/>
            <w:vAlign w:val="center"/>
            <w:shd w:fill="1F4E78"/>
          </w:tcPr>
          <w:p>
            <w:r/>
            <w:r>
              <w:rPr>
                <w:b/>
                <w:color w:val="FFFFFF"/>
                <w:sz w:val="18"/>
              </w:rPr>
              <w:t>Reason</w:t>
            </w:r>
          </w:p>
        </w:tc>
      </w:tr>
      <w:tr>
        <w:tc>
          <w:tcPr>
            <w:tcW w:type="dxa" w:w="2232"/>
            <w:vAlign w:val="center"/>
          </w:tcPr>
          <w:p>
            <w:r/>
            <w:r>
              <w:rPr>
                <w:b w:val="0"/>
                <w:color w:val="000000"/>
                <w:sz w:val="16"/>
              </w:rPr>
              <w:t>Numeric</w:t>
            </w:r>
          </w:p>
        </w:tc>
        <w:tc>
          <w:tcPr>
            <w:tcW w:type="dxa" w:w="4320"/>
            <w:vAlign w:val="center"/>
          </w:tcPr>
          <w:p>
            <w:r/>
            <w:r>
              <w:rPr>
                <w:b w:val="0"/>
                <w:color w:val="000000"/>
                <w:sz w:val="16"/>
              </w:rPr>
              <w:t>Median imputation + optional StandardScaler</w:t>
            </w:r>
          </w:p>
        </w:tc>
        <w:tc>
          <w:tcPr>
            <w:tcW w:type="dxa" w:w="3312"/>
            <w:vAlign w:val="center"/>
          </w:tcPr>
          <w:p>
            <w:r/>
            <w:r>
              <w:rPr>
                <w:b w:val="0"/>
                <w:color w:val="000000"/>
                <w:sz w:val="16"/>
              </w:rPr>
              <w:t>Comparable scale for linear models</w:t>
            </w:r>
          </w:p>
        </w:tc>
      </w:tr>
      <w:tr>
        <w:tc>
          <w:tcPr>
            <w:tcW w:type="dxa" w:w="2232"/>
            <w:vAlign w:val="center"/>
          </w:tcPr>
          <w:p>
            <w:r/>
            <w:r>
              <w:rPr>
                <w:b w:val="0"/>
                <w:color w:val="000000"/>
                <w:sz w:val="16"/>
              </w:rPr>
              <w:t>Low-cardinality categorical</w:t>
            </w:r>
          </w:p>
        </w:tc>
        <w:tc>
          <w:tcPr>
            <w:tcW w:type="dxa" w:w="4320"/>
            <w:vAlign w:val="center"/>
          </w:tcPr>
          <w:p>
            <w:r/>
            <w:r>
              <w:rPr>
                <w:b w:val="0"/>
                <w:color w:val="000000"/>
                <w:sz w:val="16"/>
              </w:rPr>
              <w:t>OneHotEncoder(handle_unknown="ignore")</w:t>
            </w:r>
          </w:p>
        </w:tc>
        <w:tc>
          <w:tcPr>
            <w:tcW w:type="dxa" w:w="3312"/>
            <w:vAlign w:val="center"/>
          </w:tcPr>
          <w:p>
            <w:r/>
            <w:r>
              <w:rPr>
                <w:b w:val="0"/>
                <w:color w:val="000000"/>
                <w:sz w:val="16"/>
              </w:rPr>
              <w:t>Convert labels to model-ready features</w:t>
            </w:r>
          </w:p>
        </w:tc>
      </w:tr>
      <w:tr>
        <w:tc>
          <w:tcPr>
            <w:tcW w:type="dxa" w:w="2232"/>
            <w:vAlign w:val="center"/>
          </w:tcPr>
          <w:p>
            <w:r/>
            <w:r>
              <w:rPr>
                <w:b w:val="0"/>
                <w:color w:val="000000"/>
                <w:sz w:val="16"/>
              </w:rPr>
              <w:t>High-cardinality IDs</w:t>
            </w:r>
          </w:p>
        </w:tc>
        <w:tc>
          <w:tcPr>
            <w:tcW w:type="dxa" w:w="4320"/>
            <w:vAlign w:val="center"/>
          </w:tcPr>
          <w:p>
            <w:r/>
            <w:r>
              <w:rPr>
                <w:b w:val="0"/>
                <w:color w:val="000000"/>
                <w:sz w:val="16"/>
              </w:rPr>
              <w:t>Drop or aggregate</w:t>
            </w:r>
          </w:p>
        </w:tc>
        <w:tc>
          <w:tcPr>
            <w:tcW w:type="dxa" w:w="3312"/>
            <w:vAlign w:val="center"/>
          </w:tcPr>
          <w:p>
            <w:r/>
            <w:r>
              <w:rPr>
                <w:b w:val="0"/>
                <w:color w:val="000000"/>
                <w:sz w:val="16"/>
              </w:rPr>
              <w:t>Avoid memorization and leakage</w:t>
            </w:r>
          </w:p>
        </w:tc>
      </w:tr>
      <w:tr>
        <w:tc>
          <w:tcPr>
            <w:tcW w:type="dxa" w:w="2232"/>
            <w:vAlign w:val="center"/>
          </w:tcPr>
          <w:p>
            <w:r/>
            <w:r>
              <w:rPr>
                <w:b w:val="0"/>
                <w:color w:val="000000"/>
                <w:sz w:val="16"/>
              </w:rPr>
              <w:t>Skewed positive numeric</w:t>
            </w:r>
          </w:p>
        </w:tc>
        <w:tc>
          <w:tcPr>
            <w:tcW w:type="dxa" w:w="4320"/>
            <w:vAlign w:val="center"/>
          </w:tcPr>
          <w:p>
            <w:r/>
            <w:r>
              <w:rPr>
                <w:b w:val="0"/>
                <w:color w:val="000000"/>
                <w:sz w:val="16"/>
              </w:rPr>
              <w:t>Optional log1p after review</w:t>
            </w:r>
          </w:p>
        </w:tc>
        <w:tc>
          <w:tcPr>
            <w:tcW w:type="dxa" w:w="3312"/>
            <w:vAlign w:val="center"/>
          </w:tcPr>
          <w:p>
            <w:r/>
            <w:r>
              <w:rPr>
                <w:b w:val="0"/>
                <w:color w:val="000000"/>
                <w:sz w:val="16"/>
              </w:rPr>
              <w:t>Reduce heavy right tail</w:t>
            </w:r>
          </w:p>
        </w:tc>
      </w:tr>
    </w:tbl>
    <w:p/>
    <w:p>
      <w:pPr>
        <w:pStyle w:val="Heading1"/>
        <w:spacing w:before="200" w:after="100"/>
      </w:pPr>
      <w:r>
        <w:t>4. Feature Engineering and Selection</w:t>
      </w:r>
    </w:p>
    <w:p>
      <w:pPr>
        <w:pStyle w:val="ListBullet"/>
        <w:spacing w:after="60"/>
      </w:pPr>
      <w:r>
        <w:t>Create tenure bands (0–6, 7–12, 13–24, 25+ months) if business interpretation benefits from them.</w:t>
      </w:r>
    </w:p>
    <w:p>
      <w:pPr>
        <w:pStyle w:val="ListBullet"/>
        <w:spacing w:after="60"/>
      </w:pPr>
      <w:r>
        <w:t>Create support_contact_rate = support_tickets_90d / max(tenure_months, 1).</w:t>
      </w:r>
    </w:p>
    <w:p>
      <w:pPr>
        <w:pStyle w:val="ListBullet"/>
        <w:spacing w:after="60"/>
      </w:pPr>
      <w:r>
        <w:t>Create a monthly-value indicator such as monthly_charges / average_plan_charge when reference data exists.</w:t>
      </w:r>
    </w:p>
    <w:p>
      <w:pPr>
        <w:pStyle w:val="ListBullet"/>
        <w:spacing w:after="60"/>
      </w:pPr>
      <w:r>
        <w:t>Remove direct identifiers such as customer_name and customer_id.</w:t>
      </w:r>
    </w:p>
    <w:p>
      <w:pPr>
        <w:pStyle w:val="ListBullet"/>
        <w:spacing w:after="60"/>
      </w:pPr>
      <w:r>
        <w:t>Use model-based importance and permutation importance only after the baseline is established.</w:t>
      </w:r>
    </w:p>
    <w:p>
      <w:pPr>
        <w:pStyle w:val="ListBullet"/>
        <w:spacing w:after="60"/>
      </w:pPr>
      <w:r>
        <w:t>Check correlation and multicollinearity among numeric features; for logistic regression, inspect high correlations before final fitting.</w:t>
      </w:r>
    </w:p>
    <w:p>
      <w:pPr>
        <w:pStyle w:val="Heading1"/>
        <w:spacing w:before="200" w:after="100"/>
      </w:pPr>
      <w:r>
        <w:t>5. Model Selection Strategy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center"/>
            <w:shd w:fill="1F4E78"/>
          </w:tcPr>
          <w:p>
            <w:r/>
            <w:r>
              <w:rPr>
                <w:b/>
                <w:color w:val="FFFFFF"/>
                <w:sz w:val="18"/>
              </w:rPr>
              <w:t>Model</w:t>
            </w:r>
          </w:p>
        </w:tc>
        <w:tc>
          <w:tcPr>
            <w:tcW w:type="dxa" w:w="2952"/>
            <w:vAlign w:val="center"/>
            <w:shd w:fill="1F4E78"/>
          </w:tcPr>
          <w:p>
            <w:r/>
            <w:r>
              <w:rPr>
                <w:b/>
                <w:color w:val="FFFFFF"/>
                <w:sz w:val="18"/>
              </w:rPr>
              <w:t>Strengths</w:t>
            </w:r>
          </w:p>
        </w:tc>
        <w:tc>
          <w:tcPr>
            <w:tcW w:type="dxa" w:w="3024"/>
            <w:vAlign w:val="center"/>
            <w:shd w:fill="1F4E78"/>
          </w:tcPr>
          <w:p>
            <w:r/>
            <w:r>
              <w:rPr>
                <w:b/>
                <w:color w:val="FFFFFF"/>
                <w:sz w:val="18"/>
              </w:rPr>
              <w:t>Risks / limits</w:t>
            </w:r>
          </w:p>
        </w:tc>
        <w:tc>
          <w:tcPr>
            <w:tcW w:type="dxa" w:w="2592"/>
            <w:vAlign w:val="center"/>
            <w:shd w:fill="1F4E78"/>
          </w:tcPr>
          <w:p>
            <w:r/>
            <w:r>
              <w:rPr>
                <w:b/>
                <w:color w:val="FFFFFF"/>
                <w:sz w:val="18"/>
              </w:rPr>
              <w:t>Role</w:t>
            </w:r>
          </w:p>
        </w:tc>
      </w:tr>
      <w:tr>
        <w:tc>
          <w:tcPr>
            <w:tcW w:type="dxa" w:w="1944"/>
            <w:vAlign w:val="center"/>
          </w:tcPr>
          <w:p>
            <w:r/>
            <w:r>
              <w:rPr>
                <w:b w:val="0"/>
                <w:color w:val="000000"/>
                <w:sz w:val="16"/>
              </w:rPr>
              <w:t>Logistic Regression</w:t>
            </w:r>
          </w:p>
        </w:tc>
        <w:tc>
          <w:tcPr>
            <w:tcW w:type="dxa" w:w="2952"/>
            <w:vAlign w:val="center"/>
          </w:tcPr>
          <w:p>
            <w:r/>
            <w:r>
              <w:rPr>
                <w:b w:val="0"/>
                <w:color w:val="000000"/>
                <w:sz w:val="16"/>
              </w:rPr>
              <w:t>Fast, interpretable, probability output</w:t>
            </w:r>
          </w:p>
        </w:tc>
        <w:tc>
          <w:tcPr>
            <w:tcW w:type="dxa" w:w="3024"/>
            <w:vAlign w:val="center"/>
          </w:tcPr>
          <w:p>
            <w:r/>
            <w:r>
              <w:rPr>
                <w:b w:val="0"/>
                <w:color w:val="000000"/>
                <w:sz w:val="16"/>
              </w:rPr>
              <w:t>Linear decision boundary</w:t>
            </w:r>
          </w:p>
        </w:tc>
        <w:tc>
          <w:tcPr>
            <w:tcW w:type="dxa" w:w="2592"/>
            <w:vAlign w:val="center"/>
          </w:tcPr>
          <w:p>
            <w:r/>
            <w:r>
              <w:rPr>
                <w:b w:val="0"/>
                <w:color w:val="000000"/>
                <w:sz w:val="16"/>
              </w:rPr>
              <w:t>Primary baseline</w:t>
            </w:r>
          </w:p>
        </w:tc>
      </w:tr>
      <w:tr>
        <w:tc>
          <w:tcPr>
            <w:tcW w:type="dxa" w:w="1944"/>
            <w:vAlign w:val="center"/>
          </w:tcPr>
          <w:p>
            <w:r/>
            <w:r>
              <w:rPr>
                <w:b w:val="0"/>
                <w:color w:val="000000"/>
                <w:sz w:val="16"/>
              </w:rPr>
              <w:t>Decision Tree</w:t>
            </w:r>
          </w:p>
        </w:tc>
        <w:tc>
          <w:tcPr>
            <w:tcW w:type="dxa" w:w="2952"/>
            <w:vAlign w:val="center"/>
          </w:tcPr>
          <w:p>
            <w:r/>
            <w:r>
              <w:rPr>
                <w:b w:val="0"/>
                <w:color w:val="000000"/>
                <w:sz w:val="16"/>
              </w:rPr>
              <w:t>Easy to explain, nonlinear rules</w:t>
            </w:r>
          </w:p>
        </w:tc>
        <w:tc>
          <w:tcPr>
            <w:tcW w:type="dxa" w:w="3024"/>
            <w:vAlign w:val="center"/>
          </w:tcPr>
          <w:p>
            <w:r/>
            <w:r>
              <w:rPr>
                <w:b w:val="0"/>
                <w:color w:val="000000"/>
                <w:sz w:val="16"/>
              </w:rPr>
              <w:t>Can overfit</w:t>
            </w:r>
          </w:p>
        </w:tc>
        <w:tc>
          <w:tcPr>
            <w:tcW w:type="dxa" w:w="2592"/>
            <w:vAlign w:val="center"/>
          </w:tcPr>
          <w:p>
            <w:r/>
            <w:r>
              <w:rPr>
                <w:b w:val="0"/>
                <w:color w:val="000000"/>
                <w:sz w:val="16"/>
              </w:rPr>
              <w:t>Diagnostic comparison</w:t>
            </w:r>
          </w:p>
        </w:tc>
      </w:tr>
      <w:tr>
        <w:tc>
          <w:tcPr>
            <w:tcW w:type="dxa" w:w="1944"/>
            <w:vAlign w:val="center"/>
          </w:tcPr>
          <w:p>
            <w:r/>
            <w:r>
              <w:rPr>
                <w:b w:val="0"/>
                <w:color w:val="000000"/>
                <w:sz w:val="16"/>
              </w:rPr>
              <w:t>Random Forest</w:t>
            </w:r>
          </w:p>
        </w:tc>
        <w:tc>
          <w:tcPr>
            <w:tcW w:type="dxa" w:w="2952"/>
            <w:vAlign w:val="center"/>
          </w:tcPr>
          <w:p>
            <w:r/>
            <w:r>
              <w:rPr>
                <w:b w:val="0"/>
                <w:color w:val="000000"/>
                <w:sz w:val="16"/>
              </w:rPr>
              <w:t>Strong tabular baseline, robust to nonlinear patterns</w:t>
            </w:r>
          </w:p>
        </w:tc>
        <w:tc>
          <w:tcPr>
            <w:tcW w:type="dxa" w:w="3024"/>
            <w:vAlign w:val="center"/>
          </w:tcPr>
          <w:p>
            <w:r/>
            <w:r>
              <w:rPr>
                <w:b w:val="0"/>
                <w:color w:val="000000"/>
                <w:sz w:val="16"/>
              </w:rPr>
              <w:t>Less interpretable than a single tree</w:t>
            </w:r>
          </w:p>
        </w:tc>
        <w:tc>
          <w:tcPr>
            <w:tcW w:type="dxa" w:w="2592"/>
            <w:vAlign w:val="center"/>
          </w:tcPr>
          <w:p>
            <w:r/>
            <w:r>
              <w:rPr>
                <w:b w:val="0"/>
                <w:color w:val="000000"/>
                <w:sz w:val="16"/>
              </w:rPr>
              <w:t>Candidate production model</w:t>
            </w:r>
          </w:p>
        </w:tc>
      </w:tr>
      <w:tr>
        <w:tc>
          <w:tcPr>
            <w:tcW w:type="dxa" w:w="1944"/>
            <w:vAlign w:val="center"/>
          </w:tcPr>
          <w:p>
            <w:r/>
            <w:r>
              <w:rPr>
                <w:b w:val="0"/>
                <w:color w:val="000000"/>
                <w:sz w:val="16"/>
              </w:rPr>
              <w:t>Gradient Boosting</w:t>
            </w:r>
          </w:p>
        </w:tc>
        <w:tc>
          <w:tcPr>
            <w:tcW w:type="dxa" w:w="2952"/>
            <w:vAlign w:val="center"/>
          </w:tcPr>
          <w:p>
            <w:r/>
            <w:r>
              <w:rPr>
                <w:b w:val="0"/>
                <w:color w:val="000000"/>
                <w:sz w:val="16"/>
              </w:rPr>
              <w:t>Often strong predictive performance</w:t>
            </w:r>
          </w:p>
        </w:tc>
        <w:tc>
          <w:tcPr>
            <w:tcW w:type="dxa" w:w="3024"/>
            <w:vAlign w:val="center"/>
          </w:tcPr>
          <w:p>
            <w:r/>
            <w:r>
              <w:rPr>
                <w:b w:val="0"/>
                <w:color w:val="000000"/>
                <w:sz w:val="16"/>
              </w:rPr>
              <w:t>More tuning complexity</w:t>
            </w:r>
          </w:p>
        </w:tc>
        <w:tc>
          <w:tcPr>
            <w:tcW w:type="dxa" w:w="2592"/>
            <w:vAlign w:val="center"/>
          </w:tcPr>
          <w:p>
            <w:r/>
            <w:r>
              <w:rPr>
                <w:b w:val="0"/>
                <w:color w:val="000000"/>
                <w:sz w:val="16"/>
              </w:rPr>
              <w:t>Performance challenger</w:t>
            </w:r>
          </w:p>
        </w:tc>
      </w:tr>
    </w:tbl>
    <w:p/>
    <w:p>
      <w:pPr>
        <w:pStyle w:val="Heading2"/>
        <w:spacing w:before="200" w:after="100"/>
      </w:pPr>
      <w:r>
        <w:t>5.1 Recommended Decision Rule</w:t>
      </w:r>
    </w:p>
    <w:p>
      <w:r>
        <w:t>Start with Logistic Regression as the baseline because it offers interpretable coefficients and fast training. Then compare Random Forest and Gradient Boosting. The final model should not be chosen solely on accuracy. If the business cost of missing a likely churner is high, a model with higher recall may be preferred even if it sacrifices some precision.</w:t>
      </w:r>
    </w:p>
    <w:p>
      <w:pPr>
        <w:pStyle w:val="Heading1"/>
        <w:spacing w:before="200" w:after="100"/>
      </w:pPr>
      <w:r>
        <w:t>6. Training, Validation, and Hyperparameter Tuning</w:t>
      </w:r>
    </w:p>
    <w:p>
      <w:pPr>
        <w:pStyle w:val="Heading2"/>
        <w:spacing w:before="200" w:after="100"/>
      </w:pPr>
      <w:r>
        <w:t>6.1 Split Strategy</w:t>
      </w:r>
    </w:p>
    <w:p>
      <w:r>
        <w:t>Use a stratified 70/15/15 split: 70% training, 15% validation, 15% final test. Example for 10,000 records: 7,000 training, 1,500 validation, and 1,500 test. Stratification keeps the churn class proportion similar across splits.</w:t>
      </w:r>
    </w:p>
    <w:p>
      <w:pPr>
        <w:pStyle w:val="Heading2"/>
        <w:spacing w:before="200" w:after="100"/>
      </w:pPr>
      <w:r>
        <w:t>6.2 Cross-Validation</w:t>
      </w:r>
    </w:p>
    <w:p>
      <w:r>
        <w:t>Within the training set, use Stratified K-Fold cross-validation with k = 5. If five F1 scores are 0.71, 0.74, 0.69, 0.72, and 0.73, the mean is 0.718 and the standard deviation is approximately 0.019. A small standard deviation indicates that performance is relatively stable across folds.</w:t>
      </w:r>
    </w:p>
    <w:p>
      <w:pPr>
        <w:spacing w:after="120"/>
        <w:ind w:left="360" w:right="360"/>
      </w:pPr>
      <w:r>
        <w:rPr>
          <w:rFonts w:ascii="Courier New" w:hAnsi="Courier New"/>
          <w:color w:val="282828"/>
          <w:sz w:val="17"/>
        </w:rPr>
        <w:t>from sklearn.model_selection import StratifiedKFold, cross_validate</w:t>
        <w:br/>
        <w:t>cv = StratifiedKFold(n_splits=5, shuffle=True, random_state=42)</w:t>
        <w:br/>
        <w:t># Fit preprocessing and model inside a Pipeline to prevent leakage</w:t>
      </w:r>
    </w:p>
    <w:p>
      <w:pPr>
        <w:pStyle w:val="Heading2"/>
        <w:spacing w:before="200" w:after="100"/>
      </w:pPr>
      <w:r>
        <w:t>6.3 Hyperparameter Tuning</w:t>
      </w:r>
    </w:p>
    <w:p>
      <w:pPr>
        <w:pStyle w:val="ListBullet"/>
        <w:spacing w:after="60"/>
      </w:pPr>
      <w:r>
        <w:t>Random Forest: n_estimators = [200, 400], max_depth = [None, 10, 20], min_samples_leaf = [1, 3].</w:t>
      </w:r>
    </w:p>
    <w:p>
      <w:pPr>
        <w:pStyle w:val="ListBullet"/>
        <w:spacing w:after="60"/>
      </w:pPr>
      <w:r>
        <w:t>Logistic Regression: C = [0.1, 1, 10], penalty = ["l2"].</w:t>
      </w:r>
    </w:p>
    <w:p>
      <w:pPr>
        <w:pStyle w:val="ListBullet"/>
        <w:spacing w:after="60"/>
      </w:pPr>
      <w:r>
        <w:t>Use RandomizedSearchCV or GridSearchCV with stratified 5-fold CV and optimize for F1 or recall depending on the business objective.</w:t>
      </w:r>
    </w:p>
    <w:p>
      <w:pPr>
        <w:pStyle w:val="ListBullet"/>
        <w:spacing w:after="60"/>
      </w:pPr>
      <w:r>
        <w:t>Keep the final test set untouched until model and threshold choices are locked.</w:t>
      </w:r>
    </w:p>
    <w:p>
      <w:pPr>
        <w:pStyle w:val="Heading1"/>
        <w:spacing w:before="200" w:after="100"/>
      </w:pPr>
      <w:r>
        <w:t>7. Evaluation Metrics and Worked Example</w:t>
      </w:r>
    </w:p>
    <w:p>
      <w:pPr>
        <w:pStyle w:val="Heading2"/>
        <w:spacing w:before="200" w:after="100"/>
      </w:pPr>
      <w:r>
        <w:t>7.1 Confusion Matrix</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1F4E78"/>
          </w:tcPr>
          <w:p>
            <w:r/>
            <w:r>
              <w:rPr>
                <w:b/>
                <w:color w:val="FFFFFF"/>
                <w:sz w:val="18"/>
              </w:rPr>
            </w:r>
          </w:p>
        </w:tc>
        <w:tc>
          <w:tcPr>
            <w:tcW w:type="dxa" w:w="3168"/>
            <w:vAlign w:val="center"/>
            <w:shd w:fill="1F4E78"/>
          </w:tcPr>
          <w:p>
            <w:r/>
            <w:r>
              <w:rPr>
                <w:b/>
                <w:color w:val="FFFFFF"/>
                <w:sz w:val="18"/>
              </w:rPr>
              <w:t>Actual Churn</w:t>
            </w:r>
          </w:p>
        </w:tc>
        <w:tc>
          <w:tcPr>
            <w:tcW w:type="dxa" w:w="3168"/>
            <w:vAlign w:val="center"/>
            <w:shd w:fill="1F4E78"/>
          </w:tcPr>
          <w:p>
            <w:r/>
            <w:r>
              <w:rPr>
                <w:b/>
                <w:color w:val="FFFFFF"/>
                <w:sz w:val="18"/>
              </w:rPr>
              <w:t>Actual Stay</w:t>
            </w:r>
          </w:p>
        </w:tc>
      </w:tr>
      <w:tr>
        <w:tc>
          <w:tcPr>
            <w:tcW w:type="dxa" w:w="2232"/>
            <w:vAlign w:val="center"/>
          </w:tcPr>
          <w:p>
            <w:r/>
            <w:r>
              <w:rPr>
                <w:b w:val="0"/>
                <w:color w:val="000000"/>
                <w:sz w:val="16"/>
              </w:rPr>
              <w:t>Predicted Churn</w:t>
            </w:r>
          </w:p>
        </w:tc>
        <w:tc>
          <w:tcPr>
            <w:tcW w:type="dxa" w:w="3168"/>
            <w:vAlign w:val="center"/>
          </w:tcPr>
          <w:p>
            <w:r/>
            <w:r>
              <w:rPr>
                <w:b w:val="0"/>
                <w:color w:val="000000"/>
                <w:sz w:val="16"/>
              </w:rPr>
              <w:t>TP = 180</w:t>
            </w:r>
          </w:p>
        </w:tc>
        <w:tc>
          <w:tcPr>
            <w:tcW w:type="dxa" w:w="3168"/>
            <w:vAlign w:val="center"/>
          </w:tcPr>
          <w:p>
            <w:r/>
            <w:r>
              <w:rPr>
                <w:b w:val="0"/>
                <w:color w:val="000000"/>
                <w:sz w:val="16"/>
              </w:rPr>
              <w:t>FP = 60</w:t>
            </w:r>
          </w:p>
        </w:tc>
      </w:tr>
      <w:tr>
        <w:tc>
          <w:tcPr>
            <w:tcW w:type="dxa" w:w="2232"/>
            <w:vAlign w:val="center"/>
          </w:tcPr>
          <w:p>
            <w:r/>
            <w:r>
              <w:rPr>
                <w:b w:val="0"/>
                <w:color w:val="000000"/>
                <w:sz w:val="16"/>
              </w:rPr>
              <w:t>Predicted Stay</w:t>
            </w:r>
          </w:p>
        </w:tc>
        <w:tc>
          <w:tcPr>
            <w:tcW w:type="dxa" w:w="3168"/>
            <w:vAlign w:val="center"/>
          </w:tcPr>
          <w:p>
            <w:r/>
            <w:r>
              <w:rPr>
                <w:b w:val="0"/>
                <w:color w:val="000000"/>
                <w:sz w:val="16"/>
              </w:rPr>
              <w:t>FN = 40</w:t>
            </w:r>
          </w:p>
        </w:tc>
        <w:tc>
          <w:tcPr>
            <w:tcW w:type="dxa" w:w="3168"/>
            <w:vAlign w:val="center"/>
          </w:tcPr>
          <w:p>
            <w:r/>
            <w:r>
              <w:rPr>
                <w:b w:val="0"/>
                <w:color w:val="000000"/>
                <w:sz w:val="16"/>
              </w:rPr>
              <w:t>TN = 720</w:t>
            </w:r>
          </w:p>
        </w:tc>
      </w:tr>
    </w:tbl>
    <w:p/>
    <w:p>
      <w:r>
        <w:t>From the example above: Precision = 180/(180+60) = 0.75; Recall = 180/(180+40) = 0.818; F1 = 2×(0.75×0.818)/(0.75+0.818) ≈ 0.783. Accuracy = (180+720)/(180+60+40+720) = 0.90. The example shows why accuracy alone can hide the cost of false negatives.</w:t>
      </w:r>
    </w:p>
    <w:p>
      <w:pPr>
        <w:pStyle w:val="Heading2"/>
        <w:spacing w:before="200" w:after="100"/>
      </w:pPr>
      <w:r>
        <w:t>7.2 Metric Selection</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F4E78"/>
          </w:tcPr>
          <w:p>
            <w:r/>
            <w:r>
              <w:rPr>
                <w:b/>
                <w:color w:val="FFFFFF"/>
                <w:sz w:val="18"/>
              </w:rPr>
              <w:t>Metric</w:t>
            </w:r>
          </w:p>
        </w:tc>
        <w:tc>
          <w:tcPr>
            <w:tcW w:type="dxa" w:w="3456"/>
            <w:vAlign w:val="center"/>
            <w:shd w:fill="1F4E78"/>
          </w:tcPr>
          <w:p>
            <w:r/>
            <w:r>
              <w:rPr>
                <w:b/>
                <w:color w:val="FFFFFF"/>
                <w:sz w:val="18"/>
              </w:rPr>
              <w:t>Meaning</w:t>
            </w:r>
          </w:p>
        </w:tc>
        <w:tc>
          <w:tcPr>
            <w:tcW w:type="dxa" w:w="3672"/>
            <w:vAlign w:val="center"/>
            <w:shd w:fill="1F4E78"/>
          </w:tcPr>
          <w:p>
            <w:r/>
            <w:r>
              <w:rPr>
                <w:b/>
                <w:color w:val="FFFFFF"/>
                <w:sz w:val="18"/>
              </w:rPr>
              <w:t>Use in churn project</w:t>
            </w:r>
          </w:p>
        </w:tc>
      </w:tr>
      <w:tr>
        <w:tc>
          <w:tcPr>
            <w:tcW w:type="dxa" w:w="1800"/>
            <w:vAlign w:val="center"/>
          </w:tcPr>
          <w:p>
            <w:r/>
            <w:r>
              <w:rPr>
                <w:b w:val="0"/>
                <w:color w:val="000000"/>
                <w:sz w:val="16"/>
              </w:rPr>
              <w:t>Accuracy</w:t>
            </w:r>
          </w:p>
        </w:tc>
        <w:tc>
          <w:tcPr>
            <w:tcW w:type="dxa" w:w="3456"/>
            <w:vAlign w:val="center"/>
          </w:tcPr>
          <w:p>
            <w:r/>
            <w:r>
              <w:rPr>
                <w:b w:val="0"/>
                <w:color w:val="000000"/>
                <w:sz w:val="16"/>
              </w:rPr>
              <w:t>Overall share of correct predictions</w:t>
            </w:r>
          </w:p>
        </w:tc>
        <w:tc>
          <w:tcPr>
            <w:tcW w:type="dxa" w:w="3672"/>
            <w:vAlign w:val="center"/>
          </w:tcPr>
          <w:p>
            <w:r/>
            <w:r>
              <w:rPr>
                <w:b w:val="0"/>
                <w:color w:val="000000"/>
                <w:sz w:val="16"/>
              </w:rPr>
              <w:t>Secondary; useful when classes are balanced</w:t>
            </w:r>
          </w:p>
        </w:tc>
      </w:tr>
      <w:tr>
        <w:tc>
          <w:tcPr>
            <w:tcW w:type="dxa" w:w="1800"/>
            <w:vAlign w:val="center"/>
          </w:tcPr>
          <w:p>
            <w:r/>
            <w:r>
              <w:rPr>
                <w:b w:val="0"/>
                <w:color w:val="000000"/>
                <w:sz w:val="16"/>
              </w:rPr>
              <w:t>Precision</w:t>
            </w:r>
          </w:p>
        </w:tc>
        <w:tc>
          <w:tcPr>
            <w:tcW w:type="dxa" w:w="3456"/>
            <w:vAlign w:val="center"/>
          </w:tcPr>
          <w:p>
            <w:r/>
            <w:r>
              <w:rPr>
                <w:b w:val="0"/>
                <w:color w:val="000000"/>
                <w:sz w:val="16"/>
              </w:rPr>
              <w:t>Share of predicted churners who truly churn</w:t>
            </w:r>
          </w:p>
        </w:tc>
        <w:tc>
          <w:tcPr>
            <w:tcW w:type="dxa" w:w="3672"/>
            <w:vAlign w:val="center"/>
          </w:tcPr>
          <w:p>
            <w:r/>
            <w:r>
              <w:rPr>
                <w:b w:val="0"/>
                <w:color w:val="000000"/>
                <w:sz w:val="16"/>
              </w:rPr>
              <w:t>Controls unnecessary retention actions</w:t>
            </w:r>
          </w:p>
        </w:tc>
      </w:tr>
      <w:tr>
        <w:tc>
          <w:tcPr>
            <w:tcW w:type="dxa" w:w="1800"/>
            <w:vAlign w:val="center"/>
          </w:tcPr>
          <w:p>
            <w:r/>
            <w:r>
              <w:rPr>
                <w:b w:val="0"/>
                <w:color w:val="000000"/>
                <w:sz w:val="16"/>
              </w:rPr>
              <w:t>Recall</w:t>
            </w:r>
          </w:p>
        </w:tc>
        <w:tc>
          <w:tcPr>
            <w:tcW w:type="dxa" w:w="3456"/>
            <w:vAlign w:val="center"/>
          </w:tcPr>
          <w:p>
            <w:r/>
            <w:r>
              <w:rPr>
                <w:b w:val="0"/>
                <w:color w:val="000000"/>
                <w:sz w:val="16"/>
              </w:rPr>
              <w:t>Share of actual churners detected</w:t>
            </w:r>
          </w:p>
        </w:tc>
        <w:tc>
          <w:tcPr>
            <w:tcW w:type="dxa" w:w="3672"/>
            <w:vAlign w:val="center"/>
          </w:tcPr>
          <w:p>
            <w:r/>
            <w:r>
              <w:rPr>
                <w:b w:val="0"/>
                <w:color w:val="000000"/>
                <w:sz w:val="16"/>
              </w:rPr>
              <w:t>Critical when missed churners are costly</w:t>
            </w:r>
          </w:p>
        </w:tc>
      </w:tr>
      <w:tr>
        <w:tc>
          <w:tcPr>
            <w:tcW w:type="dxa" w:w="1800"/>
            <w:vAlign w:val="center"/>
          </w:tcPr>
          <w:p>
            <w:r/>
            <w:r>
              <w:rPr>
                <w:b w:val="0"/>
                <w:color w:val="000000"/>
                <w:sz w:val="16"/>
              </w:rPr>
              <w:t>F1-score</w:t>
            </w:r>
          </w:p>
        </w:tc>
        <w:tc>
          <w:tcPr>
            <w:tcW w:type="dxa" w:w="3456"/>
            <w:vAlign w:val="center"/>
          </w:tcPr>
          <w:p>
            <w:r/>
            <w:r>
              <w:rPr>
                <w:b w:val="0"/>
                <w:color w:val="000000"/>
                <w:sz w:val="16"/>
              </w:rPr>
              <w:t>Harmonic mean of precision and recall</w:t>
            </w:r>
          </w:p>
        </w:tc>
        <w:tc>
          <w:tcPr>
            <w:tcW w:type="dxa" w:w="3672"/>
            <w:vAlign w:val="center"/>
          </w:tcPr>
          <w:p>
            <w:r/>
            <w:r>
              <w:rPr>
                <w:b w:val="0"/>
                <w:color w:val="000000"/>
                <w:sz w:val="16"/>
              </w:rPr>
              <w:t>Useful balanced metric for churn detection</w:t>
            </w:r>
          </w:p>
        </w:tc>
      </w:tr>
      <w:tr>
        <w:tc>
          <w:tcPr>
            <w:tcW w:type="dxa" w:w="1800"/>
            <w:vAlign w:val="center"/>
          </w:tcPr>
          <w:p>
            <w:r/>
            <w:r>
              <w:rPr>
                <w:b w:val="0"/>
                <w:color w:val="000000"/>
                <w:sz w:val="16"/>
              </w:rPr>
              <w:t>ROC-AUC</w:t>
            </w:r>
          </w:p>
        </w:tc>
        <w:tc>
          <w:tcPr>
            <w:tcW w:type="dxa" w:w="3456"/>
            <w:vAlign w:val="center"/>
          </w:tcPr>
          <w:p>
            <w:r/>
            <w:r>
              <w:rPr>
                <w:b w:val="0"/>
                <w:color w:val="000000"/>
                <w:sz w:val="16"/>
              </w:rPr>
              <w:t>Ranking quality across thresholds</w:t>
            </w:r>
          </w:p>
        </w:tc>
        <w:tc>
          <w:tcPr>
            <w:tcW w:type="dxa" w:w="3672"/>
            <w:vAlign w:val="center"/>
          </w:tcPr>
          <w:p>
            <w:r/>
            <w:r>
              <w:rPr>
                <w:b w:val="0"/>
                <w:color w:val="000000"/>
                <w:sz w:val="16"/>
              </w:rPr>
              <w:t>Compare models before choosing threshold</w:t>
            </w:r>
          </w:p>
        </w:tc>
      </w:tr>
    </w:tbl>
    <w:p/>
    <w:p>
      <w:r>
        <w:br w:type="page"/>
      </w:r>
    </w:p>
    <w:p>
      <w:pPr>
        <w:pStyle w:val="Heading1"/>
        <w:spacing w:before="200" w:after="100"/>
      </w:pPr>
      <w:r>
        <w:t>8. Evaluation and Decision Framework</w:t>
      </w:r>
    </w:p>
    <w:p>
      <w:r>
        <w:drawing>
          <wp:inline xmlns:a="http://schemas.openxmlformats.org/drawingml/2006/main" xmlns:pic="http://schemas.openxmlformats.org/drawingml/2006/picture">
            <wp:extent cx="6309360" cy="2849833"/>
            <wp:docPr id="2" name="Picture 2"/>
            <wp:cNvGraphicFramePr>
              <a:graphicFrameLocks noChangeAspect="1"/>
            </wp:cNvGraphicFramePr>
            <a:graphic>
              <a:graphicData uri="http://schemas.openxmlformats.org/drawingml/2006/picture">
                <pic:pic>
                  <pic:nvPicPr>
                    <pic:cNvPr id="0" name="evaluation_framework.png"/>
                    <pic:cNvPicPr/>
                  </pic:nvPicPr>
                  <pic:blipFill>
                    <a:blip r:embed="rId12"/>
                    <a:stretch>
                      <a:fillRect/>
                    </a:stretch>
                  </pic:blipFill>
                  <pic:spPr>
                    <a:xfrm>
                      <a:off x="0" y="0"/>
                      <a:ext cx="6309360" cy="2849833"/>
                    </a:xfrm>
                    <a:prstGeom prst="rect"/>
                  </pic:spPr>
                </pic:pic>
              </a:graphicData>
            </a:graphic>
          </wp:inline>
        </w:drawing>
      </w:r>
    </w:p>
    <w:p>
      <w:pPr>
        <w:jc w:val="center"/>
      </w:pPr>
      <w:r>
        <w:t>Figure 2. Validation, scorecard, and business decision framework.</w:t>
      </w:r>
    </w:p>
    <w:p>
      <w:pPr>
        <w:pStyle w:val="Heading2"/>
        <w:spacing w:before="200" w:after="100"/>
      </w:pPr>
      <w:r>
        <w:t>8.1 Threshold Selection</w:t>
      </w:r>
    </w:p>
    <w:p>
      <w:r>
        <w:t>The default classification threshold is 0.50, but it should be tuned using the validation set. Example: if threshold 0.50 gives recall 0.82 and precision 0.75, while threshold 0.40 gives recall 0.90 and precision 0.66, the lower threshold may be justified if the cost of missing a churner is high. The final threshold must then be frozen and evaluated once on the untouched test set.</w:t>
      </w:r>
    </w:p>
    <w:p>
      <w:pPr>
        <w:pStyle w:val="Heading2"/>
        <w:spacing w:before="200" w:after="100"/>
      </w:pPr>
      <w:r>
        <w:t>8.2 Leakage Prevention Checklist</w:t>
      </w:r>
    </w:p>
    <w:p>
      <w:pPr>
        <w:pStyle w:val="ListBullet"/>
        <w:spacing w:after="60"/>
      </w:pPr>
      <w:r>
        <w:t>Fit imputers, scalers, and encoders only on training folds.</w:t>
      </w:r>
    </w:p>
    <w:p>
      <w:pPr>
        <w:pStyle w:val="ListBullet"/>
        <w:spacing w:after="60"/>
      </w:pPr>
      <w:r>
        <w:t>Do not calculate future features using information that would not be known at prediction time.</w:t>
      </w:r>
    </w:p>
    <w:p>
      <w:pPr>
        <w:pStyle w:val="ListBullet"/>
        <w:spacing w:after="60"/>
      </w:pPr>
      <w:r>
        <w:t>Do not tune hyperparameters against the final test set.</w:t>
      </w:r>
    </w:p>
    <w:p>
      <w:pPr>
        <w:pStyle w:val="ListBullet"/>
        <w:spacing w:after="60"/>
      </w:pPr>
      <w:r>
        <w:t>Keep customer IDs and post-churn fields out of model features.</w:t>
      </w:r>
    </w:p>
    <w:p>
      <w:pPr>
        <w:pStyle w:val="ListBullet"/>
        <w:spacing w:after="60"/>
      </w:pPr>
      <w:r>
        <w:t>Use a single Pipeline so preprocessing is repeated consistently during cross-validation and inference.</w:t>
      </w:r>
    </w:p>
    <w:p>
      <w:pPr>
        <w:pStyle w:val="Heading1"/>
        <w:spacing w:before="200" w:after="100"/>
      </w:pPr>
      <w:r>
        <w:t>9. Python Implementation Plan</w:t>
      </w:r>
    </w:p>
    <w:p>
      <w:pPr>
        <w:spacing w:after="120"/>
        <w:ind w:left="360" w:right="360"/>
      </w:pPr>
      <w:r>
        <w:rPr>
          <w:rFonts w:ascii="Courier New" w:hAnsi="Courier New"/>
          <w:color w:val="282828"/>
          <w:sz w:val="17"/>
        </w:rPr>
        <w:t>import pandas as pd</w:t>
        <w:br/>
        <w:t>from sklearn.model_selection import train_test_split, StratifiedKFold, GridSearchCV</w:t>
        <w:br/>
        <w:t>from sklearn.compose import ColumnTransformer</w:t>
        <w:br/>
        <w:t>from sklearn.pipeline import Pipeline</w:t>
        <w:br/>
        <w:t>from sklearn.preprocessing import OneHotEncoder, StandardScaler</w:t>
        <w:br/>
        <w:t>from sklearn.impute import SimpleImputer</w:t>
        <w:br/>
        <w:t>from sklearn.linear_model import LogisticRegression</w:t>
        <w:br/>
        <w:t>from sklearn.ensemble import RandomForestClassifier</w:t>
        <w:br/>
        <w:t>from sklearn.metrics import classification_report, roc_auc_score, confusion_matrix</w:t>
      </w:r>
    </w:p>
    <w:p>
      <w:r>
        <w:t>The implementation should use one reproducible Pipeline per model family. This minimizes differences between training and inference and makes the experiment traceable. Each run should record the dataset version, random seed, feature set, model parameters, cross-validation metrics, selected threshold, and final test metrics.</w:t>
      </w:r>
    </w:p>
    <w:p>
      <w:pPr>
        <w:pStyle w:val="Heading1"/>
        <w:spacing w:before="200" w:after="100"/>
      </w:pPr>
      <w:r>
        <w:t>10. Optional Deployment and Maintenance Plan</w:t>
      </w:r>
    </w:p>
    <w:p>
      <w:pPr>
        <w:pStyle w:val="Heading2"/>
        <w:spacing w:before="200" w:after="100"/>
      </w:pPr>
      <w:r>
        <w:t>10.1 Deployment Architecture</w:t>
      </w:r>
    </w:p>
    <w:p>
      <w:pPr>
        <w:pStyle w:val="ListBullet"/>
        <w:spacing w:after="60"/>
      </w:pPr>
      <w:r>
        <w:t>Serialize the trained pipeline with joblib or a model registry.</w:t>
      </w:r>
    </w:p>
    <w:p>
      <w:pPr>
        <w:pStyle w:val="ListBullet"/>
        <w:spacing w:after="60"/>
      </w:pPr>
      <w:r>
        <w:t>Expose a prediction endpoint using FastAPI or Flask.</w:t>
      </w:r>
    </w:p>
    <w:p>
      <w:pPr>
        <w:pStyle w:val="ListBullet"/>
        <w:spacing w:after="60"/>
      </w:pPr>
      <w:r>
        <w:t>Validate incoming features and return probability of churn plus recommended class.</w:t>
      </w:r>
    </w:p>
    <w:p>
      <w:pPr>
        <w:pStyle w:val="ListBullet"/>
        <w:spacing w:after="60"/>
      </w:pPr>
      <w:r>
        <w:t>Log prediction metadata without storing unnecessary personal information.</w:t>
      </w:r>
    </w:p>
    <w:p>
      <w:pPr>
        <w:pStyle w:val="ListBullet"/>
        <w:spacing w:after="60"/>
      </w:pPr>
      <w:r>
        <w:t>Monitor data drift, prediction distribution, latency, and eventual model performance.</w:t>
      </w:r>
    </w:p>
    <w:p>
      <w:pPr>
        <w:pStyle w:val="Heading2"/>
        <w:spacing w:before="200" w:after="100"/>
      </w:pPr>
      <w:r>
        <w:t>10.2 Retraining Trigger</w:t>
      </w:r>
    </w:p>
    <w:p>
      <w:r>
        <w:t>A monthly review is proposed initially. Retraining should be triggered earlier when feature distributions drift materially, when recall falls below an agreed threshold, or when confirmed churn outcomes show a sustained performance decline. A simple example policy is: retrain when validation recall falls below 0.75 for two consecutive monitoring windows.</w:t>
      </w:r>
    </w:p>
    <w:p>
      <w:pPr>
        <w:pStyle w:val="Heading1"/>
        <w:spacing w:before="200" w:after="100"/>
      </w:pPr>
      <w:r>
        <w:t>11. Risks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1F4E78"/>
          </w:tcPr>
          <w:p>
            <w:r/>
            <w:r>
              <w:rPr>
                <w:b/>
                <w:color w:val="FFFFFF"/>
                <w:sz w:val="18"/>
              </w:rPr>
              <w:t>Risk</w:t>
            </w:r>
          </w:p>
        </w:tc>
        <w:tc>
          <w:tcPr>
            <w:tcW w:type="dxa" w:w="2736"/>
            <w:vAlign w:val="center"/>
            <w:shd w:fill="1F4E78"/>
          </w:tcPr>
          <w:p>
            <w:r/>
            <w:r>
              <w:rPr>
                <w:b/>
                <w:color w:val="FFFFFF"/>
                <w:sz w:val="18"/>
              </w:rPr>
              <w:t>Impact</w:t>
            </w:r>
          </w:p>
        </w:tc>
        <w:tc>
          <w:tcPr>
            <w:tcW w:type="dxa" w:w="4320"/>
            <w:vAlign w:val="center"/>
            <w:shd w:fill="1F4E78"/>
          </w:tcPr>
          <w:p>
            <w:r/>
            <w:r>
              <w:rPr>
                <w:b/>
                <w:color w:val="FFFFFF"/>
                <w:sz w:val="18"/>
              </w:rPr>
              <w:t>Mitigation</w:t>
            </w:r>
          </w:p>
        </w:tc>
      </w:tr>
      <w:tr>
        <w:tc>
          <w:tcPr>
            <w:tcW w:type="dxa" w:w="2232"/>
            <w:vAlign w:val="center"/>
          </w:tcPr>
          <w:p>
            <w:r/>
            <w:r>
              <w:rPr>
                <w:b w:val="0"/>
                <w:color w:val="000000"/>
                <w:sz w:val="16"/>
              </w:rPr>
              <w:t>Class imbalance</w:t>
            </w:r>
          </w:p>
        </w:tc>
        <w:tc>
          <w:tcPr>
            <w:tcW w:type="dxa" w:w="2736"/>
            <w:vAlign w:val="center"/>
          </w:tcPr>
          <w:p>
            <w:r/>
            <w:r>
              <w:rPr>
                <w:b w:val="0"/>
                <w:color w:val="000000"/>
                <w:sz w:val="16"/>
              </w:rPr>
              <w:t>Model favors majority class</w:t>
            </w:r>
          </w:p>
        </w:tc>
        <w:tc>
          <w:tcPr>
            <w:tcW w:type="dxa" w:w="4320"/>
            <w:vAlign w:val="center"/>
          </w:tcPr>
          <w:p>
            <w:r/>
            <w:r>
              <w:rPr>
                <w:b w:val="0"/>
                <w:color w:val="000000"/>
                <w:sz w:val="16"/>
              </w:rPr>
              <w:t>Stratified split, class weights, PR/ROC analysis, threshold tuning</w:t>
            </w:r>
          </w:p>
        </w:tc>
      </w:tr>
      <w:tr>
        <w:tc>
          <w:tcPr>
            <w:tcW w:type="dxa" w:w="2232"/>
            <w:vAlign w:val="center"/>
          </w:tcPr>
          <w:p>
            <w:r/>
            <w:r>
              <w:rPr>
                <w:b w:val="0"/>
                <w:color w:val="000000"/>
                <w:sz w:val="16"/>
              </w:rPr>
              <w:t>Data leakage</w:t>
            </w:r>
          </w:p>
        </w:tc>
        <w:tc>
          <w:tcPr>
            <w:tcW w:type="dxa" w:w="2736"/>
            <w:vAlign w:val="center"/>
          </w:tcPr>
          <w:p>
            <w:r/>
            <w:r>
              <w:rPr>
                <w:b w:val="0"/>
                <w:color w:val="000000"/>
                <w:sz w:val="16"/>
              </w:rPr>
              <w:t>Inflated test performance</w:t>
            </w:r>
          </w:p>
        </w:tc>
        <w:tc>
          <w:tcPr>
            <w:tcW w:type="dxa" w:w="4320"/>
            <w:vAlign w:val="center"/>
          </w:tcPr>
          <w:p>
            <w:r/>
            <w:r>
              <w:rPr>
                <w:b w:val="0"/>
                <w:color w:val="000000"/>
                <w:sz w:val="16"/>
              </w:rPr>
              <w:t>Pipeline, time-aware feature review, untouched test set</w:t>
            </w:r>
          </w:p>
        </w:tc>
      </w:tr>
      <w:tr>
        <w:tc>
          <w:tcPr>
            <w:tcW w:type="dxa" w:w="2232"/>
            <w:vAlign w:val="center"/>
          </w:tcPr>
          <w:p>
            <w:r/>
            <w:r>
              <w:rPr>
                <w:b w:val="0"/>
                <w:color w:val="000000"/>
                <w:sz w:val="16"/>
              </w:rPr>
              <w:t>Overfitting</w:t>
            </w:r>
          </w:p>
        </w:tc>
        <w:tc>
          <w:tcPr>
            <w:tcW w:type="dxa" w:w="2736"/>
            <w:vAlign w:val="center"/>
          </w:tcPr>
          <w:p>
            <w:r/>
            <w:r>
              <w:rPr>
                <w:b w:val="0"/>
                <w:color w:val="000000"/>
                <w:sz w:val="16"/>
              </w:rPr>
              <w:t>Poor generalization</w:t>
            </w:r>
          </w:p>
        </w:tc>
        <w:tc>
          <w:tcPr>
            <w:tcW w:type="dxa" w:w="4320"/>
            <w:vAlign w:val="center"/>
          </w:tcPr>
          <w:p>
            <w:r/>
            <w:r>
              <w:rPr>
                <w:b w:val="0"/>
                <w:color w:val="000000"/>
                <w:sz w:val="16"/>
              </w:rPr>
              <w:t>Cross-validation, regularization, depth/leaf constraints</w:t>
            </w:r>
          </w:p>
        </w:tc>
      </w:tr>
      <w:tr>
        <w:tc>
          <w:tcPr>
            <w:tcW w:type="dxa" w:w="2232"/>
            <w:vAlign w:val="center"/>
          </w:tcPr>
          <w:p>
            <w:r/>
            <w:r>
              <w:rPr>
                <w:b w:val="0"/>
                <w:color w:val="000000"/>
                <w:sz w:val="16"/>
              </w:rPr>
              <w:t>Drift</w:t>
            </w:r>
          </w:p>
        </w:tc>
        <w:tc>
          <w:tcPr>
            <w:tcW w:type="dxa" w:w="2736"/>
            <w:vAlign w:val="center"/>
          </w:tcPr>
          <w:p>
            <w:r/>
            <w:r>
              <w:rPr>
                <w:b w:val="0"/>
                <w:color w:val="000000"/>
                <w:sz w:val="16"/>
              </w:rPr>
              <w:t>Performance degradation after deployment</w:t>
            </w:r>
          </w:p>
        </w:tc>
        <w:tc>
          <w:tcPr>
            <w:tcW w:type="dxa" w:w="4320"/>
            <w:vAlign w:val="center"/>
          </w:tcPr>
          <w:p>
            <w:r/>
            <w:r>
              <w:rPr>
                <w:b w:val="0"/>
                <w:color w:val="000000"/>
                <w:sz w:val="16"/>
              </w:rPr>
              <w:t>Monitoring and scheduled retraining</w:t>
            </w:r>
          </w:p>
        </w:tc>
      </w:tr>
      <w:tr>
        <w:tc>
          <w:tcPr>
            <w:tcW w:type="dxa" w:w="2232"/>
            <w:vAlign w:val="center"/>
          </w:tcPr>
          <w:p>
            <w:r/>
            <w:r>
              <w:rPr>
                <w:b w:val="0"/>
                <w:color w:val="000000"/>
                <w:sz w:val="16"/>
              </w:rPr>
              <w:t>Interpretability concerns</w:t>
            </w:r>
          </w:p>
        </w:tc>
        <w:tc>
          <w:tcPr>
            <w:tcW w:type="dxa" w:w="2736"/>
            <w:vAlign w:val="center"/>
          </w:tcPr>
          <w:p>
            <w:r/>
            <w:r>
              <w:rPr>
                <w:b w:val="0"/>
                <w:color w:val="000000"/>
                <w:sz w:val="16"/>
              </w:rPr>
              <w:t>Low stakeholder trust</w:t>
            </w:r>
          </w:p>
        </w:tc>
        <w:tc>
          <w:tcPr>
            <w:tcW w:type="dxa" w:w="4320"/>
            <w:vAlign w:val="center"/>
          </w:tcPr>
          <w:p>
            <w:r/>
            <w:r>
              <w:rPr>
                <w:b w:val="0"/>
                <w:color w:val="000000"/>
                <w:sz w:val="16"/>
              </w:rPr>
              <w:t>Logistic coefficients, feature importance, explanation report</w:t>
            </w:r>
          </w:p>
        </w:tc>
      </w:tr>
    </w:tbl>
    <w:p>
      <w:r>
        <w:br w:type="page"/>
      </w:r>
    </w:p>
    <w:p>
      <w:pPr>
        <w:pStyle w:val="Heading1"/>
        <w:spacing w:before="200" w:after="100"/>
      </w:pPr>
      <w:r>
        <w:t>12. Planned 32-Hour Work Allocation</w:t>
      </w:r>
    </w:p>
    <w:p>
      <w:r>
        <w:drawing>
          <wp:inline xmlns:a="http://schemas.openxmlformats.org/drawingml/2006/main" xmlns:pic="http://schemas.openxmlformats.org/drawingml/2006/picture">
            <wp:extent cx="6309360" cy="2472960"/>
            <wp:docPr id="3" name="Picture 3"/>
            <wp:cNvGraphicFramePr>
              <a:graphicFrameLocks noChangeAspect="1"/>
            </wp:cNvGraphicFramePr>
            <a:graphic>
              <a:graphicData uri="http://schemas.openxmlformats.org/drawingml/2006/picture">
                <pic:pic>
                  <pic:nvPicPr>
                    <pic:cNvPr id="0" name="week3_timeline.png"/>
                    <pic:cNvPicPr/>
                  </pic:nvPicPr>
                  <pic:blipFill>
                    <a:blip r:embed="rId13"/>
                    <a:stretch>
                      <a:fillRect/>
                    </a:stretch>
                  </pic:blipFill>
                  <pic:spPr>
                    <a:xfrm>
                      <a:off x="0" y="0"/>
                      <a:ext cx="6309360" cy="2472960"/>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8"/>
          </w:tcPr>
          <w:p>
            <w:r/>
            <w:r>
              <w:rPr>
                <w:b/>
                <w:color w:val="FFFFFF"/>
                <w:sz w:val="18"/>
              </w:rPr>
              <w:t>Phase</w:t>
            </w:r>
          </w:p>
        </w:tc>
        <w:tc>
          <w:tcPr>
            <w:tcW w:type="dxa" w:w="1296"/>
            <w:vAlign w:val="center"/>
            <w:shd w:fill="1F4E78"/>
          </w:tcPr>
          <w:p>
            <w:r/>
            <w:r>
              <w:rPr>
                <w:b/>
                <w:color w:val="FFFFFF"/>
                <w:sz w:val="18"/>
              </w:rPr>
              <w:t>Hours</w:t>
            </w:r>
          </w:p>
        </w:tc>
        <w:tc>
          <w:tcPr>
            <w:tcW w:type="dxa" w:w="5256"/>
            <w:vAlign w:val="center"/>
            <w:shd w:fill="1F4E78"/>
          </w:tcPr>
          <w:p>
            <w:r/>
            <w:r>
              <w:rPr>
                <w:b/>
                <w:color w:val="FFFFFF"/>
                <w:sz w:val="18"/>
              </w:rPr>
              <w:t>Main output</w:t>
            </w:r>
          </w:p>
        </w:tc>
      </w:tr>
      <w:tr>
        <w:tc>
          <w:tcPr>
            <w:tcW w:type="dxa" w:w="2880"/>
            <w:vAlign w:val="center"/>
          </w:tcPr>
          <w:p>
            <w:r/>
            <w:r>
              <w:rPr>
                <w:b w:val="0"/>
                <w:color w:val="000000"/>
                <w:sz w:val="16"/>
              </w:rPr>
              <w:t>Problem definition &amp; baseline</w:t>
            </w:r>
          </w:p>
        </w:tc>
        <w:tc>
          <w:tcPr>
            <w:tcW w:type="dxa" w:w="1296"/>
            <w:vAlign w:val="center"/>
          </w:tcPr>
          <w:p>
            <w:r/>
            <w:r>
              <w:rPr>
                <w:b w:val="0"/>
                <w:color w:val="000000"/>
                <w:sz w:val="16"/>
              </w:rPr>
              <w:t>3</w:t>
            </w:r>
          </w:p>
        </w:tc>
        <w:tc>
          <w:tcPr>
            <w:tcW w:type="dxa" w:w="5256"/>
            <w:vAlign w:val="center"/>
          </w:tcPr>
          <w:p>
            <w:r/>
            <w:r>
              <w:rPr>
                <w:b w:val="0"/>
                <w:color w:val="000000"/>
                <w:sz w:val="16"/>
              </w:rPr>
              <w:t>Target definition, success criteria, baseline metric</w:t>
            </w:r>
          </w:p>
        </w:tc>
      </w:tr>
      <w:tr>
        <w:tc>
          <w:tcPr>
            <w:tcW w:type="dxa" w:w="2880"/>
            <w:vAlign w:val="center"/>
          </w:tcPr>
          <w:p>
            <w:r/>
            <w:r>
              <w:rPr>
                <w:b w:val="0"/>
                <w:color w:val="000000"/>
                <w:sz w:val="16"/>
              </w:rPr>
              <w:t>Preprocessing design</w:t>
            </w:r>
          </w:p>
        </w:tc>
        <w:tc>
          <w:tcPr>
            <w:tcW w:type="dxa" w:w="1296"/>
            <w:vAlign w:val="center"/>
          </w:tcPr>
          <w:p>
            <w:r/>
            <w:r>
              <w:rPr>
                <w:b w:val="0"/>
                <w:color w:val="000000"/>
                <w:sz w:val="16"/>
              </w:rPr>
              <w:t>6</w:t>
            </w:r>
          </w:p>
        </w:tc>
        <w:tc>
          <w:tcPr>
            <w:tcW w:type="dxa" w:w="5256"/>
            <w:vAlign w:val="center"/>
          </w:tcPr>
          <w:p>
            <w:r/>
            <w:r>
              <w:rPr>
                <w:b w:val="0"/>
                <w:color w:val="000000"/>
                <w:sz w:val="16"/>
              </w:rPr>
              <w:t>Cleaning, encoding, scaling, leakage controls</w:t>
            </w:r>
          </w:p>
        </w:tc>
      </w:tr>
      <w:tr>
        <w:tc>
          <w:tcPr>
            <w:tcW w:type="dxa" w:w="2880"/>
            <w:vAlign w:val="center"/>
          </w:tcPr>
          <w:p>
            <w:r/>
            <w:r>
              <w:rPr>
                <w:b w:val="0"/>
                <w:color w:val="000000"/>
                <w:sz w:val="16"/>
              </w:rPr>
              <w:t>Model design &amp; training plan</w:t>
            </w:r>
          </w:p>
        </w:tc>
        <w:tc>
          <w:tcPr>
            <w:tcW w:type="dxa" w:w="1296"/>
            <w:vAlign w:val="center"/>
          </w:tcPr>
          <w:p>
            <w:r/>
            <w:r>
              <w:rPr>
                <w:b w:val="0"/>
                <w:color w:val="000000"/>
                <w:sz w:val="16"/>
              </w:rPr>
              <w:t>8</w:t>
            </w:r>
          </w:p>
        </w:tc>
        <w:tc>
          <w:tcPr>
            <w:tcW w:type="dxa" w:w="5256"/>
            <w:vAlign w:val="center"/>
          </w:tcPr>
          <w:p>
            <w:r/>
            <w:r>
              <w:rPr>
                <w:b w:val="0"/>
                <w:color w:val="000000"/>
                <w:sz w:val="16"/>
              </w:rPr>
              <w:t>Candidate models and training workflow</w:t>
            </w:r>
          </w:p>
        </w:tc>
      </w:tr>
      <w:tr>
        <w:tc>
          <w:tcPr>
            <w:tcW w:type="dxa" w:w="2880"/>
            <w:vAlign w:val="center"/>
          </w:tcPr>
          <w:p>
            <w:r/>
            <w:r>
              <w:rPr>
                <w:b w:val="0"/>
                <w:color w:val="000000"/>
                <w:sz w:val="16"/>
              </w:rPr>
              <w:t>Tuning &amp; cross-validation</w:t>
            </w:r>
          </w:p>
        </w:tc>
        <w:tc>
          <w:tcPr>
            <w:tcW w:type="dxa" w:w="1296"/>
            <w:vAlign w:val="center"/>
          </w:tcPr>
          <w:p>
            <w:r/>
            <w:r>
              <w:rPr>
                <w:b w:val="0"/>
                <w:color w:val="000000"/>
                <w:sz w:val="16"/>
              </w:rPr>
              <w:t>6</w:t>
            </w:r>
          </w:p>
        </w:tc>
        <w:tc>
          <w:tcPr>
            <w:tcW w:type="dxa" w:w="5256"/>
            <w:vAlign w:val="center"/>
          </w:tcPr>
          <w:p>
            <w:r/>
            <w:r>
              <w:rPr>
                <w:b w:val="0"/>
                <w:color w:val="000000"/>
                <w:sz w:val="16"/>
              </w:rPr>
              <w:t>Search space, CV design, selection rule</w:t>
            </w:r>
          </w:p>
        </w:tc>
      </w:tr>
      <w:tr>
        <w:tc>
          <w:tcPr>
            <w:tcW w:type="dxa" w:w="2880"/>
            <w:vAlign w:val="center"/>
          </w:tcPr>
          <w:p>
            <w:r/>
            <w:r>
              <w:rPr>
                <w:b w:val="0"/>
                <w:color w:val="000000"/>
                <w:sz w:val="16"/>
              </w:rPr>
              <w:t>Evaluation &amp; threshold analysis</w:t>
            </w:r>
          </w:p>
        </w:tc>
        <w:tc>
          <w:tcPr>
            <w:tcW w:type="dxa" w:w="1296"/>
            <w:vAlign w:val="center"/>
          </w:tcPr>
          <w:p>
            <w:r/>
            <w:r>
              <w:rPr>
                <w:b w:val="0"/>
                <w:color w:val="000000"/>
                <w:sz w:val="16"/>
              </w:rPr>
              <w:t>5</w:t>
            </w:r>
          </w:p>
        </w:tc>
        <w:tc>
          <w:tcPr>
            <w:tcW w:type="dxa" w:w="5256"/>
            <w:vAlign w:val="center"/>
          </w:tcPr>
          <w:p>
            <w:r/>
            <w:r>
              <w:rPr>
                <w:b w:val="0"/>
                <w:color w:val="000000"/>
                <w:sz w:val="16"/>
              </w:rPr>
              <w:t>Metrics, confusion matrix, threshold comparison</w:t>
            </w:r>
          </w:p>
        </w:tc>
      </w:tr>
      <w:tr>
        <w:tc>
          <w:tcPr>
            <w:tcW w:type="dxa" w:w="2880"/>
            <w:vAlign w:val="center"/>
          </w:tcPr>
          <w:p>
            <w:r/>
            <w:r>
              <w:rPr>
                <w:b w:val="0"/>
                <w:color w:val="000000"/>
                <w:sz w:val="16"/>
              </w:rPr>
              <w:t>Deployment &amp; monitoring plan</w:t>
            </w:r>
          </w:p>
        </w:tc>
        <w:tc>
          <w:tcPr>
            <w:tcW w:type="dxa" w:w="1296"/>
            <w:vAlign w:val="center"/>
          </w:tcPr>
          <w:p>
            <w:r/>
            <w:r>
              <w:rPr>
                <w:b w:val="0"/>
                <w:color w:val="000000"/>
                <w:sz w:val="16"/>
              </w:rPr>
              <w:t>4</w:t>
            </w:r>
          </w:p>
        </w:tc>
        <w:tc>
          <w:tcPr>
            <w:tcW w:type="dxa" w:w="5256"/>
            <w:vAlign w:val="center"/>
          </w:tcPr>
          <w:p>
            <w:r/>
            <w:r>
              <w:rPr>
                <w:b w:val="0"/>
                <w:color w:val="000000"/>
                <w:sz w:val="16"/>
              </w:rPr>
              <w:t>Serving concept, drift checks, retraining policy</w:t>
            </w:r>
          </w:p>
        </w:tc>
      </w:tr>
    </w:tbl>
    <w:p/>
    <w:p>
      <w:pPr>
        <w:pStyle w:val="Heading1"/>
        <w:spacing w:before="200" w:after="100"/>
      </w:pPr>
      <w:r>
        <w:t>13. Expected Outcomes</w:t>
      </w:r>
    </w:p>
    <w:p>
      <w:pPr>
        <w:pStyle w:val="ListBullet"/>
        <w:spacing w:after="60"/>
      </w:pPr>
      <w:r>
        <w:t>A reproducible machine learning workflow that can be implemented when a real dataset becomes available.</w:t>
      </w:r>
    </w:p>
    <w:p>
      <w:pPr>
        <w:pStyle w:val="ListBullet"/>
        <w:spacing w:after="60"/>
      </w:pPr>
      <w:r>
        <w:t>A defensible model selection process rather than choosing a model by intuition alone.</w:t>
      </w:r>
    </w:p>
    <w:p>
      <w:pPr>
        <w:pStyle w:val="ListBullet"/>
        <w:spacing w:after="60"/>
      </w:pPr>
      <w:r>
        <w:t>Clear understanding of the trade-off between false positives and false negatives.</w:t>
      </w:r>
    </w:p>
    <w:p>
      <w:pPr>
        <w:pStyle w:val="ListBullet"/>
        <w:spacing w:after="60"/>
      </w:pPr>
      <w:r>
        <w:t>A validation framework that reduces overfitting and gives a more reliable estimate of generalization.</w:t>
      </w:r>
    </w:p>
    <w:p>
      <w:pPr>
        <w:pStyle w:val="ListBullet"/>
        <w:spacing w:after="60"/>
      </w:pPr>
      <w:r>
        <w:t>A deployment-ready conceptual architecture with monitoring and retraining controls.</w:t>
      </w:r>
    </w:p>
    <w:p>
      <w:pPr>
        <w:pStyle w:val="Heading1"/>
        <w:spacing w:before="200" w:after="100"/>
      </w:pPr>
      <w:r>
        <w:t>14. Conclusion</w:t>
      </w:r>
    </w:p>
    <w:p>
      <w:r>
        <w:t>This Week 3 plan provides a structured roadmap for developing a Python-based customer churn prediction model from problem definition through evaluation and future deployment. It emphasizes reproducible preprocessing, multiple model candidates, stratified validation, numerical evaluation, threshold selection, and leakage prevention. The worked examples make the plan concrete while remaining hypothetical, and the 32-hour schedule fits the requested 30–35 hour effort window. Once a real dataset is supplied, the same framework can be translated into a notebook or Python project with minimal structural change.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Python-Based Machine Learning Model Development and Evaluation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YUVA INTERN | WEEK 3 | MACHINE LEARNING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