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Exploratory Data Analysis (EDA)</w:t>
        <w:br/>
        <w:t>and Visualization Framework Design</w:t>
      </w:r>
    </w:p>
    <w:p>
      <w:pPr>
        <w:jc w:val="center"/>
      </w:pPr>
      <w:r>
        <w:rPr>
          <w:b/>
          <w:color w:val="505050"/>
          <w:sz w:val="26"/>
        </w:rPr>
        <w:t>Hypothetical Python Data Science Project | Customer Churn Analytics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r/>
            <w:r>
              <w:rPr>
                <w:b/>
                <w:color w:val="FFFFFF"/>
                <w:sz w:val="19"/>
              </w:rPr>
              <w:t>Item</w:t>
            </w:r>
          </w:p>
        </w:tc>
        <w:tc>
          <w:tcPr>
            <w:tcW w:type="dxa" w:w="8208"/>
            <w:vAlign w:val="center"/>
            <w:shd w:fill="1F4E78"/>
          </w:tcPr>
          <w:p>
            <w:r/>
            <w:r>
              <w:rPr>
                <w:b/>
                <w:color w:val="FFFFFF"/>
                <w:sz w:val="19"/>
              </w:rPr>
              <w:t>Project Plan</w:t>
            </w:r>
          </w:p>
        </w:tc>
      </w:tr>
      <w:tr>
        <w:tc>
          <w:tcPr>
            <w:tcW w:type="dxa" w:w="2160"/>
            <w:vAlign w:val="center"/>
            <w:shd w:fill="EAF2F8"/>
          </w:tcPr>
          <w:p>
            <w:r/>
            <w:r>
              <w:rPr>
                <w:b w:val="0"/>
                <w:color w:val="1F1F1F"/>
                <w:sz w:val="18"/>
              </w:rPr>
              <w:t>Purpose</w:t>
            </w:r>
          </w:p>
        </w:tc>
        <w:tc>
          <w:tcPr>
            <w:tcW w:type="dxa" w:w="8208"/>
            <w:vAlign w:val="center"/>
            <w:shd w:fill="EAF2F8"/>
          </w:tcPr>
          <w:p>
            <w:r/>
            <w:r>
              <w:rPr>
                <w:b w:val="0"/>
                <w:color w:val="1F1F1F"/>
                <w:sz w:val="18"/>
              </w:rPr>
              <w:t>Design a reusable EDA and visualization framework without a supplied dataset.</w:t>
            </w:r>
          </w:p>
        </w:tc>
      </w:tr>
      <w:tr>
        <w:tc>
          <w:tcPr>
            <w:tcW w:type="dxa" w:w="2160"/>
            <w:vAlign w:val="center"/>
          </w:tcPr>
          <w:p>
            <w:r/>
            <w:r>
              <w:rPr>
                <w:b w:val="0"/>
                <w:color w:val="1F1F1F"/>
                <w:sz w:val="18"/>
              </w:rPr>
              <w:t>Project Context</w:t>
            </w:r>
          </w:p>
        </w:tc>
        <w:tc>
          <w:tcPr>
            <w:tcW w:type="dxa" w:w="8208"/>
            <w:vAlign w:val="center"/>
          </w:tcPr>
          <w:p>
            <w:r/>
            <w:r>
              <w:rPr>
                <w:b w:val="0"/>
                <w:color w:val="1F1F1F"/>
                <w:sz w:val="18"/>
              </w:rPr>
              <w:t>Customer churn analysis for a subscription-based service; all example values are illustrative.</w:t>
            </w:r>
          </w:p>
        </w:tc>
      </w:tr>
      <w:tr>
        <w:tc>
          <w:tcPr>
            <w:tcW w:type="dxa" w:w="2160"/>
            <w:vAlign w:val="center"/>
            <w:shd w:fill="EAF2F8"/>
          </w:tcPr>
          <w:p>
            <w:r/>
            <w:r>
              <w:rPr>
                <w:b w:val="0"/>
                <w:color w:val="1F1F1F"/>
                <w:sz w:val="18"/>
              </w:rPr>
              <w:t>Primary Tools</w:t>
            </w:r>
          </w:p>
        </w:tc>
        <w:tc>
          <w:tcPr>
            <w:tcW w:type="dxa" w:w="8208"/>
            <w:vAlign w:val="center"/>
            <w:shd w:fill="EAF2F8"/>
          </w:tcPr>
          <w:p>
            <w:r/>
            <w:r>
              <w:rPr>
                <w:b w:val="0"/>
                <w:color w:val="1F1F1F"/>
                <w:sz w:val="18"/>
              </w:rPr>
              <w:t>Python, pandas, NumPy, Matplotlib, Seaborn, Plotly, Jupyter Notebook.</w:t>
            </w:r>
          </w:p>
        </w:tc>
      </w:tr>
      <w:tr>
        <w:tc>
          <w:tcPr>
            <w:tcW w:type="dxa" w:w="2160"/>
            <w:vAlign w:val="center"/>
          </w:tcPr>
          <w:p>
            <w:r/>
            <w:r>
              <w:rPr>
                <w:b w:val="0"/>
                <w:color w:val="1F1F1F"/>
                <w:sz w:val="18"/>
              </w:rPr>
              <w:t>Planned Effort</w:t>
            </w:r>
          </w:p>
        </w:tc>
        <w:tc>
          <w:tcPr>
            <w:tcW w:type="dxa" w:w="8208"/>
            <w:vAlign w:val="center"/>
          </w:tcPr>
          <w:p>
            <w:r/>
            <w:r>
              <w:rPr>
                <w:b w:val="0"/>
                <w:color w:val="1F1F1F"/>
                <w:sz w:val="18"/>
              </w:rPr>
              <w:t>32 hours (within the requested 30–35 hour range).</w:t>
            </w:r>
          </w:p>
        </w:tc>
      </w:tr>
      <w:tr>
        <w:tc>
          <w:tcPr>
            <w:tcW w:type="dxa" w:w="2160"/>
            <w:vAlign w:val="center"/>
            <w:shd w:fill="EAF2F8"/>
          </w:tcPr>
          <w:p>
            <w:r/>
            <w:r>
              <w:rPr>
                <w:b w:val="0"/>
                <w:color w:val="1F1F1F"/>
                <w:sz w:val="18"/>
              </w:rPr>
              <w:t>Main Outputs</w:t>
            </w:r>
          </w:p>
        </w:tc>
        <w:tc>
          <w:tcPr>
            <w:tcW w:type="dxa" w:w="8208"/>
            <w:vAlign w:val="center"/>
            <w:shd w:fill="EAF2F8"/>
          </w:tcPr>
          <w:p>
            <w:r/>
            <w:r>
              <w:rPr>
                <w:b w:val="0"/>
                <w:color w:val="1F1F1F"/>
                <w:sz w:val="18"/>
              </w:rPr>
              <w:t>EDA checklist, visualization plan, quality rules, reporting structure, and reproducible notebook strategy.</w:t>
            </w:r>
          </w:p>
        </w:tc>
      </w:tr>
    </w:tbl>
    <w:p/>
    <w:p>
      <w:pPr>
        <w:pStyle w:val="Heading1"/>
      </w:pPr>
      <w:r>
        <w:t>1. Introduction to Exploratory Data Analysis</w:t>
      </w:r>
    </w:p>
    <w:p>
      <w:r>
        <w:rPr>
          <w:b/>
        </w:rPr>
        <w:t xml:space="preserve">Exploratory Data Analysis (EDA) </w:t>
      </w:r>
      <w:r>
        <w:t>is the structured process of inspecting, cleaning, summarizing, and visualizing data before formal modeling. Its purpose is to understand the dataset’s shape, data types, distributions, quality issues, relationships, and unusual observations. EDA is essential because a predictive model can be misleading when the underlying data contains missing values, duplicates, inconsistent categories, extreme outliers, leakage, or measurement errors.</w:t>
      </w:r>
    </w:p>
    <w:p>
      <w:r>
        <w:t>For the hypothetical customer churn project, EDA would be used to understand which customer characteristics are associated with churn. Example variables might include tenure, monthly charges, contract type, payment method, support tickets, and a binary churn flag. The examples in this report use small illustrative numbers only; they are not measured results from a real dataset.</w:t>
      </w:r>
    </w:p>
    <w:p>
      <w:pPr>
        <w:pStyle w:val="Heading1"/>
      </w:pPr>
      <w:r>
        <w:t>2. Potential Dataset and Data Types</w:t>
      </w:r>
    </w:p>
    <w:p>
      <w:r>
        <w:t>A generic churn dataset might contain approximately 10,000 customer records and 18–25 variables. The exact size is hypothetical because no dataset is supplied.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1F4E78"/>
          </w:tcPr>
          <w:p>
            <w:r/>
            <w:r>
              <w:rPr>
                <w:b/>
                <w:color w:val="FFFFFF"/>
                <w:sz w:val="19"/>
              </w:rPr>
              <w:t>Variable</w:t>
            </w:r>
          </w:p>
        </w:tc>
        <w:tc>
          <w:tcPr>
            <w:tcW w:type="dxa" w:w="1728"/>
            <w:vAlign w:val="center"/>
            <w:shd w:fill="1F4E78"/>
          </w:tcPr>
          <w:p>
            <w:r/>
            <w:r>
              <w:rPr>
                <w:b/>
                <w:color w:val="FFFFFF"/>
                <w:sz w:val="19"/>
              </w:rPr>
              <w:t>Example Type</w:t>
            </w:r>
          </w:p>
        </w:tc>
        <w:tc>
          <w:tcPr>
            <w:tcW w:type="dxa" w:w="2880"/>
            <w:vAlign w:val="center"/>
            <w:shd w:fill="1F4E78"/>
          </w:tcPr>
          <w:p>
            <w:r/>
            <w:r>
              <w:rPr>
                <w:b/>
                <w:color w:val="FFFFFF"/>
                <w:sz w:val="19"/>
              </w:rPr>
              <w:t>Example Values</w:t>
            </w:r>
          </w:p>
        </w:tc>
        <w:tc>
          <w:tcPr>
            <w:tcW w:type="dxa" w:w="3672"/>
            <w:vAlign w:val="center"/>
            <w:shd w:fill="1F4E78"/>
          </w:tcPr>
          <w:p>
            <w:r/>
            <w:r>
              <w:rPr>
                <w:b/>
                <w:color w:val="FFFFFF"/>
                <w:sz w:val="19"/>
              </w:rPr>
              <w:t>EDA Focus</w:t>
            </w:r>
          </w:p>
        </w:tc>
      </w:tr>
      <w:tr>
        <w:tc>
          <w:tcPr>
            <w:tcW w:type="dxa" w:w="2088"/>
            <w:vAlign w:val="center"/>
            <w:shd w:fill="EAF2F8"/>
          </w:tcPr>
          <w:p>
            <w:r/>
            <w:r>
              <w:rPr>
                <w:b w:val="0"/>
                <w:color w:val="1F1F1F"/>
                <w:sz w:val="18"/>
              </w:rPr>
              <w:t>customer_id</w:t>
            </w:r>
          </w:p>
        </w:tc>
        <w:tc>
          <w:tcPr>
            <w:tcW w:type="dxa" w:w="1728"/>
            <w:vAlign w:val="center"/>
            <w:shd w:fill="EAF2F8"/>
          </w:tcPr>
          <w:p>
            <w:r/>
            <w:r>
              <w:rPr>
                <w:b w:val="0"/>
                <w:color w:val="1F1F1F"/>
                <w:sz w:val="18"/>
              </w:rPr>
              <w:t>Identifier</w:t>
            </w:r>
          </w:p>
        </w:tc>
        <w:tc>
          <w:tcPr>
            <w:tcW w:type="dxa" w:w="2880"/>
            <w:vAlign w:val="center"/>
            <w:shd w:fill="EAF2F8"/>
          </w:tcPr>
          <w:p>
            <w:r/>
            <w:r>
              <w:rPr>
                <w:b w:val="0"/>
                <w:color w:val="1F1F1F"/>
                <w:sz w:val="18"/>
              </w:rPr>
              <w:t>C001245</w:t>
            </w:r>
          </w:p>
        </w:tc>
        <w:tc>
          <w:tcPr>
            <w:tcW w:type="dxa" w:w="3672"/>
            <w:vAlign w:val="center"/>
            <w:shd w:fill="EAF2F8"/>
          </w:tcPr>
          <w:p>
            <w:r/>
            <w:r>
              <w:rPr>
                <w:b w:val="0"/>
                <w:color w:val="1F1F1F"/>
                <w:sz w:val="18"/>
              </w:rPr>
              <w:t>Uniqueness; duplicates</w:t>
            </w:r>
          </w:p>
        </w:tc>
      </w:tr>
      <w:tr>
        <w:tc>
          <w:tcPr>
            <w:tcW w:type="dxa" w:w="2088"/>
            <w:vAlign w:val="center"/>
          </w:tcPr>
          <w:p>
            <w:r/>
            <w:r>
              <w:rPr>
                <w:b w:val="0"/>
                <w:color w:val="1F1F1F"/>
                <w:sz w:val="18"/>
              </w:rPr>
              <w:t>tenure_months</w:t>
            </w:r>
          </w:p>
        </w:tc>
        <w:tc>
          <w:tcPr>
            <w:tcW w:type="dxa" w:w="1728"/>
            <w:vAlign w:val="center"/>
          </w:tcPr>
          <w:p>
            <w:r/>
            <w:r>
              <w:rPr>
                <w:b w:val="0"/>
                <w:color w:val="1F1F1F"/>
                <w:sz w:val="18"/>
              </w:rPr>
              <w:t>Integer</w:t>
            </w:r>
          </w:p>
        </w:tc>
        <w:tc>
          <w:tcPr>
            <w:tcW w:type="dxa" w:w="2880"/>
            <w:vAlign w:val="center"/>
          </w:tcPr>
          <w:p>
            <w:r/>
            <w:r>
              <w:rPr>
                <w:b w:val="0"/>
                <w:color w:val="1F1F1F"/>
                <w:sz w:val="18"/>
              </w:rPr>
              <w:t>3, 18, 42</w:t>
            </w:r>
          </w:p>
        </w:tc>
        <w:tc>
          <w:tcPr>
            <w:tcW w:type="dxa" w:w="3672"/>
            <w:vAlign w:val="center"/>
          </w:tcPr>
          <w:p>
            <w:r/>
            <w:r>
              <w:rPr>
                <w:b w:val="0"/>
                <w:color w:val="1F1F1F"/>
                <w:sz w:val="18"/>
              </w:rPr>
              <w:t>Distribution; skew; outliers</w:t>
            </w:r>
          </w:p>
        </w:tc>
      </w:tr>
      <w:tr>
        <w:tc>
          <w:tcPr>
            <w:tcW w:type="dxa" w:w="2088"/>
            <w:vAlign w:val="center"/>
            <w:shd w:fill="EAF2F8"/>
          </w:tcPr>
          <w:p>
            <w:r/>
            <w:r>
              <w:rPr>
                <w:b w:val="0"/>
                <w:color w:val="1F1F1F"/>
                <w:sz w:val="18"/>
              </w:rPr>
              <w:t>monthly_charges</w:t>
            </w:r>
          </w:p>
        </w:tc>
        <w:tc>
          <w:tcPr>
            <w:tcW w:type="dxa" w:w="1728"/>
            <w:vAlign w:val="center"/>
            <w:shd w:fill="EAF2F8"/>
          </w:tcPr>
          <w:p>
            <w:r/>
            <w:r>
              <w:rPr>
                <w:b w:val="0"/>
                <w:color w:val="1F1F1F"/>
                <w:sz w:val="18"/>
              </w:rPr>
              <w:t>Float</w:t>
            </w:r>
          </w:p>
        </w:tc>
        <w:tc>
          <w:tcPr>
            <w:tcW w:type="dxa" w:w="2880"/>
            <w:vAlign w:val="center"/>
            <w:shd w:fill="EAF2F8"/>
          </w:tcPr>
          <w:p>
            <w:r/>
            <w:r>
              <w:rPr>
                <w:b w:val="0"/>
                <w:color w:val="1F1F1F"/>
                <w:sz w:val="18"/>
              </w:rPr>
              <w:t>49.99, 79.50</w:t>
            </w:r>
          </w:p>
        </w:tc>
        <w:tc>
          <w:tcPr>
            <w:tcW w:type="dxa" w:w="3672"/>
            <w:vAlign w:val="center"/>
            <w:shd w:fill="EAF2F8"/>
          </w:tcPr>
          <w:p>
            <w:r/>
            <w:r>
              <w:rPr>
                <w:b w:val="0"/>
                <w:color w:val="1F1F1F"/>
                <w:sz w:val="18"/>
              </w:rPr>
              <w:t>Mean, median, spread</w:t>
            </w:r>
          </w:p>
        </w:tc>
      </w:tr>
      <w:tr>
        <w:tc>
          <w:tcPr>
            <w:tcW w:type="dxa" w:w="2088"/>
            <w:vAlign w:val="center"/>
          </w:tcPr>
          <w:p>
            <w:r/>
            <w:r>
              <w:rPr>
                <w:b w:val="0"/>
                <w:color w:val="1F1F1F"/>
                <w:sz w:val="18"/>
              </w:rPr>
              <w:t>contract_type</w:t>
            </w:r>
          </w:p>
        </w:tc>
        <w:tc>
          <w:tcPr>
            <w:tcW w:type="dxa" w:w="1728"/>
            <w:vAlign w:val="center"/>
          </w:tcPr>
          <w:p>
            <w:r/>
            <w:r>
              <w:rPr>
                <w:b w:val="0"/>
                <w:color w:val="1F1F1F"/>
                <w:sz w:val="18"/>
              </w:rPr>
              <w:t>Categorical</w:t>
            </w:r>
          </w:p>
        </w:tc>
        <w:tc>
          <w:tcPr>
            <w:tcW w:type="dxa" w:w="2880"/>
            <w:vAlign w:val="center"/>
          </w:tcPr>
          <w:p>
            <w:r/>
            <w:r>
              <w:rPr>
                <w:b w:val="0"/>
                <w:color w:val="1F1F1F"/>
                <w:sz w:val="18"/>
              </w:rPr>
              <w:t>Monthly, Annual</w:t>
            </w:r>
          </w:p>
        </w:tc>
        <w:tc>
          <w:tcPr>
            <w:tcW w:type="dxa" w:w="3672"/>
            <w:vAlign w:val="center"/>
          </w:tcPr>
          <w:p>
            <w:r/>
            <w:r>
              <w:rPr>
                <w:b w:val="0"/>
                <w:color w:val="1F1F1F"/>
                <w:sz w:val="18"/>
              </w:rPr>
              <w:t>Frequency; churn rate by group</w:t>
            </w:r>
          </w:p>
        </w:tc>
      </w:tr>
      <w:tr>
        <w:tc>
          <w:tcPr>
            <w:tcW w:type="dxa" w:w="2088"/>
            <w:vAlign w:val="center"/>
            <w:shd w:fill="EAF2F8"/>
          </w:tcPr>
          <w:p>
            <w:r/>
            <w:r>
              <w:rPr>
                <w:b w:val="0"/>
                <w:color w:val="1F1F1F"/>
                <w:sz w:val="18"/>
              </w:rPr>
              <w:t>payment_method</w:t>
            </w:r>
          </w:p>
        </w:tc>
        <w:tc>
          <w:tcPr>
            <w:tcW w:type="dxa" w:w="1728"/>
            <w:vAlign w:val="center"/>
            <w:shd w:fill="EAF2F8"/>
          </w:tcPr>
          <w:p>
            <w:r/>
            <w:r>
              <w:rPr>
                <w:b w:val="0"/>
                <w:color w:val="1F1F1F"/>
                <w:sz w:val="18"/>
              </w:rPr>
              <w:t>Categorical</w:t>
            </w:r>
          </w:p>
        </w:tc>
        <w:tc>
          <w:tcPr>
            <w:tcW w:type="dxa" w:w="2880"/>
            <w:vAlign w:val="center"/>
            <w:shd w:fill="EAF2F8"/>
          </w:tcPr>
          <w:p>
            <w:r/>
            <w:r>
              <w:rPr>
                <w:b w:val="0"/>
                <w:color w:val="1F1F1F"/>
                <w:sz w:val="18"/>
              </w:rPr>
              <w:t>Card, UPI, Bank transfer</w:t>
            </w:r>
          </w:p>
        </w:tc>
        <w:tc>
          <w:tcPr>
            <w:tcW w:type="dxa" w:w="3672"/>
            <w:vAlign w:val="center"/>
            <w:shd w:fill="EAF2F8"/>
          </w:tcPr>
          <w:p>
            <w:r/>
            <w:r>
              <w:rPr>
                <w:b w:val="0"/>
                <w:color w:val="1F1F1F"/>
                <w:sz w:val="18"/>
              </w:rPr>
              <w:t>Frequency; category consistency</w:t>
            </w:r>
          </w:p>
        </w:tc>
      </w:tr>
      <w:tr>
        <w:tc>
          <w:tcPr>
            <w:tcW w:type="dxa" w:w="2088"/>
            <w:vAlign w:val="center"/>
          </w:tcPr>
          <w:p>
            <w:r/>
            <w:r>
              <w:rPr>
                <w:b w:val="0"/>
                <w:color w:val="1F1F1F"/>
                <w:sz w:val="18"/>
              </w:rPr>
              <w:t>support_tickets</w:t>
            </w:r>
          </w:p>
        </w:tc>
        <w:tc>
          <w:tcPr>
            <w:tcW w:type="dxa" w:w="1728"/>
            <w:vAlign w:val="center"/>
          </w:tcPr>
          <w:p>
            <w:r/>
            <w:r>
              <w:rPr>
                <w:b w:val="0"/>
                <w:color w:val="1F1F1F"/>
                <w:sz w:val="18"/>
              </w:rPr>
              <w:t>Integer</w:t>
            </w:r>
          </w:p>
        </w:tc>
        <w:tc>
          <w:tcPr>
            <w:tcW w:type="dxa" w:w="2880"/>
            <w:vAlign w:val="center"/>
          </w:tcPr>
          <w:p>
            <w:r/>
            <w:r>
              <w:rPr>
                <w:b w:val="0"/>
                <w:color w:val="1F1F1F"/>
                <w:sz w:val="18"/>
              </w:rPr>
              <w:t>0, 2, 11</w:t>
            </w:r>
          </w:p>
        </w:tc>
        <w:tc>
          <w:tcPr>
            <w:tcW w:type="dxa" w:w="3672"/>
            <w:vAlign w:val="center"/>
          </w:tcPr>
          <w:p>
            <w:r/>
            <w:r>
              <w:rPr>
                <w:b w:val="0"/>
                <w:color w:val="1F1F1F"/>
                <w:sz w:val="18"/>
              </w:rPr>
              <w:t>Count distribution; outliers</w:t>
            </w:r>
          </w:p>
        </w:tc>
      </w:tr>
      <w:tr>
        <w:tc>
          <w:tcPr>
            <w:tcW w:type="dxa" w:w="2088"/>
            <w:vAlign w:val="center"/>
            <w:shd w:fill="EAF2F8"/>
          </w:tcPr>
          <w:p>
            <w:r/>
            <w:r>
              <w:rPr>
                <w:b w:val="0"/>
                <w:color w:val="1F1F1F"/>
                <w:sz w:val="18"/>
              </w:rPr>
              <w:t>auto_pay</w:t>
            </w:r>
          </w:p>
        </w:tc>
        <w:tc>
          <w:tcPr>
            <w:tcW w:type="dxa" w:w="1728"/>
            <w:vAlign w:val="center"/>
            <w:shd w:fill="EAF2F8"/>
          </w:tcPr>
          <w:p>
            <w:r/>
            <w:r>
              <w:rPr>
                <w:b w:val="0"/>
                <w:color w:val="1F1F1F"/>
                <w:sz w:val="18"/>
              </w:rPr>
              <w:t>Boolean</w:t>
            </w:r>
          </w:p>
        </w:tc>
        <w:tc>
          <w:tcPr>
            <w:tcW w:type="dxa" w:w="2880"/>
            <w:vAlign w:val="center"/>
            <w:shd w:fill="EAF2F8"/>
          </w:tcPr>
          <w:p>
            <w:r/>
            <w:r>
              <w:rPr>
                <w:b w:val="0"/>
                <w:color w:val="1F1F1F"/>
                <w:sz w:val="18"/>
              </w:rPr>
              <w:t>True / False</w:t>
            </w:r>
          </w:p>
        </w:tc>
        <w:tc>
          <w:tcPr>
            <w:tcW w:type="dxa" w:w="3672"/>
            <w:vAlign w:val="center"/>
            <w:shd w:fill="EAF2F8"/>
          </w:tcPr>
          <w:p>
            <w:r/>
            <w:r>
              <w:rPr>
                <w:b w:val="0"/>
                <w:color w:val="1F1F1F"/>
                <w:sz w:val="18"/>
              </w:rPr>
              <w:t>Group comparison</w:t>
            </w:r>
          </w:p>
        </w:tc>
      </w:tr>
      <w:tr>
        <w:tc>
          <w:tcPr>
            <w:tcW w:type="dxa" w:w="2088"/>
            <w:vAlign w:val="center"/>
          </w:tcPr>
          <w:p>
            <w:r/>
            <w:r>
              <w:rPr>
                <w:b w:val="0"/>
                <w:color w:val="1F1F1F"/>
                <w:sz w:val="18"/>
              </w:rPr>
              <w:t>last_login</w:t>
            </w:r>
          </w:p>
        </w:tc>
        <w:tc>
          <w:tcPr>
            <w:tcW w:type="dxa" w:w="1728"/>
            <w:vAlign w:val="center"/>
          </w:tcPr>
          <w:p>
            <w:r/>
            <w:r>
              <w:rPr>
                <w:b w:val="0"/>
                <w:color w:val="1F1F1F"/>
                <w:sz w:val="18"/>
              </w:rPr>
              <w:t>Datetime</w:t>
            </w:r>
          </w:p>
        </w:tc>
        <w:tc>
          <w:tcPr>
            <w:tcW w:type="dxa" w:w="2880"/>
            <w:vAlign w:val="center"/>
          </w:tcPr>
          <w:p>
            <w:r/>
            <w:r>
              <w:rPr>
                <w:b w:val="0"/>
                <w:color w:val="1F1F1F"/>
                <w:sz w:val="18"/>
              </w:rPr>
              <w:t>2026-07-21</w:t>
            </w:r>
          </w:p>
        </w:tc>
        <w:tc>
          <w:tcPr>
            <w:tcW w:type="dxa" w:w="3672"/>
            <w:vAlign w:val="center"/>
          </w:tcPr>
          <w:p>
            <w:r/>
            <w:r>
              <w:rPr>
                <w:b w:val="0"/>
                <w:color w:val="1F1F1F"/>
                <w:sz w:val="18"/>
              </w:rPr>
              <w:t>Recency; trend patterns</w:t>
            </w:r>
          </w:p>
        </w:tc>
      </w:tr>
      <w:tr>
        <w:tc>
          <w:tcPr>
            <w:tcW w:type="dxa" w:w="2088"/>
            <w:vAlign w:val="center"/>
            <w:shd w:fill="EAF2F8"/>
          </w:tcPr>
          <w:p>
            <w:r/>
            <w:r>
              <w:rPr>
                <w:b w:val="0"/>
                <w:color w:val="1F1F1F"/>
                <w:sz w:val="18"/>
              </w:rPr>
              <w:t>churn</w:t>
            </w:r>
          </w:p>
        </w:tc>
        <w:tc>
          <w:tcPr>
            <w:tcW w:type="dxa" w:w="1728"/>
            <w:vAlign w:val="center"/>
            <w:shd w:fill="EAF2F8"/>
          </w:tcPr>
          <w:p>
            <w:r/>
            <w:r>
              <w:rPr>
                <w:b w:val="0"/>
                <w:color w:val="1F1F1F"/>
                <w:sz w:val="18"/>
              </w:rPr>
              <w:t>Binary target</w:t>
            </w:r>
          </w:p>
        </w:tc>
        <w:tc>
          <w:tcPr>
            <w:tcW w:type="dxa" w:w="2880"/>
            <w:vAlign w:val="center"/>
            <w:shd w:fill="EAF2F8"/>
          </w:tcPr>
          <w:p>
            <w:r/>
            <w:r>
              <w:rPr>
                <w:b w:val="0"/>
                <w:color w:val="1F1F1F"/>
                <w:sz w:val="18"/>
              </w:rPr>
              <w:t>0 / 1</w:t>
            </w:r>
          </w:p>
        </w:tc>
        <w:tc>
          <w:tcPr>
            <w:tcW w:type="dxa" w:w="3672"/>
            <w:vAlign w:val="center"/>
            <w:shd w:fill="EAF2F8"/>
          </w:tcPr>
          <w:p>
            <w:r/>
            <w:r>
              <w:rPr>
                <w:b w:val="0"/>
                <w:color w:val="1F1F1F"/>
                <w:sz w:val="18"/>
              </w:rPr>
              <w:t>Target balance; relationship with predictors</w:t>
            </w:r>
          </w:p>
        </w:tc>
      </w:tr>
    </w:tbl>
    <w:p/>
    <w:p>
      <w:pPr>
        <w:pStyle w:val="Heading1"/>
      </w:pPr>
      <w:r>
        <w:t>3. EDA Process and Data Exploration Techniques</w:t>
      </w:r>
    </w:p>
    <w:p>
      <w:pPr>
        <w:pStyle w:val="Heading2"/>
      </w:pPr>
      <w:r>
        <w:t>3.1 Initial Data Audit</w:t>
      </w:r>
    </w:p>
    <w:p>
      <w:r>
        <w:t>The first pass establishes a quality baseline before deeper analysis. The following checks are planned:</w:t>
      </w:r>
    </w:p>
    <w:p>
      <w:pPr>
        <w:pStyle w:val="ListBullet"/>
        <w:spacing w:after="60"/>
      </w:pPr>
      <w:r>
        <w:t>Load the dataset with pandas and record row/column counts using shape.</w:t>
      </w:r>
    </w:p>
    <w:p>
      <w:pPr>
        <w:pStyle w:val="ListBullet"/>
        <w:spacing w:after="60"/>
      </w:pPr>
      <w:r>
        <w:t>Inspect data types with info() and compare them against the data dictionary.</w:t>
      </w:r>
    </w:p>
    <w:p>
      <w:pPr>
        <w:pStyle w:val="ListBullet"/>
        <w:spacing w:after="60"/>
      </w:pPr>
      <w:r>
        <w:t>Check missing values with isna().sum() and calculate missingness percentage per column.</w:t>
      </w:r>
    </w:p>
    <w:p>
      <w:pPr>
        <w:pStyle w:val="ListBullet"/>
        <w:spacing w:after="60"/>
      </w:pPr>
      <w:r>
        <w:t>Count duplicate rows and investigate duplicate customer identifiers.</w:t>
      </w:r>
    </w:p>
    <w:p>
      <w:pPr>
        <w:pStyle w:val="ListBullet"/>
        <w:spacing w:after="60"/>
      </w:pPr>
      <w:r>
        <w:t>Check categorical columns for spelling variations such as “Monthly”, “monthly”, and “Month-to-month”.</w:t>
      </w:r>
    </w:p>
    <w:p>
      <w:pPr>
        <w:pStyle w:val="ListBullet"/>
        <w:spacing w:after="60"/>
      </w:pPr>
      <w:r>
        <w:t>Profile numerical ranges, including impossible values such as negative charges or negative tenure.</w:t>
      </w:r>
    </w:p>
    <w:p>
      <w:pPr>
        <w:pStyle w:val="ListBullet"/>
        <w:spacing w:after="60"/>
      </w:pPr>
      <w:r>
        <w:t>Check the target variable for class imbalance before interpreting churn comparisons.</w:t>
      </w:r>
    </w:p>
    <w:p>
      <w:pPr>
        <w:pStyle w:val="NoSpacing"/>
        <w:ind w:left="360" w:right="360"/>
      </w:pPr>
      <w:r>
        <w:rPr>
          <w:rFonts w:ascii="Consolas" w:hAnsi="Consolas"/>
          <w:sz w:val="18"/>
        </w:rPr>
        <w:t>missing_pct = df.isna().mean().mul(100).sort_values(ascending=False)</w:t>
        <w:br/>
        <w:t>summary = pd.DataFrame({'missing_pct': missing_pct, 'dtype': df.dtypes.astype(str)})</w:t>
      </w:r>
    </w:p>
    <w:p>
      <w:pPr>
        <w:pStyle w:val="Heading2"/>
      </w:pPr>
      <w:r>
        <w:t>3.2 Missing Data Strategy</w:t>
      </w:r>
    </w:p>
    <w:p>
      <w:r>
        <w:t>Missingness should be measured before deciding how to treat it. An illustrative profile might show: tenure_months = 0.0%, monthly_charges = 2.4%, contract_type = 1.1%, payment_method = 3.8%. These percentages are examples for planning, not observed results.</w:t>
      </w:r>
    </w:p>
    <w:p>
      <w:r>
        <w:drawing>
          <wp:inline xmlns:a="http://schemas.openxmlformats.org/drawingml/2006/main" xmlns:pic="http://schemas.openxmlformats.org/drawingml/2006/picture">
            <wp:extent cx="6035040" cy="3268980"/>
            <wp:docPr id="1" name="Picture 1"/>
            <wp:cNvGraphicFramePr>
              <a:graphicFrameLocks noChangeAspect="1"/>
            </wp:cNvGraphicFramePr>
            <a:graphic>
              <a:graphicData uri="http://schemas.openxmlformats.org/drawingml/2006/picture">
                <pic:pic>
                  <pic:nvPicPr>
                    <pic:cNvPr id="0" name="missing_values_example.png"/>
                    <pic:cNvPicPr/>
                  </pic:nvPicPr>
                  <pic:blipFill>
                    <a:blip r:embed="rId10"/>
                    <a:stretch>
                      <a:fillRect/>
                    </a:stretch>
                  </pic:blipFill>
                  <pic:spPr>
                    <a:xfrm>
                      <a:off x="0" y="0"/>
                      <a:ext cx="6035040" cy="3268980"/>
                    </a:xfrm>
                    <a:prstGeom prst="rect"/>
                  </pic:spPr>
                </pic:pic>
              </a:graphicData>
            </a:graphic>
          </wp:inline>
        </w:drawing>
      </w:r>
    </w:p>
    <w:p>
      <w:pPr>
        <w:jc w:val="center"/>
      </w:pPr>
      <w:r>
        <w:rPr>
          <w:i/>
          <w:color w:val="5A5A5A"/>
          <w:sz w:val="18"/>
        </w:rPr>
        <w:t>Figure 1. Illustrative missing-value profile used to define treatment rules.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8"/>
          </w:tcPr>
          <w:p>
            <w:r/>
            <w:r>
              <w:rPr>
                <w:b/>
                <w:color w:val="FFFFFF"/>
                <w:sz w:val="19"/>
              </w:rPr>
              <w:t>Situation</w:t>
            </w:r>
          </w:p>
        </w:tc>
        <w:tc>
          <w:tcPr>
            <w:tcW w:type="dxa" w:w="4320"/>
            <w:vAlign w:val="center"/>
            <w:shd w:fill="1F4E78"/>
          </w:tcPr>
          <w:p>
            <w:r/>
            <w:r>
              <w:rPr>
                <w:b/>
                <w:color w:val="FFFFFF"/>
                <w:sz w:val="19"/>
              </w:rPr>
              <w:t>Planned Treatment</w:t>
            </w:r>
          </w:p>
        </w:tc>
        <w:tc>
          <w:tcPr>
            <w:tcW w:type="dxa" w:w="3600"/>
            <w:vAlign w:val="center"/>
            <w:shd w:fill="1F4E78"/>
          </w:tcPr>
          <w:p>
            <w:r/>
            <w:r>
              <w:rPr>
                <w:b/>
                <w:color w:val="FFFFFF"/>
                <w:sz w:val="19"/>
              </w:rPr>
              <w:t>Reason</w:t>
            </w:r>
          </w:p>
        </w:tc>
      </w:tr>
      <w:tr>
        <w:tc>
          <w:tcPr>
            <w:tcW w:type="dxa" w:w="2448"/>
            <w:vAlign w:val="center"/>
            <w:shd w:fill="EAF2F8"/>
          </w:tcPr>
          <w:p>
            <w:r/>
            <w:r>
              <w:rPr>
                <w:b w:val="0"/>
                <w:color w:val="1F1F1F"/>
                <w:sz w:val="18"/>
              </w:rPr>
              <w:t>&lt;1% missing numeric values</w:t>
            </w:r>
          </w:p>
        </w:tc>
        <w:tc>
          <w:tcPr>
            <w:tcW w:type="dxa" w:w="4320"/>
            <w:vAlign w:val="center"/>
            <w:shd w:fill="EAF2F8"/>
          </w:tcPr>
          <w:p>
            <w:r/>
            <w:r>
              <w:rPr>
                <w:b w:val="0"/>
                <w:color w:val="1F1F1F"/>
                <w:sz w:val="18"/>
              </w:rPr>
              <w:t>Median imputation if values are plausibly missing at random</w:t>
            </w:r>
          </w:p>
        </w:tc>
        <w:tc>
          <w:tcPr>
            <w:tcW w:type="dxa" w:w="3600"/>
            <w:vAlign w:val="center"/>
            <w:shd w:fill="EAF2F8"/>
          </w:tcPr>
          <w:p>
            <w:r/>
            <w:r>
              <w:rPr>
                <w:b w:val="0"/>
                <w:color w:val="1F1F1F"/>
                <w:sz w:val="18"/>
              </w:rPr>
              <w:t>Robust to skew and preserves row count</w:t>
            </w:r>
          </w:p>
        </w:tc>
      </w:tr>
      <w:tr>
        <w:tc>
          <w:tcPr>
            <w:tcW w:type="dxa" w:w="2448"/>
            <w:vAlign w:val="center"/>
          </w:tcPr>
          <w:p>
            <w:r/>
            <w:r>
              <w:rPr>
                <w:b w:val="0"/>
                <w:color w:val="1F1F1F"/>
                <w:sz w:val="18"/>
              </w:rPr>
              <w:t>1–5% missing categorical values</w:t>
            </w:r>
          </w:p>
        </w:tc>
        <w:tc>
          <w:tcPr>
            <w:tcW w:type="dxa" w:w="4320"/>
            <w:vAlign w:val="center"/>
          </w:tcPr>
          <w:p>
            <w:r/>
            <w:r>
              <w:rPr>
                <w:b w:val="0"/>
                <w:color w:val="1F1F1F"/>
                <w:sz w:val="18"/>
              </w:rPr>
              <w:t>Mode or explicit “Unknown” category</w:t>
            </w:r>
          </w:p>
        </w:tc>
        <w:tc>
          <w:tcPr>
            <w:tcW w:type="dxa" w:w="3600"/>
            <w:vAlign w:val="center"/>
          </w:tcPr>
          <w:p>
            <w:r/>
            <w:r>
              <w:rPr>
                <w:b w:val="0"/>
                <w:color w:val="1F1F1F"/>
                <w:sz w:val="18"/>
              </w:rPr>
              <w:t>Keeps records and preserves missingness signal</w:t>
            </w:r>
          </w:p>
        </w:tc>
      </w:tr>
      <w:tr>
        <w:tc>
          <w:tcPr>
            <w:tcW w:type="dxa" w:w="2448"/>
            <w:vAlign w:val="center"/>
            <w:shd w:fill="EAF2F8"/>
          </w:tcPr>
          <w:p>
            <w:r/>
            <w:r>
              <w:rPr>
                <w:b w:val="0"/>
                <w:color w:val="1F1F1F"/>
                <w:sz w:val="18"/>
              </w:rPr>
              <w:t>&gt;30% missing in a feature</w:t>
            </w:r>
          </w:p>
        </w:tc>
        <w:tc>
          <w:tcPr>
            <w:tcW w:type="dxa" w:w="4320"/>
            <w:vAlign w:val="center"/>
            <w:shd w:fill="EAF2F8"/>
          </w:tcPr>
          <w:p>
            <w:r/>
            <w:r>
              <w:rPr>
                <w:b w:val="0"/>
                <w:color w:val="1F1F1F"/>
                <w:sz w:val="18"/>
              </w:rPr>
              <w:t>Investigate business meaning; consider excluding</w:t>
            </w:r>
          </w:p>
        </w:tc>
        <w:tc>
          <w:tcPr>
            <w:tcW w:type="dxa" w:w="3600"/>
            <w:vAlign w:val="center"/>
            <w:shd w:fill="EAF2F8"/>
          </w:tcPr>
          <w:p>
            <w:r/>
            <w:r>
              <w:rPr>
                <w:b w:val="0"/>
                <w:color w:val="1F1F1F"/>
                <w:sz w:val="18"/>
              </w:rPr>
              <w:t>High missingness can weaken reliability</w:t>
            </w:r>
          </w:p>
        </w:tc>
      </w:tr>
      <w:tr>
        <w:tc>
          <w:tcPr>
            <w:tcW w:type="dxa" w:w="2448"/>
            <w:vAlign w:val="center"/>
          </w:tcPr>
          <w:p>
            <w:r/>
            <w:r>
              <w:rPr>
                <w:b w:val="0"/>
                <w:color w:val="1F1F1F"/>
                <w:sz w:val="18"/>
              </w:rPr>
              <w:t>Missing target label</w:t>
            </w:r>
          </w:p>
        </w:tc>
        <w:tc>
          <w:tcPr>
            <w:tcW w:type="dxa" w:w="4320"/>
            <w:vAlign w:val="center"/>
          </w:tcPr>
          <w:p>
            <w:r/>
            <w:r>
              <w:rPr>
                <w:b w:val="0"/>
                <w:color w:val="1F1F1F"/>
                <w:sz w:val="18"/>
              </w:rPr>
              <w:t>Exclude from supervised model training</w:t>
            </w:r>
          </w:p>
        </w:tc>
        <w:tc>
          <w:tcPr>
            <w:tcW w:type="dxa" w:w="3600"/>
            <w:vAlign w:val="center"/>
          </w:tcPr>
          <w:p>
            <w:r/>
            <w:r>
              <w:rPr>
                <w:b w:val="0"/>
                <w:color w:val="1F1F1F"/>
                <w:sz w:val="18"/>
              </w:rPr>
              <w:t>Target cannot be imputed safely without assumptions</w:t>
            </w:r>
          </w:p>
        </w:tc>
      </w:tr>
    </w:tbl>
    <w:p/>
    <w:p>
      <w:pPr>
        <w:pStyle w:val="Heading2"/>
      </w:pPr>
      <w:r>
        <w:t>3.3 Outlier Detection and Treatment</w:t>
      </w:r>
    </w:p>
    <w:p>
      <w:r>
        <w:t>Outliers can represent genuine high-value customers, data-entry errors, or rare events. The plan therefore avoids deleting points automatically. A combination of domain rules, boxplots, IQR, and percentile checks will be used.</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
              <w:rPr>
                <w:b/>
                <w:color w:val="FFFFFF"/>
                <w:sz w:val="19"/>
              </w:rPr>
              <w:t>Method</w:t>
            </w:r>
          </w:p>
        </w:tc>
        <w:tc>
          <w:tcPr>
            <w:tcW w:type="dxa" w:w="4680"/>
            <w:vAlign w:val="center"/>
            <w:shd w:fill="1F4E78"/>
          </w:tcPr>
          <w:p>
            <w:r/>
            <w:r>
              <w:rPr>
                <w:b/>
                <w:color w:val="FFFFFF"/>
                <w:sz w:val="19"/>
              </w:rPr>
              <w:t>Illustrative Rule</w:t>
            </w:r>
          </w:p>
        </w:tc>
        <w:tc>
          <w:tcPr>
            <w:tcW w:type="dxa" w:w="3672"/>
            <w:vAlign w:val="center"/>
            <w:shd w:fill="1F4E78"/>
          </w:tcPr>
          <w:p>
            <w:r/>
            <w:r>
              <w:rPr>
                <w:b/>
                <w:color w:val="FFFFFF"/>
                <w:sz w:val="19"/>
              </w:rPr>
              <w:t>Action</w:t>
            </w:r>
          </w:p>
        </w:tc>
      </w:tr>
      <w:tr>
        <w:tc>
          <w:tcPr>
            <w:tcW w:type="dxa" w:w="2016"/>
            <w:vAlign w:val="center"/>
            <w:shd w:fill="EAF2F8"/>
          </w:tcPr>
          <w:p>
            <w:r/>
            <w:r>
              <w:rPr>
                <w:b w:val="0"/>
                <w:color w:val="1F1F1F"/>
                <w:sz w:val="18"/>
              </w:rPr>
              <w:t>IQR</w:t>
            </w:r>
          </w:p>
        </w:tc>
        <w:tc>
          <w:tcPr>
            <w:tcW w:type="dxa" w:w="4680"/>
            <w:vAlign w:val="center"/>
            <w:shd w:fill="EAF2F8"/>
          </w:tcPr>
          <w:p>
            <w:r/>
            <w:r>
              <w:rPr>
                <w:b w:val="0"/>
                <w:color w:val="1F1F1F"/>
                <w:sz w:val="18"/>
              </w:rPr>
              <w:t>Flag x &lt; Q1 − 1.5×IQR or x &gt; Q3 + 1.5×IQR</w:t>
            </w:r>
          </w:p>
        </w:tc>
        <w:tc>
          <w:tcPr>
            <w:tcW w:type="dxa" w:w="3672"/>
            <w:vAlign w:val="center"/>
            <w:shd w:fill="EAF2F8"/>
          </w:tcPr>
          <w:p>
            <w:r/>
            <w:r>
              <w:rPr>
                <w:b w:val="0"/>
                <w:color w:val="1F1F1F"/>
                <w:sz w:val="18"/>
              </w:rPr>
              <w:t>Investigate; cap, transform, or retain depending on context</w:t>
            </w:r>
          </w:p>
        </w:tc>
      </w:tr>
      <w:tr>
        <w:tc>
          <w:tcPr>
            <w:tcW w:type="dxa" w:w="2016"/>
            <w:vAlign w:val="center"/>
          </w:tcPr>
          <w:p>
            <w:r/>
            <w:r>
              <w:rPr>
                <w:b w:val="0"/>
                <w:color w:val="1F1F1F"/>
                <w:sz w:val="18"/>
              </w:rPr>
              <w:t>Percentiles</w:t>
            </w:r>
          </w:p>
        </w:tc>
        <w:tc>
          <w:tcPr>
            <w:tcW w:type="dxa" w:w="4680"/>
            <w:vAlign w:val="center"/>
          </w:tcPr>
          <w:p>
            <w:r/>
            <w:r>
              <w:rPr>
                <w:b w:val="0"/>
                <w:color w:val="1F1F1F"/>
                <w:sz w:val="18"/>
              </w:rPr>
              <w:t>Compare P1, P50, P99</w:t>
            </w:r>
          </w:p>
        </w:tc>
        <w:tc>
          <w:tcPr>
            <w:tcW w:type="dxa" w:w="3672"/>
            <w:vAlign w:val="center"/>
          </w:tcPr>
          <w:p>
            <w:r/>
            <w:r>
              <w:rPr>
                <w:b w:val="0"/>
                <w:color w:val="1F1F1F"/>
                <w:sz w:val="18"/>
              </w:rPr>
              <w:t>Review extreme tails and measurement plausibility</w:t>
            </w:r>
          </w:p>
        </w:tc>
      </w:tr>
      <w:tr>
        <w:tc>
          <w:tcPr>
            <w:tcW w:type="dxa" w:w="2016"/>
            <w:vAlign w:val="center"/>
            <w:shd w:fill="EAF2F8"/>
          </w:tcPr>
          <w:p>
            <w:r/>
            <w:r>
              <w:rPr>
                <w:b w:val="0"/>
                <w:color w:val="1F1F1F"/>
                <w:sz w:val="18"/>
              </w:rPr>
              <w:t>Domain rule</w:t>
            </w:r>
          </w:p>
        </w:tc>
        <w:tc>
          <w:tcPr>
            <w:tcW w:type="dxa" w:w="4680"/>
            <w:vAlign w:val="center"/>
            <w:shd w:fill="EAF2F8"/>
          </w:tcPr>
          <w:p>
            <w:r/>
            <w:r>
              <w:rPr>
                <w:b w:val="0"/>
                <w:color w:val="1F1F1F"/>
                <w:sz w:val="18"/>
              </w:rPr>
              <w:t>Monthly charges cannot be negative</w:t>
            </w:r>
          </w:p>
        </w:tc>
        <w:tc>
          <w:tcPr>
            <w:tcW w:type="dxa" w:w="3672"/>
            <w:vAlign w:val="center"/>
            <w:shd w:fill="EAF2F8"/>
          </w:tcPr>
          <w:p>
            <w:r/>
            <w:r>
              <w:rPr>
                <w:b w:val="0"/>
                <w:color w:val="1F1F1F"/>
                <w:sz w:val="18"/>
              </w:rPr>
              <w:t>Correct or remove impossible records</w:t>
            </w:r>
          </w:p>
        </w:tc>
      </w:tr>
      <w:tr>
        <w:tc>
          <w:tcPr>
            <w:tcW w:type="dxa" w:w="2016"/>
            <w:vAlign w:val="center"/>
          </w:tcPr>
          <w:p>
            <w:r/>
            <w:r>
              <w:rPr>
                <w:b w:val="0"/>
                <w:color w:val="1F1F1F"/>
                <w:sz w:val="18"/>
              </w:rPr>
              <w:t>Log transform</w:t>
            </w:r>
          </w:p>
        </w:tc>
        <w:tc>
          <w:tcPr>
            <w:tcW w:type="dxa" w:w="4680"/>
            <w:vAlign w:val="center"/>
          </w:tcPr>
          <w:p>
            <w:r/>
            <w:r>
              <w:rPr>
                <w:b w:val="0"/>
                <w:color w:val="1F1F1F"/>
                <w:sz w:val="18"/>
              </w:rPr>
              <w:t>For highly right-skewed count/amount features</w:t>
            </w:r>
          </w:p>
        </w:tc>
        <w:tc>
          <w:tcPr>
            <w:tcW w:type="dxa" w:w="3672"/>
            <w:vAlign w:val="center"/>
          </w:tcPr>
          <w:p>
            <w:r/>
            <w:r>
              <w:rPr>
                <w:b w:val="0"/>
                <w:color w:val="1F1F1F"/>
                <w:sz w:val="18"/>
              </w:rPr>
              <w:t>Reduce skew while retaining information</w:t>
            </w:r>
          </w:p>
        </w:tc>
      </w:tr>
    </w:tbl>
    <w:p/>
    <w:p>
      <w:pPr>
        <w:pStyle w:val="Heading2"/>
      </w:pPr>
      <w:r>
        <w:t>3.4 Univariate Analysis</w:t>
      </w:r>
    </w:p>
    <w:p>
      <w:r>
        <w:t>Univariate analysis studies one variable at a time. Numerical variables will be summarized with mean, median, standard deviation, quartiles, minimum, and maximum. Categorical variables will be summarized using counts and percentages.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b/>
                <w:color w:val="FFFFFF"/>
                <w:sz w:val="19"/>
              </w:rPr>
              <w:t>Variable</w:t>
            </w:r>
          </w:p>
        </w:tc>
        <w:tc>
          <w:tcPr>
            <w:tcW w:type="dxa" w:w="5040"/>
            <w:vAlign w:val="center"/>
            <w:shd w:fill="1F4E78"/>
          </w:tcPr>
          <w:p>
            <w:r/>
            <w:r>
              <w:rPr>
                <w:b/>
                <w:color w:val="FFFFFF"/>
                <w:sz w:val="19"/>
              </w:rPr>
              <w:t>Example Question</w:t>
            </w:r>
          </w:p>
        </w:tc>
        <w:tc>
          <w:tcPr>
            <w:tcW w:type="dxa" w:w="3168"/>
            <w:vAlign w:val="center"/>
            <w:shd w:fill="1F4E78"/>
          </w:tcPr>
          <w:p>
            <w:r/>
            <w:r>
              <w:rPr>
                <w:b/>
                <w:color w:val="FFFFFF"/>
                <w:sz w:val="19"/>
              </w:rPr>
              <w:t>Planned Output</w:t>
            </w:r>
          </w:p>
        </w:tc>
      </w:tr>
      <w:tr>
        <w:tc>
          <w:tcPr>
            <w:tcW w:type="dxa" w:w="2160"/>
            <w:vAlign w:val="center"/>
            <w:shd w:fill="EAF2F8"/>
          </w:tcPr>
          <w:p>
            <w:r/>
            <w:r>
              <w:rPr>
                <w:b w:val="0"/>
                <w:color w:val="1F1F1F"/>
                <w:sz w:val="18"/>
              </w:rPr>
              <w:t>monthly_charges</w:t>
            </w:r>
          </w:p>
        </w:tc>
        <w:tc>
          <w:tcPr>
            <w:tcW w:type="dxa" w:w="5040"/>
            <w:vAlign w:val="center"/>
            <w:shd w:fill="EAF2F8"/>
          </w:tcPr>
          <w:p>
            <w:r/>
            <w:r>
              <w:rPr>
                <w:b w:val="0"/>
                <w:color w:val="1F1F1F"/>
                <w:sz w:val="18"/>
              </w:rPr>
              <w:t>Are charges concentrated around a typical range?</w:t>
            </w:r>
          </w:p>
        </w:tc>
        <w:tc>
          <w:tcPr>
            <w:tcW w:type="dxa" w:w="3168"/>
            <w:vAlign w:val="center"/>
            <w:shd w:fill="EAF2F8"/>
          </w:tcPr>
          <w:p>
            <w:r/>
            <w:r>
              <w:rPr>
                <w:b w:val="0"/>
                <w:color w:val="1F1F1F"/>
                <w:sz w:val="18"/>
              </w:rPr>
              <w:t>Histogram + KDE; mean/median</w:t>
            </w:r>
          </w:p>
        </w:tc>
      </w:tr>
      <w:tr>
        <w:tc>
          <w:tcPr>
            <w:tcW w:type="dxa" w:w="2160"/>
            <w:vAlign w:val="center"/>
          </w:tcPr>
          <w:p>
            <w:r/>
            <w:r>
              <w:rPr>
                <w:b w:val="0"/>
                <w:color w:val="1F1F1F"/>
                <w:sz w:val="18"/>
              </w:rPr>
              <w:t>tenure_months</w:t>
            </w:r>
          </w:p>
        </w:tc>
        <w:tc>
          <w:tcPr>
            <w:tcW w:type="dxa" w:w="5040"/>
            <w:vAlign w:val="center"/>
          </w:tcPr>
          <w:p>
            <w:r/>
            <w:r>
              <w:rPr>
                <w:b w:val="0"/>
                <w:color w:val="1F1F1F"/>
                <w:sz w:val="18"/>
              </w:rPr>
              <w:t>How many long-tenure customers are present?</w:t>
            </w:r>
          </w:p>
        </w:tc>
        <w:tc>
          <w:tcPr>
            <w:tcW w:type="dxa" w:w="3168"/>
            <w:vAlign w:val="center"/>
          </w:tcPr>
          <w:p>
            <w:r/>
            <w:r>
              <w:rPr>
                <w:b w:val="0"/>
                <w:color w:val="1F1F1F"/>
                <w:sz w:val="18"/>
              </w:rPr>
              <w:t>Histogram + boxplot</w:t>
            </w:r>
          </w:p>
        </w:tc>
      </w:tr>
      <w:tr>
        <w:tc>
          <w:tcPr>
            <w:tcW w:type="dxa" w:w="2160"/>
            <w:vAlign w:val="center"/>
            <w:shd w:fill="EAF2F8"/>
          </w:tcPr>
          <w:p>
            <w:r/>
            <w:r>
              <w:rPr>
                <w:b w:val="0"/>
                <w:color w:val="1F1F1F"/>
                <w:sz w:val="18"/>
              </w:rPr>
              <w:t>contract_type</w:t>
            </w:r>
          </w:p>
        </w:tc>
        <w:tc>
          <w:tcPr>
            <w:tcW w:type="dxa" w:w="5040"/>
            <w:vAlign w:val="center"/>
            <w:shd w:fill="EAF2F8"/>
          </w:tcPr>
          <w:p>
            <w:r/>
            <w:r>
              <w:rPr>
                <w:b w:val="0"/>
                <w:color w:val="1F1F1F"/>
                <w:sz w:val="18"/>
              </w:rPr>
              <w:t>Which contract dominates?</w:t>
            </w:r>
          </w:p>
        </w:tc>
        <w:tc>
          <w:tcPr>
            <w:tcW w:type="dxa" w:w="3168"/>
            <w:vAlign w:val="center"/>
            <w:shd w:fill="EAF2F8"/>
          </w:tcPr>
          <w:p>
            <w:r/>
            <w:r>
              <w:rPr>
                <w:b w:val="0"/>
                <w:color w:val="1F1F1F"/>
                <w:sz w:val="18"/>
              </w:rPr>
              <w:t>Countplot + percentage table</w:t>
            </w:r>
          </w:p>
        </w:tc>
      </w:tr>
      <w:tr>
        <w:tc>
          <w:tcPr>
            <w:tcW w:type="dxa" w:w="2160"/>
            <w:vAlign w:val="center"/>
          </w:tcPr>
          <w:p>
            <w:r/>
            <w:r>
              <w:rPr>
                <w:b w:val="0"/>
                <w:color w:val="1F1F1F"/>
                <w:sz w:val="18"/>
              </w:rPr>
              <w:t>churn</w:t>
            </w:r>
          </w:p>
        </w:tc>
        <w:tc>
          <w:tcPr>
            <w:tcW w:type="dxa" w:w="5040"/>
            <w:vAlign w:val="center"/>
          </w:tcPr>
          <w:p>
            <w:r/>
            <w:r>
              <w:rPr>
                <w:b w:val="0"/>
                <w:color w:val="1F1F1F"/>
                <w:sz w:val="18"/>
              </w:rPr>
              <w:t>Is the target balanced?</w:t>
            </w:r>
          </w:p>
        </w:tc>
        <w:tc>
          <w:tcPr>
            <w:tcW w:type="dxa" w:w="3168"/>
            <w:vAlign w:val="center"/>
          </w:tcPr>
          <w:p>
            <w:r/>
            <w:r>
              <w:rPr>
                <w:b w:val="0"/>
                <w:color w:val="1F1F1F"/>
                <w:sz w:val="18"/>
              </w:rPr>
              <w:t>Bar chart; class proportions</w:t>
            </w:r>
          </w:p>
        </w:tc>
      </w:tr>
    </w:tbl>
    <w:p/>
    <w:p>
      <w:pPr>
        <w:pStyle w:val="Heading2"/>
      </w:pPr>
      <w:r>
        <w:t>3.5 Bivariate Analysis</w:t>
      </w:r>
    </w:p>
    <w:p>
      <w:r>
        <w:t>Bivariate analysis examines relationships between two variables. For example, average monthly charges can be compared across churn groups, while contract type can be compared using churn rates rather than raw counts alone.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8"/>
          </w:tcPr>
          <w:p>
            <w:r/>
            <w:r>
              <w:rPr>
                <w:b/>
                <w:color w:val="FFFFFF"/>
                <w:sz w:val="19"/>
              </w:rPr>
              <w:t>Pair</w:t>
            </w:r>
          </w:p>
        </w:tc>
        <w:tc>
          <w:tcPr>
            <w:tcW w:type="dxa" w:w="4464"/>
            <w:vAlign w:val="center"/>
            <w:shd w:fill="1F4E78"/>
          </w:tcPr>
          <w:p>
            <w:r/>
            <w:r>
              <w:rPr>
                <w:b/>
                <w:color w:val="FFFFFF"/>
                <w:sz w:val="19"/>
              </w:rPr>
              <w:t>Example Metric</w:t>
            </w:r>
          </w:p>
        </w:tc>
        <w:tc>
          <w:tcPr>
            <w:tcW w:type="dxa" w:w="3024"/>
            <w:vAlign w:val="center"/>
            <w:shd w:fill="1F4E78"/>
          </w:tcPr>
          <w:p>
            <w:r/>
            <w:r>
              <w:rPr>
                <w:b/>
                <w:color w:val="FFFFFF"/>
                <w:sz w:val="19"/>
              </w:rPr>
              <w:t>Visualization</w:t>
            </w:r>
          </w:p>
        </w:tc>
      </w:tr>
      <w:tr>
        <w:tc>
          <w:tcPr>
            <w:tcW w:type="dxa" w:w="2880"/>
            <w:vAlign w:val="center"/>
            <w:shd w:fill="EAF2F8"/>
          </w:tcPr>
          <w:p>
            <w:r/>
            <w:r>
              <w:rPr>
                <w:b w:val="0"/>
                <w:color w:val="1F1F1F"/>
                <w:sz w:val="18"/>
              </w:rPr>
              <w:t>monthly_charges vs churn</w:t>
            </w:r>
          </w:p>
        </w:tc>
        <w:tc>
          <w:tcPr>
            <w:tcW w:type="dxa" w:w="4464"/>
            <w:vAlign w:val="center"/>
            <w:shd w:fill="EAF2F8"/>
          </w:tcPr>
          <w:p>
            <w:r/>
            <w:r>
              <w:rPr>
                <w:b w:val="0"/>
                <w:color w:val="1F1F1F"/>
                <w:sz w:val="18"/>
              </w:rPr>
              <w:t>Mean / median by churn class</w:t>
            </w:r>
          </w:p>
        </w:tc>
        <w:tc>
          <w:tcPr>
            <w:tcW w:type="dxa" w:w="3024"/>
            <w:vAlign w:val="center"/>
            <w:shd w:fill="EAF2F8"/>
          </w:tcPr>
          <w:p>
            <w:r/>
            <w:r>
              <w:rPr>
                <w:b w:val="0"/>
                <w:color w:val="1F1F1F"/>
                <w:sz w:val="18"/>
              </w:rPr>
              <w:t>Boxplot or violin plot</w:t>
            </w:r>
          </w:p>
        </w:tc>
      </w:tr>
      <w:tr>
        <w:tc>
          <w:tcPr>
            <w:tcW w:type="dxa" w:w="2880"/>
            <w:vAlign w:val="center"/>
          </w:tcPr>
          <w:p>
            <w:r/>
            <w:r>
              <w:rPr>
                <w:b w:val="0"/>
                <w:color w:val="1F1F1F"/>
                <w:sz w:val="18"/>
              </w:rPr>
              <w:t>contract_type vs churn</w:t>
            </w:r>
          </w:p>
        </w:tc>
        <w:tc>
          <w:tcPr>
            <w:tcW w:type="dxa" w:w="4464"/>
            <w:vAlign w:val="center"/>
          </w:tcPr>
          <w:p>
            <w:r/>
            <w:r>
              <w:rPr>
                <w:b w:val="0"/>
                <w:color w:val="1F1F1F"/>
                <w:sz w:val="18"/>
              </w:rPr>
              <w:t>Churn rate = churned / total within category</w:t>
            </w:r>
          </w:p>
        </w:tc>
        <w:tc>
          <w:tcPr>
            <w:tcW w:type="dxa" w:w="3024"/>
            <w:vAlign w:val="center"/>
          </w:tcPr>
          <w:p>
            <w:r/>
            <w:r>
              <w:rPr>
                <w:b w:val="0"/>
                <w:color w:val="1F1F1F"/>
                <w:sz w:val="18"/>
              </w:rPr>
              <w:t>Bar chart of churn rate</w:t>
            </w:r>
          </w:p>
        </w:tc>
      </w:tr>
      <w:tr>
        <w:tc>
          <w:tcPr>
            <w:tcW w:type="dxa" w:w="2880"/>
            <w:vAlign w:val="center"/>
            <w:shd w:fill="EAF2F8"/>
          </w:tcPr>
          <w:p>
            <w:r/>
            <w:r>
              <w:rPr>
                <w:b w:val="0"/>
                <w:color w:val="1F1F1F"/>
                <w:sz w:val="18"/>
              </w:rPr>
              <w:t>tenure_months vs monthly_charges</w:t>
            </w:r>
          </w:p>
        </w:tc>
        <w:tc>
          <w:tcPr>
            <w:tcW w:type="dxa" w:w="4464"/>
            <w:vAlign w:val="center"/>
            <w:shd w:fill="EAF2F8"/>
          </w:tcPr>
          <w:p>
            <w:r/>
            <w:r>
              <w:rPr>
                <w:b w:val="0"/>
                <w:color w:val="1F1F1F"/>
                <w:sz w:val="18"/>
              </w:rPr>
              <w:t>Pearson/Spearman correlation</w:t>
            </w:r>
          </w:p>
        </w:tc>
        <w:tc>
          <w:tcPr>
            <w:tcW w:type="dxa" w:w="3024"/>
            <w:vAlign w:val="center"/>
            <w:shd w:fill="EAF2F8"/>
          </w:tcPr>
          <w:p>
            <w:r/>
            <w:r>
              <w:rPr>
                <w:b w:val="0"/>
                <w:color w:val="1F1F1F"/>
                <w:sz w:val="18"/>
              </w:rPr>
              <w:t>Scatter plot + trend line</w:t>
            </w:r>
          </w:p>
        </w:tc>
      </w:tr>
      <w:tr>
        <w:tc>
          <w:tcPr>
            <w:tcW w:type="dxa" w:w="2880"/>
            <w:vAlign w:val="center"/>
          </w:tcPr>
          <w:p>
            <w:r/>
            <w:r>
              <w:rPr>
                <w:b w:val="0"/>
                <w:color w:val="1F1F1F"/>
                <w:sz w:val="18"/>
              </w:rPr>
              <w:t>support_tickets vs churn</w:t>
            </w:r>
          </w:p>
        </w:tc>
        <w:tc>
          <w:tcPr>
            <w:tcW w:type="dxa" w:w="4464"/>
            <w:vAlign w:val="center"/>
          </w:tcPr>
          <w:p>
            <w:r/>
            <w:r>
              <w:rPr>
                <w:b w:val="0"/>
                <w:color w:val="1F1F1F"/>
                <w:sz w:val="18"/>
              </w:rPr>
              <w:t>Churn rate by ticket-count band</w:t>
            </w:r>
          </w:p>
        </w:tc>
        <w:tc>
          <w:tcPr>
            <w:tcW w:type="dxa" w:w="3024"/>
            <w:vAlign w:val="center"/>
          </w:tcPr>
          <w:p>
            <w:r/>
            <w:r>
              <w:rPr>
                <w:b w:val="0"/>
                <w:color w:val="1F1F1F"/>
                <w:sz w:val="18"/>
              </w:rPr>
              <w:t>Grouped bar chart</w:t>
            </w:r>
          </w:p>
        </w:tc>
      </w:tr>
    </w:tbl>
    <w:p/>
    <w:p>
      <w:pPr>
        <w:pStyle w:val="Heading2"/>
      </w:pPr>
      <w:r>
        <w:t>3.6 Multivariate Analysis</w:t>
      </w:r>
    </w:p>
    <w:p>
      <w:r>
        <w:t>Multivariate analysis combines several variables to reveal interactions and hidden segments. Planned techniques include correlation matrices, pairplots for a small subset of variables, pivot-table summaries, grouped aggregations, and segment analysis. For example, a high churn rate may occur specifically among customers with monthly contracts AND low tenure, even if each factor alone appears only moderately related to churn.</w:t>
      </w:r>
    </w:p>
    <w:p>
      <w:pPr>
        <w:pStyle w:val="NoSpacing"/>
        <w:ind w:left="360" w:right="360"/>
      </w:pPr>
      <w:r>
        <w:rPr>
          <w:rFonts w:ascii="Consolas" w:hAnsi="Consolas"/>
          <w:sz w:val="18"/>
        </w:rPr>
        <w:t>segment = df.groupby(['contract_type','auto_pay'])['churn'].mean().sort_values(ascending=False)</w:t>
      </w:r>
    </w:p>
    <w:p>
      <w:pPr>
        <w:pStyle w:val="Heading1"/>
      </w:pPr>
      <w:r>
        <w:t>4. Proposed EDA Workflow</w:t>
      </w:r>
    </w:p>
    <w:p>
      <w:r>
        <w:drawing>
          <wp:inline xmlns:a="http://schemas.openxmlformats.org/drawingml/2006/main" xmlns:pic="http://schemas.openxmlformats.org/drawingml/2006/picture">
            <wp:extent cx="6035040" cy="2615184"/>
            <wp:docPr id="2" name="Picture 2"/>
            <wp:cNvGraphicFramePr>
              <a:graphicFrameLocks noChangeAspect="1"/>
            </wp:cNvGraphicFramePr>
            <a:graphic>
              <a:graphicData uri="http://schemas.openxmlformats.org/drawingml/2006/picture">
                <pic:pic>
                  <pic:nvPicPr>
                    <pic:cNvPr id="0" name="eda_flow.png"/>
                    <pic:cNvPicPr/>
                  </pic:nvPicPr>
                  <pic:blipFill>
                    <a:blip r:embed="rId11"/>
                    <a:stretch>
                      <a:fillRect/>
                    </a:stretch>
                  </pic:blipFill>
                  <pic:spPr>
                    <a:xfrm>
                      <a:off x="0" y="0"/>
                      <a:ext cx="6035040" cy="2615184"/>
                    </a:xfrm>
                    <a:prstGeom prst="rect"/>
                  </pic:spPr>
                </pic:pic>
              </a:graphicData>
            </a:graphic>
          </wp:inline>
        </w:drawing>
      </w:r>
    </w:p>
    <w:p>
      <w:pPr>
        <w:jc w:val="center"/>
      </w:pPr>
      <w:r>
        <w:rPr>
          <w:i/>
          <w:color w:val="5A5A5A"/>
          <w:sz w:val="18"/>
        </w:rPr>
        <w:t>Figure 2. Planned sequence from data audit to reporting.</w:t>
      </w:r>
    </w:p>
    <w:p>
      <w:pPr>
        <w:pStyle w:val="Heading1"/>
      </w:pPr>
      <w:r>
        <w:t>5. Visualization Strategy</w:t>
      </w:r>
    </w:p>
    <w:p>
      <w:r>
        <w:t>Visualization will be selected to answer a specific question, not merely to create charts. Each figure will have a clear title, axis labels, units, legend where required, and a one- or two-sentence interpretation.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1F4E78"/>
          </w:tcPr>
          <w:p>
            <w:r/>
            <w:r>
              <w:rPr>
                <w:b/>
                <w:color w:val="FFFFFF"/>
                <w:sz w:val="19"/>
              </w:rPr>
              <w:t>Analytical Question</w:t>
            </w:r>
          </w:p>
        </w:tc>
        <w:tc>
          <w:tcPr>
            <w:tcW w:type="dxa" w:w="2232"/>
            <w:vAlign w:val="center"/>
            <w:shd w:fill="1F4E78"/>
          </w:tcPr>
          <w:p>
            <w:r/>
            <w:r>
              <w:rPr>
                <w:b/>
                <w:color w:val="FFFFFF"/>
                <w:sz w:val="19"/>
              </w:rPr>
              <w:t>Recommended Chart</w:t>
            </w:r>
          </w:p>
        </w:tc>
        <w:tc>
          <w:tcPr>
            <w:tcW w:type="dxa" w:w="2952"/>
            <w:vAlign w:val="center"/>
            <w:shd w:fill="1F4E78"/>
          </w:tcPr>
          <w:p>
            <w:r/>
            <w:r>
              <w:rPr>
                <w:b/>
                <w:color w:val="FFFFFF"/>
                <w:sz w:val="19"/>
              </w:rPr>
              <w:t>Why It Helps</w:t>
            </w:r>
          </w:p>
        </w:tc>
        <w:tc>
          <w:tcPr>
            <w:tcW w:type="dxa" w:w="3168"/>
            <w:vAlign w:val="center"/>
            <w:shd w:fill="1F4E78"/>
          </w:tcPr>
          <w:p>
            <w:r/>
            <w:r>
              <w:rPr>
                <w:b/>
                <w:color w:val="FFFFFF"/>
                <w:sz w:val="19"/>
              </w:rPr>
              <w:t>Example Interpretation</w:t>
            </w:r>
          </w:p>
        </w:tc>
      </w:tr>
      <w:tr>
        <w:tc>
          <w:tcPr>
            <w:tcW w:type="dxa" w:w="2448"/>
            <w:vAlign w:val="center"/>
            <w:shd w:fill="EAF2F8"/>
          </w:tcPr>
          <w:p>
            <w:r/>
            <w:r>
              <w:rPr>
                <w:b w:val="0"/>
                <w:color w:val="1F1F1F"/>
                <w:sz w:val="18"/>
              </w:rPr>
              <w:t>What is the distribution of monthly charges?</w:t>
            </w:r>
          </w:p>
        </w:tc>
        <w:tc>
          <w:tcPr>
            <w:tcW w:type="dxa" w:w="2232"/>
            <w:vAlign w:val="center"/>
            <w:shd w:fill="EAF2F8"/>
          </w:tcPr>
          <w:p>
            <w:r/>
            <w:r>
              <w:rPr>
                <w:b w:val="0"/>
                <w:color w:val="1F1F1F"/>
                <w:sz w:val="18"/>
              </w:rPr>
              <w:t>Histogram + KDE</w:t>
            </w:r>
          </w:p>
        </w:tc>
        <w:tc>
          <w:tcPr>
            <w:tcW w:type="dxa" w:w="2952"/>
            <w:vAlign w:val="center"/>
            <w:shd w:fill="EAF2F8"/>
          </w:tcPr>
          <w:p>
            <w:r/>
            <w:r>
              <w:rPr>
                <w:b w:val="0"/>
                <w:color w:val="1F1F1F"/>
                <w:sz w:val="18"/>
              </w:rPr>
              <w:t>Shows center, spread, and skew</w:t>
            </w:r>
          </w:p>
        </w:tc>
        <w:tc>
          <w:tcPr>
            <w:tcW w:type="dxa" w:w="3168"/>
            <w:vAlign w:val="center"/>
            <w:shd w:fill="EAF2F8"/>
          </w:tcPr>
          <w:p>
            <w:r/>
            <w:r>
              <w:rPr>
                <w:b w:val="0"/>
                <w:color w:val="1F1F1F"/>
                <w:sz w:val="18"/>
              </w:rPr>
              <w:t>A long right tail suggests a small group of high-charge customers.</w:t>
            </w:r>
          </w:p>
        </w:tc>
      </w:tr>
      <w:tr>
        <w:tc>
          <w:tcPr>
            <w:tcW w:type="dxa" w:w="2448"/>
            <w:vAlign w:val="center"/>
          </w:tcPr>
          <w:p>
            <w:r/>
            <w:r>
              <w:rPr>
                <w:b w:val="0"/>
                <w:color w:val="1F1F1F"/>
                <w:sz w:val="18"/>
              </w:rPr>
              <w:t>Are there extreme tenure values?</w:t>
            </w:r>
          </w:p>
        </w:tc>
        <w:tc>
          <w:tcPr>
            <w:tcW w:type="dxa" w:w="2232"/>
            <w:vAlign w:val="center"/>
          </w:tcPr>
          <w:p>
            <w:r/>
            <w:r>
              <w:rPr>
                <w:b w:val="0"/>
                <w:color w:val="1F1F1F"/>
                <w:sz w:val="18"/>
              </w:rPr>
              <w:t>Boxplot</w:t>
            </w:r>
          </w:p>
        </w:tc>
        <w:tc>
          <w:tcPr>
            <w:tcW w:type="dxa" w:w="2952"/>
            <w:vAlign w:val="center"/>
          </w:tcPr>
          <w:p>
            <w:r/>
            <w:r>
              <w:rPr>
                <w:b w:val="0"/>
                <w:color w:val="1F1F1F"/>
                <w:sz w:val="18"/>
              </w:rPr>
              <w:t>Shows quartiles and potential outliers</w:t>
            </w:r>
          </w:p>
        </w:tc>
        <w:tc>
          <w:tcPr>
            <w:tcW w:type="dxa" w:w="3168"/>
            <w:vAlign w:val="center"/>
          </w:tcPr>
          <w:p>
            <w:r/>
            <w:r>
              <w:rPr>
                <w:b w:val="0"/>
                <w:color w:val="1F1F1F"/>
                <w:sz w:val="18"/>
              </w:rPr>
              <w:t>Several points beyond the upper whisker may need domain review.</w:t>
            </w:r>
          </w:p>
        </w:tc>
      </w:tr>
      <w:tr>
        <w:tc>
          <w:tcPr>
            <w:tcW w:type="dxa" w:w="2448"/>
            <w:vAlign w:val="center"/>
            <w:shd w:fill="EAF2F8"/>
          </w:tcPr>
          <w:p>
            <w:r/>
            <w:r>
              <w:rPr>
                <w:b w:val="0"/>
                <w:color w:val="1F1F1F"/>
                <w:sz w:val="18"/>
              </w:rPr>
              <w:t>Which categories have higher churn?</w:t>
            </w:r>
          </w:p>
        </w:tc>
        <w:tc>
          <w:tcPr>
            <w:tcW w:type="dxa" w:w="2232"/>
            <w:vAlign w:val="center"/>
            <w:shd w:fill="EAF2F8"/>
          </w:tcPr>
          <w:p>
            <w:r/>
            <w:r>
              <w:rPr>
                <w:b w:val="0"/>
                <w:color w:val="1F1F1F"/>
                <w:sz w:val="18"/>
              </w:rPr>
              <w:t>Sorted bar chart</w:t>
            </w:r>
          </w:p>
        </w:tc>
        <w:tc>
          <w:tcPr>
            <w:tcW w:type="dxa" w:w="2952"/>
            <w:vAlign w:val="center"/>
            <w:shd w:fill="EAF2F8"/>
          </w:tcPr>
          <w:p>
            <w:r/>
            <w:r>
              <w:rPr>
                <w:b w:val="0"/>
                <w:color w:val="1F1F1F"/>
                <w:sz w:val="18"/>
              </w:rPr>
              <w:t>Easy category comparison</w:t>
            </w:r>
          </w:p>
        </w:tc>
        <w:tc>
          <w:tcPr>
            <w:tcW w:type="dxa" w:w="3168"/>
            <w:vAlign w:val="center"/>
            <w:shd w:fill="EAF2F8"/>
          </w:tcPr>
          <w:p>
            <w:r/>
            <w:r>
              <w:rPr>
                <w:b w:val="0"/>
                <w:color w:val="1F1F1F"/>
                <w:sz w:val="18"/>
              </w:rPr>
              <w:t>Annual contracts may show lower churn than monthly contracts.</w:t>
            </w:r>
          </w:p>
        </w:tc>
      </w:tr>
      <w:tr>
        <w:tc>
          <w:tcPr>
            <w:tcW w:type="dxa" w:w="2448"/>
            <w:vAlign w:val="center"/>
          </w:tcPr>
          <w:p>
            <w:r/>
            <w:r>
              <w:rPr>
                <w:b w:val="0"/>
                <w:color w:val="1F1F1F"/>
                <w:sz w:val="18"/>
              </w:rPr>
              <w:t>How do two numeric variables move together?</w:t>
            </w:r>
          </w:p>
        </w:tc>
        <w:tc>
          <w:tcPr>
            <w:tcW w:type="dxa" w:w="2232"/>
            <w:vAlign w:val="center"/>
          </w:tcPr>
          <w:p>
            <w:r/>
            <w:r>
              <w:rPr>
                <w:b w:val="0"/>
                <w:color w:val="1F1F1F"/>
                <w:sz w:val="18"/>
              </w:rPr>
              <w:t>Scatter plot + trend line</w:t>
            </w:r>
          </w:p>
        </w:tc>
        <w:tc>
          <w:tcPr>
            <w:tcW w:type="dxa" w:w="2952"/>
            <w:vAlign w:val="center"/>
          </w:tcPr>
          <w:p>
            <w:r/>
            <w:r>
              <w:rPr>
                <w:b w:val="0"/>
                <w:color w:val="1F1F1F"/>
                <w:sz w:val="18"/>
              </w:rPr>
              <w:t>Shows direction, spread, clusters</w:t>
            </w:r>
          </w:p>
        </w:tc>
        <w:tc>
          <w:tcPr>
            <w:tcW w:type="dxa" w:w="3168"/>
            <w:vAlign w:val="center"/>
          </w:tcPr>
          <w:p>
            <w:r/>
            <w:r>
              <w:rPr>
                <w:b w:val="0"/>
                <w:color w:val="1F1F1F"/>
                <w:sz w:val="18"/>
              </w:rPr>
              <w:t>Higher support-ticket counts may coincide with higher churn.</w:t>
            </w:r>
          </w:p>
        </w:tc>
      </w:tr>
      <w:tr>
        <w:tc>
          <w:tcPr>
            <w:tcW w:type="dxa" w:w="2448"/>
            <w:vAlign w:val="center"/>
            <w:shd w:fill="EAF2F8"/>
          </w:tcPr>
          <w:p>
            <w:r/>
            <w:r>
              <w:rPr>
                <w:b w:val="0"/>
                <w:color w:val="1F1F1F"/>
                <w:sz w:val="18"/>
              </w:rPr>
              <w:t>Which numeric variables are correlated?</w:t>
            </w:r>
          </w:p>
        </w:tc>
        <w:tc>
          <w:tcPr>
            <w:tcW w:type="dxa" w:w="2232"/>
            <w:vAlign w:val="center"/>
            <w:shd w:fill="EAF2F8"/>
          </w:tcPr>
          <w:p>
            <w:r/>
            <w:r>
              <w:rPr>
                <w:b w:val="0"/>
                <w:color w:val="1F1F1F"/>
                <w:sz w:val="18"/>
              </w:rPr>
              <w:t>Correlation heatmap</w:t>
            </w:r>
          </w:p>
        </w:tc>
        <w:tc>
          <w:tcPr>
            <w:tcW w:type="dxa" w:w="2952"/>
            <w:vAlign w:val="center"/>
            <w:shd w:fill="EAF2F8"/>
          </w:tcPr>
          <w:p>
            <w:r/>
            <w:r>
              <w:rPr>
                <w:b w:val="0"/>
                <w:color w:val="1F1F1F"/>
                <w:sz w:val="18"/>
              </w:rPr>
              <w:t>Compact matrix view</w:t>
            </w:r>
          </w:p>
        </w:tc>
        <w:tc>
          <w:tcPr>
            <w:tcW w:type="dxa" w:w="3168"/>
            <w:vAlign w:val="center"/>
            <w:shd w:fill="EAF2F8"/>
          </w:tcPr>
          <w:p>
            <w:r/>
            <w:r>
              <w:rPr>
                <w:b w:val="0"/>
                <w:color w:val="1F1F1F"/>
                <w:sz w:val="18"/>
              </w:rPr>
              <w:t>Values near +1 or −1 indicate strong linear association.</w:t>
            </w:r>
          </w:p>
        </w:tc>
      </w:tr>
      <w:tr>
        <w:tc>
          <w:tcPr>
            <w:tcW w:type="dxa" w:w="2448"/>
            <w:vAlign w:val="center"/>
          </w:tcPr>
          <w:p>
            <w:r/>
            <w:r>
              <w:rPr>
                <w:b w:val="0"/>
                <w:color w:val="1F1F1F"/>
                <w:sz w:val="18"/>
              </w:rPr>
              <w:t>How do multiple numeric features interact?</w:t>
            </w:r>
          </w:p>
        </w:tc>
        <w:tc>
          <w:tcPr>
            <w:tcW w:type="dxa" w:w="2232"/>
            <w:vAlign w:val="center"/>
          </w:tcPr>
          <w:p>
            <w:r/>
            <w:r>
              <w:rPr>
                <w:b w:val="0"/>
                <w:color w:val="1F1F1F"/>
                <w:sz w:val="18"/>
              </w:rPr>
              <w:t>Pairplot (small subset)</w:t>
            </w:r>
          </w:p>
        </w:tc>
        <w:tc>
          <w:tcPr>
            <w:tcW w:type="dxa" w:w="2952"/>
            <w:vAlign w:val="center"/>
          </w:tcPr>
          <w:p>
            <w:r/>
            <w:r>
              <w:rPr>
                <w:b w:val="0"/>
                <w:color w:val="1F1F1F"/>
                <w:sz w:val="18"/>
              </w:rPr>
              <w:t>Reveals clusters and class separation</w:t>
            </w:r>
          </w:p>
        </w:tc>
        <w:tc>
          <w:tcPr>
            <w:tcW w:type="dxa" w:w="3168"/>
            <w:vAlign w:val="center"/>
          </w:tcPr>
          <w:p>
            <w:r/>
            <w:r>
              <w:rPr>
                <w:b w:val="0"/>
                <w:color w:val="1F1F1F"/>
                <w:sz w:val="18"/>
              </w:rPr>
              <w:t>Churn classes may overlap heavily, suggesting nonlinear effects.</w:t>
            </w:r>
          </w:p>
        </w:tc>
      </w:tr>
    </w:tbl>
    <w:p/>
    <w:p>
      <w:pPr>
        <w:pStyle w:val="Heading2"/>
      </w:pPr>
      <w:r>
        <w:t>5.1 Worked Visualization Examples (Illustrative)</w:t>
      </w:r>
    </w:p>
    <w:p>
      <w:r>
        <w:t>Example 1 — churn-rate comparison: suppose Monthly = 27%, Annual = 12%, Two-year = 6%. The chart should show percentages rather than raw counts so categories of different sizes are comparable. The conclusion would be: contract structure appears associated with churn, but association is not proof of causation.</w:t>
      </w:r>
    </w:p>
    <w:p>
      <w:r>
        <w:t>Example 2 — missingness: if payment_method has 3.8% missingness and contract_type has 1.1%, a bar chart can make the difference obvious. The action could be to treat the former as a moderate data-quality issue and validate whether missing values are concentrated in a particular customer segment.</w:t>
      </w:r>
    </w:p>
    <w:p>
      <w:r>
        <w:t>Example 3 — correlation: an illustrative correlation of +0.62 between monthly_charges and total_charges would indicate a moderately strong positive linear relationship. It would not imply that one variable causes the other; it would instead inform feature redundancy and interpretation.</w:t>
      </w:r>
    </w:p>
    <w:p>
      <w:pPr>
        <w:pStyle w:val="Heading1"/>
      </w:pPr>
      <w:r>
        <w:t>6. Python Tools and Libraries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b/>
                <w:color w:val="FFFFFF"/>
                <w:sz w:val="19"/>
              </w:rPr>
              <w:t>Tool</w:t>
            </w:r>
          </w:p>
        </w:tc>
        <w:tc>
          <w:tcPr>
            <w:tcW w:type="dxa" w:w="4320"/>
            <w:vAlign w:val="center"/>
            <w:shd w:fill="1F4E78"/>
          </w:tcPr>
          <w:p>
            <w:r/>
            <w:r>
              <w:rPr>
                <w:b/>
                <w:color w:val="FFFFFF"/>
                <w:sz w:val="19"/>
              </w:rPr>
              <w:t>Primary Use in EDA</w:t>
            </w:r>
          </w:p>
        </w:tc>
        <w:tc>
          <w:tcPr>
            <w:tcW w:type="dxa" w:w="4320"/>
            <w:vAlign w:val="center"/>
            <w:shd w:fill="1F4E78"/>
          </w:tcPr>
          <w:p>
            <w:r/>
            <w:r>
              <w:rPr>
                <w:b/>
                <w:color w:val="FFFFFF"/>
                <w:sz w:val="19"/>
              </w:rPr>
              <w:t>Planned Example</w:t>
            </w:r>
          </w:p>
        </w:tc>
      </w:tr>
      <w:tr>
        <w:tc>
          <w:tcPr>
            <w:tcW w:type="dxa" w:w="1872"/>
            <w:vAlign w:val="center"/>
            <w:shd w:fill="EAF2F8"/>
          </w:tcPr>
          <w:p>
            <w:r/>
            <w:r>
              <w:rPr>
                <w:b w:val="0"/>
                <w:color w:val="1F1F1F"/>
                <w:sz w:val="18"/>
              </w:rPr>
              <w:t>pandas</w:t>
            </w:r>
          </w:p>
        </w:tc>
        <w:tc>
          <w:tcPr>
            <w:tcW w:type="dxa" w:w="4320"/>
            <w:vAlign w:val="center"/>
            <w:shd w:fill="EAF2F8"/>
          </w:tcPr>
          <w:p>
            <w:r/>
            <w:r>
              <w:rPr>
                <w:b w:val="0"/>
                <w:color w:val="1F1F1F"/>
                <w:sz w:val="18"/>
              </w:rPr>
              <w:t>Loading, cleaning, grouping, summarizing</w:t>
            </w:r>
          </w:p>
        </w:tc>
        <w:tc>
          <w:tcPr>
            <w:tcW w:type="dxa" w:w="4320"/>
            <w:vAlign w:val="center"/>
            <w:shd w:fill="EAF2F8"/>
          </w:tcPr>
          <w:p>
            <w:r/>
            <w:r>
              <w:rPr>
                <w:b w:val="0"/>
                <w:color w:val="1F1F1F"/>
                <w:sz w:val="18"/>
              </w:rPr>
              <w:t>read_csv(), info(), groupby(), pivot_table()</w:t>
            </w:r>
          </w:p>
        </w:tc>
      </w:tr>
      <w:tr>
        <w:tc>
          <w:tcPr>
            <w:tcW w:type="dxa" w:w="1872"/>
            <w:vAlign w:val="center"/>
          </w:tcPr>
          <w:p>
            <w:r/>
            <w:r>
              <w:rPr>
                <w:b w:val="0"/>
                <w:color w:val="1F1F1F"/>
                <w:sz w:val="18"/>
              </w:rPr>
              <w:t>NumPy</w:t>
            </w:r>
          </w:p>
        </w:tc>
        <w:tc>
          <w:tcPr>
            <w:tcW w:type="dxa" w:w="4320"/>
            <w:vAlign w:val="center"/>
          </w:tcPr>
          <w:p>
            <w:r/>
            <w:r>
              <w:rPr>
                <w:b w:val="0"/>
                <w:color w:val="1F1F1F"/>
                <w:sz w:val="18"/>
              </w:rPr>
              <w:t>Numerical operations and missing-value-safe calculations</w:t>
            </w:r>
          </w:p>
        </w:tc>
        <w:tc>
          <w:tcPr>
            <w:tcW w:type="dxa" w:w="4320"/>
            <w:vAlign w:val="center"/>
          </w:tcPr>
          <w:p>
            <w:r/>
            <w:r>
              <w:rPr>
                <w:b w:val="0"/>
                <w:color w:val="1F1F1F"/>
                <w:sz w:val="18"/>
              </w:rPr>
              <w:t>percentile(), where(), log transforms</w:t>
            </w:r>
          </w:p>
        </w:tc>
      </w:tr>
      <w:tr>
        <w:tc>
          <w:tcPr>
            <w:tcW w:type="dxa" w:w="1872"/>
            <w:vAlign w:val="center"/>
            <w:shd w:fill="EAF2F8"/>
          </w:tcPr>
          <w:p>
            <w:r/>
            <w:r>
              <w:rPr>
                <w:b w:val="0"/>
                <w:color w:val="1F1F1F"/>
                <w:sz w:val="18"/>
              </w:rPr>
              <w:t>Matplotlib</w:t>
            </w:r>
          </w:p>
        </w:tc>
        <w:tc>
          <w:tcPr>
            <w:tcW w:type="dxa" w:w="4320"/>
            <w:vAlign w:val="center"/>
            <w:shd w:fill="EAF2F8"/>
          </w:tcPr>
          <w:p>
            <w:r/>
            <w:r>
              <w:rPr>
                <w:b w:val="0"/>
                <w:color w:val="1F1F1F"/>
                <w:sz w:val="18"/>
              </w:rPr>
              <w:t>Core plotting and fine-grained customization</w:t>
            </w:r>
          </w:p>
        </w:tc>
        <w:tc>
          <w:tcPr>
            <w:tcW w:type="dxa" w:w="4320"/>
            <w:vAlign w:val="center"/>
            <w:shd w:fill="EAF2F8"/>
          </w:tcPr>
          <w:p>
            <w:r/>
            <w:r>
              <w:rPr>
                <w:b w:val="0"/>
                <w:color w:val="1F1F1F"/>
                <w:sz w:val="18"/>
              </w:rPr>
              <w:t>hist(), bar(), scatter(), subplots()</w:t>
            </w:r>
          </w:p>
        </w:tc>
      </w:tr>
      <w:tr>
        <w:tc>
          <w:tcPr>
            <w:tcW w:type="dxa" w:w="1872"/>
            <w:vAlign w:val="center"/>
          </w:tcPr>
          <w:p>
            <w:r/>
            <w:r>
              <w:rPr>
                <w:b w:val="0"/>
                <w:color w:val="1F1F1F"/>
                <w:sz w:val="18"/>
              </w:rPr>
              <w:t>Seaborn</w:t>
            </w:r>
          </w:p>
        </w:tc>
        <w:tc>
          <w:tcPr>
            <w:tcW w:type="dxa" w:w="4320"/>
            <w:vAlign w:val="center"/>
          </w:tcPr>
          <w:p>
            <w:r/>
            <w:r>
              <w:rPr>
                <w:b w:val="0"/>
                <w:color w:val="1F1F1F"/>
                <w:sz w:val="18"/>
              </w:rPr>
              <w:t>Statistical plots with concise syntax</w:t>
            </w:r>
          </w:p>
        </w:tc>
        <w:tc>
          <w:tcPr>
            <w:tcW w:type="dxa" w:w="4320"/>
            <w:vAlign w:val="center"/>
          </w:tcPr>
          <w:p>
            <w:r/>
            <w:r>
              <w:rPr>
                <w:b w:val="0"/>
                <w:color w:val="1F1F1F"/>
                <w:sz w:val="18"/>
              </w:rPr>
              <w:t>boxplot(), heatmap(), pairplot(), countplot()</w:t>
            </w:r>
          </w:p>
        </w:tc>
      </w:tr>
      <w:tr>
        <w:tc>
          <w:tcPr>
            <w:tcW w:type="dxa" w:w="1872"/>
            <w:vAlign w:val="center"/>
            <w:shd w:fill="EAF2F8"/>
          </w:tcPr>
          <w:p>
            <w:r/>
            <w:r>
              <w:rPr>
                <w:b w:val="0"/>
                <w:color w:val="1F1F1F"/>
                <w:sz w:val="18"/>
              </w:rPr>
              <w:t>Plotly</w:t>
            </w:r>
          </w:p>
        </w:tc>
        <w:tc>
          <w:tcPr>
            <w:tcW w:type="dxa" w:w="4320"/>
            <w:vAlign w:val="center"/>
            <w:shd w:fill="EAF2F8"/>
          </w:tcPr>
          <w:p>
            <w:r/>
            <w:r>
              <w:rPr>
                <w:b w:val="0"/>
                <w:color w:val="1F1F1F"/>
                <w:sz w:val="18"/>
              </w:rPr>
              <w:t>Interactive charts for exploratory review</w:t>
            </w:r>
          </w:p>
        </w:tc>
        <w:tc>
          <w:tcPr>
            <w:tcW w:type="dxa" w:w="4320"/>
            <w:vAlign w:val="center"/>
            <w:shd w:fill="EAF2F8"/>
          </w:tcPr>
          <w:p>
            <w:r/>
            <w:r>
              <w:rPr>
                <w:b w:val="0"/>
                <w:color w:val="1F1F1F"/>
                <w:sz w:val="18"/>
              </w:rPr>
              <w:t>px.scatter(), px.histogram()</w:t>
            </w:r>
          </w:p>
        </w:tc>
      </w:tr>
      <w:tr>
        <w:tc>
          <w:tcPr>
            <w:tcW w:type="dxa" w:w="1872"/>
            <w:vAlign w:val="center"/>
          </w:tcPr>
          <w:p>
            <w:r/>
            <w:r>
              <w:rPr>
                <w:b w:val="0"/>
                <w:color w:val="1F1F1F"/>
                <w:sz w:val="18"/>
              </w:rPr>
              <w:t>Jupyter Notebook</w:t>
            </w:r>
          </w:p>
        </w:tc>
        <w:tc>
          <w:tcPr>
            <w:tcW w:type="dxa" w:w="4320"/>
            <w:vAlign w:val="center"/>
          </w:tcPr>
          <w:p>
            <w:r/>
            <w:r>
              <w:rPr>
                <w:b w:val="0"/>
                <w:color w:val="1F1F1F"/>
                <w:sz w:val="18"/>
              </w:rPr>
              <w:t>Narrative analysis, code, charts, and conclusions</w:t>
            </w:r>
          </w:p>
        </w:tc>
        <w:tc>
          <w:tcPr>
            <w:tcW w:type="dxa" w:w="4320"/>
            <w:vAlign w:val="center"/>
          </w:tcPr>
          <w:p>
            <w:r/>
            <w:r>
              <w:rPr>
                <w:b w:val="0"/>
                <w:color w:val="1F1F1F"/>
                <w:sz w:val="18"/>
              </w:rPr>
              <w:t>One notebook with ordered sections and Markdown</w:t>
            </w:r>
          </w:p>
        </w:tc>
      </w:tr>
      <w:tr>
        <w:tc>
          <w:tcPr>
            <w:tcW w:type="dxa" w:w="1872"/>
            <w:vAlign w:val="center"/>
            <w:shd w:fill="EAF2F8"/>
          </w:tcPr>
          <w:p>
            <w:r/>
            <w:r>
              <w:rPr>
                <w:b w:val="0"/>
                <w:color w:val="1F1F1F"/>
                <w:sz w:val="18"/>
              </w:rPr>
              <w:t>SciPy (optional)</w:t>
            </w:r>
          </w:p>
        </w:tc>
        <w:tc>
          <w:tcPr>
            <w:tcW w:type="dxa" w:w="4320"/>
            <w:vAlign w:val="center"/>
            <w:shd w:fill="EAF2F8"/>
          </w:tcPr>
          <w:p>
            <w:r/>
            <w:r>
              <w:rPr>
                <w:b w:val="0"/>
                <w:color w:val="1F1F1F"/>
                <w:sz w:val="18"/>
              </w:rPr>
              <w:t>Statistical tests when justified</w:t>
            </w:r>
          </w:p>
        </w:tc>
        <w:tc>
          <w:tcPr>
            <w:tcW w:type="dxa" w:w="4320"/>
            <w:vAlign w:val="center"/>
            <w:shd w:fill="EAF2F8"/>
          </w:tcPr>
          <w:p>
            <w:r/>
            <w:r>
              <w:rPr>
                <w:b w:val="0"/>
                <w:color w:val="1F1F1F"/>
                <w:sz w:val="18"/>
              </w:rPr>
              <w:t>spearmanr(), distributions</w:t>
            </w:r>
          </w:p>
        </w:tc>
      </w:tr>
      <w:tr>
        <w:tc>
          <w:tcPr>
            <w:tcW w:type="dxa" w:w="1872"/>
            <w:vAlign w:val="center"/>
          </w:tcPr>
          <w:p>
            <w:r/>
            <w:r>
              <w:rPr>
                <w:b w:val="0"/>
                <w:color w:val="1F1F1F"/>
                <w:sz w:val="18"/>
              </w:rPr>
              <w:t>OpenPyXL (optional)</w:t>
            </w:r>
          </w:p>
        </w:tc>
        <w:tc>
          <w:tcPr>
            <w:tcW w:type="dxa" w:w="4320"/>
            <w:vAlign w:val="center"/>
          </w:tcPr>
          <w:p>
            <w:r/>
            <w:r>
              <w:rPr>
                <w:b w:val="0"/>
                <w:color w:val="1F1F1F"/>
                <w:sz w:val="18"/>
              </w:rPr>
              <w:t>Reading/writing Excel-based input/output</w:t>
            </w:r>
          </w:p>
        </w:tc>
        <w:tc>
          <w:tcPr>
            <w:tcW w:type="dxa" w:w="4320"/>
            <w:vAlign w:val="center"/>
          </w:tcPr>
          <w:p>
            <w:r/>
            <w:r>
              <w:rPr>
                <w:b w:val="0"/>
                <w:color w:val="1F1F1F"/>
                <w:sz w:val="18"/>
              </w:rPr>
              <w:t>Validation checks for spreadsheet sources</w:t>
            </w:r>
          </w:p>
        </w:tc>
      </w:tr>
    </w:tbl>
    <w:p/>
    <w:p>
      <w:pPr>
        <w:pStyle w:val="Heading2"/>
      </w:pPr>
      <w:r>
        <w:t>6.1 Representative Plotting Snippets</w:t>
      </w:r>
    </w:p>
    <w:p>
      <w:pPr>
        <w:pStyle w:val="NoSpacing"/>
        <w:ind w:left="360" w:right="360"/>
      </w:pPr>
      <w:r>
        <w:rPr>
          <w:rFonts w:ascii="Consolas" w:hAnsi="Consolas"/>
          <w:sz w:val="18"/>
        </w:rPr>
        <w:t>import pandas as pd</w:t>
        <w:br/>
        <w:t>import seaborn as sns</w:t>
        <w:br/>
        <w:t>import matplotlib.pyplot as plt</w:t>
        <w:br/>
        <w:br/>
        <w:t># Distribution</w:t>
        <w:br/>
        <w:t>sns.histplot(df['monthly_charges'], kde=True)</w:t>
        <w:br/>
        <w:t>plt.title('Distribution of Monthly Charges')</w:t>
        <w:br/>
        <w:t>plt.xlabel('Monthly Charges')</w:t>
        <w:br/>
        <w:t>plt.ylabel('Customer Count')</w:t>
        <w:br/>
        <w:t>plt.show()</w:t>
      </w:r>
    </w:p>
    <w:p>
      <w:pPr>
        <w:pStyle w:val="NoSpacing"/>
        <w:ind w:left="360" w:right="360"/>
      </w:pPr>
      <w:r>
        <w:rPr>
          <w:rFonts w:ascii="Consolas" w:hAnsi="Consolas"/>
          <w:sz w:val="18"/>
        </w:rPr>
        <w:t># Churn rate by contract</w:t>
        <w:br/>
        <w:t>churn_rate = df.groupby('contract_type')['churn'].mean().sort_values(ascending=False)</w:t>
        <w:br/>
        <w:t>churn_rate.plot(kind='bar')</w:t>
        <w:br/>
        <w:t>plt.ylabel('Churn Rate')</w:t>
        <w:br/>
        <w:t>plt.title('Illustrative Churn Rate by Contract Type')</w:t>
        <w:br/>
        <w:t>plt.show()</w:t>
      </w:r>
    </w:p>
    <w:p>
      <w:pPr>
        <w:pStyle w:val="Heading1"/>
      </w:pPr>
      <w:r>
        <w:t>7. Reporting and Documentation Plan</w:t>
      </w:r>
    </w:p>
    <w:p>
      <w:pPr>
        <w:pStyle w:val="ListBullet"/>
        <w:spacing w:after="60"/>
      </w:pPr>
      <w:r>
        <w:t>Executive Summary: one paragraph describing the dataset, key EDA findings, and business implications.</w:t>
      </w:r>
    </w:p>
    <w:p>
      <w:pPr>
        <w:pStyle w:val="ListBullet"/>
        <w:spacing w:after="60"/>
      </w:pPr>
      <w:r>
        <w:t>Data Overview: source, record count, variable definitions, data types, target definition, and quality checks.</w:t>
      </w:r>
    </w:p>
    <w:p>
      <w:pPr>
        <w:pStyle w:val="ListBullet"/>
        <w:spacing w:after="60"/>
      </w:pPr>
      <w:r>
        <w:t>Data Quality: missingness table, duplicate check, outlier policy, and any transformations.</w:t>
      </w:r>
    </w:p>
    <w:p>
      <w:pPr>
        <w:pStyle w:val="ListBullet"/>
        <w:spacing w:after="60"/>
      </w:pPr>
      <w:r>
        <w:t>Univariate Findings: major distributions, skewness, category frequencies, and target balance.</w:t>
      </w:r>
    </w:p>
    <w:p>
      <w:pPr>
        <w:pStyle w:val="ListBullet"/>
        <w:spacing w:after="60"/>
      </w:pPr>
      <w:r>
        <w:t>Relationship Findings: strongest associations, group differences, and relevant caveats.</w:t>
      </w:r>
    </w:p>
    <w:p>
      <w:pPr>
        <w:pStyle w:val="ListBullet"/>
        <w:spacing w:after="60"/>
      </w:pPr>
      <w:r>
        <w:t>Visualization Gallery: final charts with titles, captions, and one-sentence insights.</w:t>
      </w:r>
    </w:p>
    <w:p>
      <w:pPr>
        <w:pStyle w:val="ListBullet"/>
        <w:spacing w:after="60"/>
      </w:pPr>
      <w:r>
        <w:t>Business Interpretation: translate statistical patterns into practical observations without claiming causation.</w:t>
      </w:r>
    </w:p>
    <w:p>
      <w:pPr>
        <w:pStyle w:val="ListBullet"/>
        <w:spacing w:after="60"/>
      </w:pPr>
      <w:r>
        <w:t>Limitations and Next Steps: sampling risk, missing fields, leakage risk, bias, and modeling recommendations.</w:t>
      </w:r>
    </w:p>
    <w:p>
      <w:pPr>
        <w:pStyle w:val="ListBullet"/>
        <w:spacing w:after="60"/>
      </w:pPr>
      <w:r>
        <w:t>Reproducibility: keep source code, environment/library versions, and a fixed notebook section order.</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F4E78"/>
          </w:tcPr>
          <w:p>
            <w:r/>
            <w:r>
              <w:rPr>
                <w:b/>
                <w:color w:val="FFFFFF"/>
                <w:sz w:val="19"/>
              </w:rPr>
              <w:t>QA Check</w:t>
            </w:r>
          </w:p>
        </w:tc>
        <w:tc>
          <w:tcPr>
            <w:tcW w:type="dxa" w:w="4608"/>
            <w:vAlign w:val="center"/>
            <w:shd w:fill="1F4E78"/>
          </w:tcPr>
          <w:p>
            <w:r/>
            <w:r>
              <w:rPr>
                <w:b/>
                <w:color w:val="FFFFFF"/>
                <w:sz w:val="19"/>
              </w:rPr>
              <w:t>Pass Condition</w:t>
            </w:r>
          </w:p>
        </w:tc>
        <w:tc>
          <w:tcPr>
            <w:tcW w:type="dxa" w:w="3672"/>
            <w:vAlign w:val="center"/>
            <w:shd w:fill="1F4E78"/>
          </w:tcPr>
          <w:p>
            <w:r/>
            <w:r>
              <w:rPr>
                <w:b/>
                <w:color w:val="FFFFFF"/>
                <w:sz w:val="19"/>
              </w:rPr>
              <w:t>Example Evidence</w:t>
            </w:r>
          </w:p>
        </w:tc>
      </w:tr>
      <w:tr>
        <w:tc>
          <w:tcPr>
            <w:tcW w:type="dxa" w:w="2232"/>
            <w:vAlign w:val="center"/>
            <w:shd w:fill="EAF2F8"/>
          </w:tcPr>
          <w:p>
            <w:r/>
            <w:r>
              <w:rPr>
                <w:b w:val="0"/>
                <w:color w:val="1F1F1F"/>
                <w:sz w:val="18"/>
              </w:rPr>
              <w:t>Missing values</w:t>
            </w:r>
          </w:p>
        </w:tc>
        <w:tc>
          <w:tcPr>
            <w:tcW w:type="dxa" w:w="4608"/>
            <w:vAlign w:val="center"/>
            <w:shd w:fill="EAF2F8"/>
          </w:tcPr>
          <w:p>
            <w:r/>
            <w:r>
              <w:rPr>
                <w:b w:val="0"/>
                <w:color w:val="1F1F1F"/>
                <w:sz w:val="18"/>
              </w:rPr>
              <w:t>Every column has a documented missingness decision</w:t>
            </w:r>
          </w:p>
        </w:tc>
        <w:tc>
          <w:tcPr>
            <w:tcW w:type="dxa" w:w="3672"/>
            <w:vAlign w:val="center"/>
            <w:shd w:fill="EAF2F8"/>
          </w:tcPr>
          <w:p>
            <w:r/>
            <w:r>
              <w:rPr>
                <w:b w:val="0"/>
                <w:color w:val="1F1F1F"/>
                <w:sz w:val="18"/>
              </w:rPr>
              <w:t>Missingness table + treatment note</w:t>
            </w:r>
          </w:p>
        </w:tc>
      </w:tr>
      <w:tr>
        <w:tc>
          <w:tcPr>
            <w:tcW w:type="dxa" w:w="2232"/>
            <w:vAlign w:val="center"/>
          </w:tcPr>
          <w:p>
            <w:r/>
            <w:r>
              <w:rPr>
                <w:b w:val="0"/>
                <w:color w:val="1F1F1F"/>
                <w:sz w:val="18"/>
              </w:rPr>
              <w:t>Duplicates</w:t>
            </w:r>
          </w:p>
        </w:tc>
        <w:tc>
          <w:tcPr>
            <w:tcW w:type="dxa" w:w="4608"/>
            <w:vAlign w:val="center"/>
          </w:tcPr>
          <w:p>
            <w:r/>
            <w:r>
              <w:rPr>
                <w:b w:val="0"/>
                <w:color w:val="1F1F1F"/>
                <w:sz w:val="18"/>
              </w:rPr>
              <w:t>Duplicate identifiers reviewed</w:t>
            </w:r>
          </w:p>
        </w:tc>
        <w:tc>
          <w:tcPr>
            <w:tcW w:type="dxa" w:w="3672"/>
            <w:vAlign w:val="center"/>
          </w:tcPr>
          <w:p>
            <w:r/>
            <w:r>
              <w:rPr>
                <w:b w:val="0"/>
                <w:color w:val="1F1F1F"/>
                <w:sz w:val="18"/>
              </w:rPr>
              <w:t>Count and action recorded</w:t>
            </w:r>
          </w:p>
        </w:tc>
      </w:tr>
      <w:tr>
        <w:tc>
          <w:tcPr>
            <w:tcW w:type="dxa" w:w="2232"/>
            <w:vAlign w:val="center"/>
            <w:shd w:fill="EAF2F8"/>
          </w:tcPr>
          <w:p>
            <w:r/>
            <w:r>
              <w:rPr>
                <w:b w:val="0"/>
                <w:color w:val="1F1F1F"/>
                <w:sz w:val="18"/>
              </w:rPr>
              <w:t>Data types</w:t>
            </w:r>
          </w:p>
        </w:tc>
        <w:tc>
          <w:tcPr>
            <w:tcW w:type="dxa" w:w="4608"/>
            <w:vAlign w:val="center"/>
            <w:shd w:fill="EAF2F8"/>
          </w:tcPr>
          <w:p>
            <w:r/>
            <w:r>
              <w:rPr>
                <w:b w:val="0"/>
                <w:color w:val="1F1F1F"/>
                <w:sz w:val="18"/>
              </w:rPr>
              <w:t>Types match data dictionary</w:t>
            </w:r>
          </w:p>
        </w:tc>
        <w:tc>
          <w:tcPr>
            <w:tcW w:type="dxa" w:w="3672"/>
            <w:vAlign w:val="center"/>
            <w:shd w:fill="EAF2F8"/>
          </w:tcPr>
          <w:p>
            <w:r/>
            <w:r>
              <w:rPr>
                <w:b w:val="0"/>
                <w:color w:val="1F1F1F"/>
                <w:sz w:val="18"/>
              </w:rPr>
              <w:t>df.dtypes output</w:t>
            </w:r>
          </w:p>
        </w:tc>
      </w:tr>
      <w:tr>
        <w:tc>
          <w:tcPr>
            <w:tcW w:type="dxa" w:w="2232"/>
            <w:vAlign w:val="center"/>
          </w:tcPr>
          <w:p>
            <w:r/>
            <w:r>
              <w:rPr>
                <w:b w:val="0"/>
                <w:color w:val="1F1F1F"/>
                <w:sz w:val="18"/>
              </w:rPr>
              <w:t>Outliers</w:t>
            </w:r>
          </w:p>
        </w:tc>
        <w:tc>
          <w:tcPr>
            <w:tcW w:type="dxa" w:w="4608"/>
            <w:vAlign w:val="center"/>
          </w:tcPr>
          <w:p>
            <w:r/>
            <w:r>
              <w:rPr>
                <w:b w:val="0"/>
                <w:color w:val="1F1F1F"/>
                <w:sz w:val="18"/>
              </w:rPr>
              <w:t>Extreme values are investigated, not blindly removed</w:t>
            </w:r>
          </w:p>
        </w:tc>
        <w:tc>
          <w:tcPr>
            <w:tcW w:type="dxa" w:w="3672"/>
            <w:vAlign w:val="center"/>
          </w:tcPr>
          <w:p>
            <w:r/>
            <w:r>
              <w:rPr>
                <w:b w:val="0"/>
                <w:color w:val="1F1F1F"/>
                <w:sz w:val="18"/>
              </w:rPr>
              <w:t>IQR/percentile notes + chart</w:t>
            </w:r>
          </w:p>
        </w:tc>
      </w:tr>
      <w:tr>
        <w:tc>
          <w:tcPr>
            <w:tcW w:type="dxa" w:w="2232"/>
            <w:vAlign w:val="center"/>
            <w:shd w:fill="EAF2F8"/>
          </w:tcPr>
          <w:p>
            <w:r/>
            <w:r>
              <w:rPr>
                <w:b w:val="0"/>
                <w:color w:val="1F1F1F"/>
                <w:sz w:val="18"/>
              </w:rPr>
              <w:t>Charts</w:t>
            </w:r>
          </w:p>
        </w:tc>
        <w:tc>
          <w:tcPr>
            <w:tcW w:type="dxa" w:w="4608"/>
            <w:vAlign w:val="center"/>
            <w:shd w:fill="EAF2F8"/>
          </w:tcPr>
          <w:p>
            <w:r/>
            <w:r>
              <w:rPr>
                <w:b w:val="0"/>
                <w:color w:val="1F1F1F"/>
                <w:sz w:val="18"/>
              </w:rPr>
              <w:t>Each figure has title, labels, units, interpretation</w:t>
            </w:r>
          </w:p>
        </w:tc>
        <w:tc>
          <w:tcPr>
            <w:tcW w:type="dxa" w:w="3672"/>
            <w:vAlign w:val="center"/>
            <w:shd w:fill="EAF2F8"/>
          </w:tcPr>
          <w:p>
            <w:r/>
            <w:r>
              <w:rPr>
                <w:b w:val="0"/>
                <w:color w:val="1F1F1F"/>
                <w:sz w:val="18"/>
              </w:rPr>
              <w:t>Annotated chart gallery</w:t>
            </w:r>
          </w:p>
        </w:tc>
      </w:tr>
      <w:tr>
        <w:tc>
          <w:tcPr>
            <w:tcW w:type="dxa" w:w="2232"/>
            <w:vAlign w:val="center"/>
          </w:tcPr>
          <w:p>
            <w:r/>
            <w:r>
              <w:rPr>
                <w:b w:val="0"/>
                <w:color w:val="1F1F1F"/>
                <w:sz w:val="18"/>
              </w:rPr>
              <w:t>Reproducibility</w:t>
            </w:r>
          </w:p>
        </w:tc>
        <w:tc>
          <w:tcPr>
            <w:tcW w:type="dxa" w:w="4608"/>
            <w:vAlign w:val="center"/>
          </w:tcPr>
          <w:p>
            <w:r/>
            <w:r>
              <w:rPr>
                <w:b w:val="0"/>
                <w:color w:val="1F1F1F"/>
                <w:sz w:val="18"/>
              </w:rPr>
              <w:t>Notebook runs top-to-bottom without manual steps</w:t>
            </w:r>
          </w:p>
        </w:tc>
        <w:tc>
          <w:tcPr>
            <w:tcW w:type="dxa" w:w="3672"/>
            <w:vAlign w:val="center"/>
          </w:tcPr>
          <w:p>
            <w:r/>
            <w:r>
              <w:rPr>
                <w:b w:val="0"/>
                <w:color w:val="1F1F1F"/>
                <w:sz w:val="18"/>
              </w:rPr>
              <w:t>Kernel restart + Run All test</w:t>
            </w:r>
          </w:p>
        </w:tc>
      </w:tr>
    </w:tbl>
    <w:p/>
    <w:p>
      <w:pPr>
        <w:pStyle w:val="Heading1"/>
      </w:pPr>
      <w:r>
        <w:t>8. 32-Hour Work Plan</w:t>
      </w:r>
    </w:p>
    <w:p>
      <w:r>
        <w:drawing>
          <wp:inline xmlns:a="http://schemas.openxmlformats.org/drawingml/2006/main" xmlns:pic="http://schemas.openxmlformats.org/drawingml/2006/picture">
            <wp:extent cx="5989320" cy="2139043"/>
            <wp:docPr id="3" name="Picture 3"/>
            <wp:cNvGraphicFramePr>
              <a:graphicFrameLocks noChangeAspect="1"/>
            </wp:cNvGraphicFramePr>
            <a:graphic>
              <a:graphicData uri="http://schemas.openxmlformats.org/drawingml/2006/picture">
                <pic:pic>
                  <pic:nvPicPr>
                    <pic:cNvPr id="0" name="eda_timeline.png"/>
                    <pic:cNvPicPr/>
                  </pic:nvPicPr>
                  <pic:blipFill>
                    <a:blip r:embed="rId12"/>
                    <a:stretch>
                      <a:fillRect/>
                    </a:stretch>
                  </pic:blipFill>
                  <pic:spPr>
                    <a:xfrm>
                      <a:off x="0" y="0"/>
                      <a:ext cx="5989320" cy="2139043"/>
                    </a:xfrm>
                    <a:prstGeom prst="rect"/>
                  </pic:spPr>
                </pic:pic>
              </a:graphicData>
            </a:graphic>
          </wp:inline>
        </w:drawing>
      </w:r>
    </w:p>
    <w:p>
      <w:pPr>
        <w:jc w:val="center"/>
      </w:pPr>
      <w:r>
        <w:rPr>
          <w:i/>
          <w:color w:val="5A5A5A"/>
          <w:sz w:val="18"/>
        </w:rPr>
        <w:t>Figure 3. Illustrative allocation totaling 32 hours.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1F4E78"/>
          </w:tcPr>
          <w:p>
            <w:r/>
            <w:r>
              <w:rPr>
                <w:b/>
                <w:color w:val="FFFFFF"/>
                <w:sz w:val="19"/>
              </w:rPr>
              <w:t>Stage</w:t>
            </w:r>
          </w:p>
        </w:tc>
        <w:tc>
          <w:tcPr>
            <w:tcW w:type="dxa" w:w="1008"/>
            <w:vAlign w:val="center"/>
            <w:shd w:fill="1F4E78"/>
          </w:tcPr>
          <w:p>
            <w:r/>
            <w:r>
              <w:rPr>
                <w:b/>
                <w:color w:val="FFFFFF"/>
                <w:sz w:val="19"/>
              </w:rPr>
              <w:t>Hours</w:t>
            </w:r>
          </w:p>
        </w:tc>
        <w:tc>
          <w:tcPr>
            <w:tcW w:type="dxa" w:w="4752"/>
            <w:vAlign w:val="center"/>
            <w:shd w:fill="1F4E78"/>
          </w:tcPr>
          <w:p>
            <w:r/>
            <w:r>
              <w:rPr>
                <w:b/>
                <w:color w:val="FFFFFF"/>
                <w:sz w:val="19"/>
              </w:rPr>
              <w:t>Activities</w:t>
            </w:r>
          </w:p>
        </w:tc>
        <w:tc>
          <w:tcPr>
            <w:tcW w:type="dxa" w:w="2952"/>
            <w:vAlign w:val="center"/>
            <w:shd w:fill="1F4E78"/>
          </w:tcPr>
          <w:p>
            <w:r/>
            <w:r>
              <w:rPr>
                <w:b/>
                <w:color w:val="FFFFFF"/>
                <w:sz w:val="19"/>
              </w:rPr>
              <w:t>Output</w:t>
            </w:r>
          </w:p>
        </w:tc>
      </w:tr>
      <w:tr>
        <w:tc>
          <w:tcPr>
            <w:tcW w:type="dxa" w:w="2088"/>
            <w:vAlign w:val="center"/>
            <w:shd w:fill="EAF2F8"/>
          </w:tcPr>
          <w:p>
            <w:r/>
            <w:r>
              <w:rPr>
                <w:b w:val="0"/>
                <w:color w:val="1F1F1F"/>
                <w:sz w:val="18"/>
              </w:rPr>
              <w:t>Data audit &amp; profiling</w:t>
            </w:r>
          </w:p>
        </w:tc>
        <w:tc>
          <w:tcPr>
            <w:tcW w:type="dxa" w:w="1008"/>
            <w:vAlign w:val="center"/>
            <w:shd w:fill="EAF2F8"/>
          </w:tcPr>
          <w:p>
            <w:r/>
            <w:r>
              <w:rPr>
                <w:b w:val="0"/>
                <w:color w:val="1F1F1F"/>
                <w:sz w:val="18"/>
              </w:rPr>
              <w:t>3</w:t>
            </w:r>
          </w:p>
        </w:tc>
        <w:tc>
          <w:tcPr>
            <w:tcW w:type="dxa" w:w="4752"/>
            <w:vAlign w:val="center"/>
            <w:shd w:fill="EAF2F8"/>
          </w:tcPr>
          <w:p>
            <w:r/>
            <w:r>
              <w:rPr>
                <w:b w:val="0"/>
                <w:color w:val="1F1F1F"/>
                <w:sz w:val="18"/>
              </w:rPr>
              <w:t>schema, dtypes, missingness, duplicates</w:t>
            </w:r>
          </w:p>
        </w:tc>
        <w:tc>
          <w:tcPr>
            <w:tcW w:type="dxa" w:w="2952"/>
            <w:vAlign w:val="center"/>
            <w:shd w:fill="EAF2F8"/>
          </w:tcPr>
          <w:p>
            <w:r/>
            <w:r>
              <w:rPr>
                <w:b w:val="0"/>
                <w:color w:val="1F1F1F"/>
                <w:sz w:val="18"/>
              </w:rPr>
              <w:t>quality checklist</w:t>
            </w:r>
          </w:p>
        </w:tc>
      </w:tr>
      <w:tr>
        <w:tc>
          <w:tcPr>
            <w:tcW w:type="dxa" w:w="2088"/>
            <w:vAlign w:val="center"/>
          </w:tcPr>
          <w:p>
            <w:r/>
            <w:r>
              <w:rPr>
                <w:b w:val="0"/>
                <w:color w:val="1F1F1F"/>
                <w:sz w:val="18"/>
              </w:rPr>
              <w:t>Cleaning strategy</w:t>
            </w:r>
          </w:p>
        </w:tc>
        <w:tc>
          <w:tcPr>
            <w:tcW w:type="dxa" w:w="1008"/>
            <w:vAlign w:val="center"/>
          </w:tcPr>
          <w:p>
            <w:r/>
            <w:r>
              <w:rPr>
                <w:b w:val="0"/>
                <w:color w:val="1F1F1F"/>
                <w:sz w:val="18"/>
              </w:rPr>
              <w:t>5</w:t>
            </w:r>
          </w:p>
        </w:tc>
        <w:tc>
          <w:tcPr>
            <w:tcW w:type="dxa" w:w="4752"/>
            <w:vAlign w:val="center"/>
          </w:tcPr>
          <w:p>
            <w:r/>
            <w:r>
              <w:rPr>
                <w:b w:val="0"/>
                <w:color w:val="1F1F1F"/>
                <w:sz w:val="18"/>
              </w:rPr>
              <w:t>missing-value rules, outliers, category validation</w:t>
            </w:r>
          </w:p>
        </w:tc>
        <w:tc>
          <w:tcPr>
            <w:tcW w:type="dxa" w:w="2952"/>
            <w:vAlign w:val="center"/>
          </w:tcPr>
          <w:p>
            <w:r/>
            <w:r>
              <w:rPr>
                <w:b w:val="0"/>
                <w:color w:val="1F1F1F"/>
                <w:sz w:val="18"/>
              </w:rPr>
              <w:t>data-quality plan</w:t>
            </w:r>
          </w:p>
        </w:tc>
      </w:tr>
      <w:tr>
        <w:tc>
          <w:tcPr>
            <w:tcW w:type="dxa" w:w="2088"/>
            <w:vAlign w:val="center"/>
            <w:shd w:fill="EAF2F8"/>
          </w:tcPr>
          <w:p>
            <w:r/>
            <w:r>
              <w:rPr>
                <w:b w:val="0"/>
                <w:color w:val="1F1F1F"/>
                <w:sz w:val="18"/>
              </w:rPr>
              <w:t>Univariate analysis</w:t>
            </w:r>
          </w:p>
        </w:tc>
        <w:tc>
          <w:tcPr>
            <w:tcW w:type="dxa" w:w="1008"/>
            <w:vAlign w:val="center"/>
            <w:shd w:fill="EAF2F8"/>
          </w:tcPr>
          <w:p>
            <w:r/>
            <w:r>
              <w:rPr>
                <w:b w:val="0"/>
                <w:color w:val="1F1F1F"/>
                <w:sz w:val="18"/>
              </w:rPr>
              <w:t>5</w:t>
            </w:r>
          </w:p>
        </w:tc>
        <w:tc>
          <w:tcPr>
            <w:tcW w:type="dxa" w:w="4752"/>
            <w:vAlign w:val="center"/>
            <w:shd w:fill="EAF2F8"/>
          </w:tcPr>
          <w:p>
            <w:r/>
            <w:r>
              <w:rPr>
                <w:b w:val="0"/>
                <w:color w:val="1F1F1F"/>
                <w:sz w:val="18"/>
              </w:rPr>
              <w:t>distributions, summaries, target balance</w:t>
            </w:r>
          </w:p>
        </w:tc>
        <w:tc>
          <w:tcPr>
            <w:tcW w:type="dxa" w:w="2952"/>
            <w:vAlign w:val="center"/>
            <w:shd w:fill="EAF2F8"/>
          </w:tcPr>
          <w:p>
            <w:r/>
            <w:r>
              <w:rPr>
                <w:b w:val="0"/>
                <w:color w:val="1F1F1F"/>
                <w:sz w:val="18"/>
              </w:rPr>
              <w:t>univariate findings</w:t>
            </w:r>
          </w:p>
        </w:tc>
      </w:tr>
      <w:tr>
        <w:tc>
          <w:tcPr>
            <w:tcW w:type="dxa" w:w="2088"/>
            <w:vAlign w:val="center"/>
          </w:tcPr>
          <w:p>
            <w:r/>
            <w:r>
              <w:rPr>
                <w:b w:val="0"/>
                <w:color w:val="1F1F1F"/>
                <w:sz w:val="18"/>
              </w:rPr>
              <w:t>Bivariate analysis</w:t>
            </w:r>
          </w:p>
        </w:tc>
        <w:tc>
          <w:tcPr>
            <w:tcW w:type="dxa" w:w="1008"/>
            <w:vAlign w:val="center"/>
          </w:tcPr>
          <w:p>
            <w:r/>
            <w:r>
              <w:rPr>
                <w:b w:val="0"/>
                <w:color w:val="1F1F1F"/>
                <w:sz w:val="18"/>
              </w:rPr>
              <w:t>5</w:t>
            </w:r>
          </w:p>
        </w:tc>
        <w:tc>
          <w:tcPr>
            <w:tcW w:type="dxa" w:w="4752"/>
            <w:vAlign w:val="center"/>
          </w:tcPr>
          <w:p>
            <w:r/>
            <w:r>
              <w:rPr>
                <w:b w:val="0"/>
                <w:color w:val="1F1F1F"/>
                <w:sz w:val="18"/>
              </w:rPr>
              <w:t>group comparisons, rates, correlations</w:t>
            </w:r>
          </w:p>
        </w:tc>
        <w:tc>
          <w:tcPr>
            <w:tcW w:type="dxa" w:w="2952"/>
            <w:vAlign w:val="center"/>
          </w:tcPr>
          <w:p>
            <w:r/>
            <w:r>
              <w:rPr>
                <w:b w:val="0"/>
                <w:color w:val="1F1F1F"/>
                <w:sz w:val="18"/>
              </w:rPr>
              <w:t>relationship findings</w:t>
            </w:r>
          </w:p>
        </w:tc>
      </w:tr>
      <w:tr>
        <w:tc>
          <w:tcPr>
            <w:tcW w:type="dxa" w:w="2088"/>
            <w:vAlign w:val="center"/>
            <w:shd w:fill="EAF2F8"/>
          </w:tcPr>
          <w:p>
            <w:r/>
            <w:r>
              <w:rPr>
                <w:b w:val="0"/>
                <w:color w:val="1F1F1F"/>
                <w:sz w:val="18"/>
              </w:rPr>
              <w:t>Multivariate analysis</w:t>
            </w:r>
          </w:p>
        </w:tc>
        <w:tc>
          <w:tcPr>
            <w:tcW w:type="dxa" w:w="1008"/>
            <w:vAlign w:val="center"/>
            <w:shd w:fill="EAF2F8"/>
          </w:tcPr>
          <w:p>
            <w:r/>
            <w:r>
              <w:rPr>
                <w:b w:val="0"/>
                <w:color w:val="1F1F1F"/>
                <w:sz w:val="18"/>
              </w:rPr>
              <w:t>4</w:t>
            </w:r>
          </w:p>
        </w:tc>
        <w:tc>
          <w:tcPr>
            <w:tcW w:type="dxa" w:w="4752"/>
            <w:vAlign w:val="center"/>
            <w:shd w:fill="EAF2F8"/>
          </w:tcPr>
          <w:p>
            <w:r/>
            <w:r>
              <w:rPr>
                <w:b w:val="0"/>
                <w:color w:val="1F1F1F"/>
                <w:sz w:val="18"/>
              </w:rPr>
              <w:t>interaction patterns, segmentation</w:t>
            </w:r>
          </w:p>
        </w:tc>
        <w:tc>
          <w:tcPr>
            <w:tcW w:type="dxa" w:w="2952"/>
            <w:vAlign w:val="center"/>
            <w:shd w:fill="EAF2F8"/>
          </w:tcPr>
          <w:p>
            <w:r/>
            <w:r>
              <w:rPr>
                <w:b w:val="0"/>
                <w:color w:val="1F1F1F"/>
                <w:sz w:val="18"/>
              </w:rPr>
              <w:t>multivariate insights</w:t>
            </w:r>
          </w:p>
        </w:tc>
      </w:tr>
      <w:tr>
        <w:tc>
          <w:tcPr>
            <w:tcW w:type="dxa" w:w="2088"/>
            <w:vAlign w:val="center"/>
          </w:tcPr>
          <w:p>
            <w:r/>
            <w:r>
              <w:rPr>
                <w:b w:val="0"/>
                <w:color w:val="1F1F1F"/>
                <w:sz w:val="18"/>
              </w:rPr>
              <w:t>Visualization design</w:t>
            </w:r>
          </w:p>
        </w:tc>
        <w:tc>
          <w:tcPr>
            <w:tcW w:type="dxa" w:w="1008"/>
            <w:vAlign w:val="center"/>
          </w:tcPr>
          <w:p>
            <w:r/>
            <w:r>
              <w:rPr>
                <w:b w:val="0"/>
                <w:color w:val="1F1F1F"/>
                <w:sz w:val="18"/>
              </w:rPr>
              <w:t>4</w:t>
            </w:r>
          </w:p>
        </w:tc>
        <w:tc>
          <w:tcPr>
            <w:tcW w:type="dxa" w:w="4752"/>
            <w:vAlign w:val="center"/>
          </w:tcPr>
          <w:p>
            <w:r/>
            <w:r>
              <w:rPr>
                <w:b w:val="0"/>
                <w:color w:val="1F1F1F"/>
                <w:sz w:val="18"/>
              </w:rPr>
              <w:t>plot selection, formatting, chart interpretation</w:t>
            </w:r>
          </w:p>
        </w:tc>
        <w:tc>
          <w:tcPr>
            <w:tcW w:type="dxa" w:w="2952"/>
            <w:vAlign w:val="center"/>
          </w:tcPr>
          <w:p>
            <w:r/>
            <w:r>
              <w:rPr>
                <w:b w:val="0"/>
                <w:color w:val="1F1F1F"/>
                <w:sz w:val="18"/>
              </w:rPr>
              <w:t>visualization set</w:t>
            </w:r>
          </w:p>
        </w:tc>
      </w:tr>
      <w:tr>
        <w:tc>
          <w:tcPr>
            <w:tcW w:type="dxa" w:w="2088"/>
            <w:vAlign w:val="center"/>
            <w:shd w:fill="EAF2F8"/>
          </w:tcPr>
          <w:p>
            <w:r/>
            <w:r>
              <w:rPr>
                <w:b w:val="0"/>
                <w:color w:val="1F1F1F"/>
                <w:sz w:val="18"/>
              </w:rPr>
              <w:t>Report + QA</w:t>
            </w:r>
          </w:p>
        </w:tc>
        <w:tc>
          <w:tcPr>
            <w:tcW w:type="dxa" w:w="1008"/>
            <w:vAlign w:val="center"/>
            <w:shd w:fill="EAF2F8"/>
          </w:tcPr>
          <w:p>
            <w:r/>
            <w:r>
              <w:rPr>
                <w:b w:val="0"/>
                <w:color w:val="1F1F1F"/>
                <w:sz w:val="18"/>
              </w:rPr>
              <w:t>4</w:t>
            </w:r>
          </w:p>
        </w:tc>
        <w:tc>
          <w:tcPr>
            <w:tcW w:type="dxa" w:w="4752"/>
            <w:vAlign w:val="center"/>
            <w:shd w:fill="EAF2F8"/>
          </w:tcPr>
          <w:p>
            <w:r/>
            <w:r>
              <w:rPr>
                <w:b w:val="0"/>
                <w:color w:val="1F1F1F"/>
                <w:sz w:val="18"/>
              </w:rPr>
              <w:t>documentation, reproducibility, final review</w:t>
            </w:r>
          </w:p>
        </w:tc>
        <w:tc>
          <w:tcPr>
            <w:tcW w:type="dxa" w:w="2952"/>
            <w:vAlign w:val="center"/>
            <w:shd w:fill="EAF2F8"/>
          </w:tcPr>
          <w:p>
            <w:r/>
            <w:r>
              <w:rPr>
                <w:b w:val="0"/>
                <w:color w:val="1F1F1F"/>
                <w:sz w:val="18"/>
              </w:rPr>
              <w:t>EDA framework DOC</w:t>
            </w:r>
          </w:p>
        </w:tc>
      </w:tr>
      <w:tr>
        <w:tc>
          <w:tcPr>
            <w:tcW w:type="dxa" w:w="2088"/>
            <w:vAlign w:val="center"/>
          </w:tcPr>
          <w:p>
            <w:r/>
            <w:r>
              <w:rPr>
                <w:b w:val="0"/>
                <w:color w:val="1F1F1F"/>
                <w:sz w:val="18"/>
              </w:rPr>
              <w:t>Buffer</w:t>
            </w:r>
          </w:p>
        </w:tc>
        <w:tc>
          <w:tcPr>
            <w:tcW w:type="dxa" w:w="1008"/>
            <w:vAlign w:val="center"/>
          </w:tcPr>
          <w:p>
            <w:r/>
            <w:r>
              <w:rPr>
                <w:b w:val="0"/>
                <w:color w:val="1F1F1F"/>
                <w:sz w:val="18"/>
              </w:rPr>
              <w:t>2</w:t>
            </w:r>
          </w:p>
        </w:tc>
        <w:tc>
          <w:tcPr>
            <w:tcW w:type="dxa" w:w="4752"/>
            <w:vAlign w:val="center"/>
          </w:tcPr>
          <w:p>
            <w:r/>
            <w:r>
              <w:rPr>
                <w:b w:val="0"/>
                <w:color w:val="1F1F1F"/>
                <w:sz w:val="18"/>
              </w:rPr>
              <w:t>revision and unexpected issues</w:t>
            </w:r>
          </w:p>
        </w:tc>
        <w:tc>
          <w:tcPr>
            <w:tcW w:type="dxa" w:w="2952"/>
            <w:vAlign w:val="center"/>
          </w:tcPr>
          <w:p>
            <w:r/>
            <w:r>
              <w:rPr>
                <w:b w:val="0"/>
                <w:color w:val="1F1F1F"/>
                <w:sz w:val="18"/>
              </w:rPr>
              <w:t>contingency time</w:t>
            </w:r>
          </w:p>
        </w:tc>
      </w:tr>
    </w:tbl>
    <w:p/>
    <w:p>
      <w:pPr>
        <w:pStyle w:val="Heading1"/>
      </w:pPr>
      <w:r>
        <w:t>9. Anticipated Challenges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8"/>
          </w:tcPr>
          <w:p>
            <w:r/>
            <w:r>
              <w:rPr>
                <w:b/>
                <w:color w:val="FFFFFF"/>
                <w:sz w:val="19"/>
              </w:rPr>
              <w:t>Challenge</w:t>
            </w:r>
          </w:p>
        </w:tc>
        <w:tc>
          <w:tcPr>
            <w:tcW w:type="dxa" w:w="3672"/>
            <w:vAlign w:val="center"/>
            <w:shd w:fill="1F4E78"/>
          </w:tcPr>
          <w:p>
            <w:r/>
            <w:r>
              <w:rPr>
                <w:b/>
                <w:color w:val="FFFFFF"/>
                <w:sz w:val="19"/>
              </w:rPr>
              <w:t>Impact</w:t>
            </w:r>
          </w:p>
        </w:tc>
        <w:tc>
          <w:tcPr>
            <w:tcW w:type="dxa" w:w="4752"/>
            <w:vAlign w:val="center"/>
            <w:shd w:fill="1F4E78"/>
          </w:tcPr>
          <w:p>
            <w:r/>
            <w:r>
              <w:rPr>
                <w:b/>
                <w:color w:val="FFFFFF"/>
                <w:sz w:val="19"/>
              </w:rPr>
              <w:t>Mitigation</w:t>
            </w:r>
          </w:p>
        </w:tc>
      </w:tr>
      <w:tr>
        <w:tc>
          <w:tcPr>
            <w:tcW w:type="dxa" w:w="2376"/>
            <w:vAlign w:val="center"/>
            <w:shd w:fill="EAF2F8"/>
          </w:tcPr>
          <w:p>
            <w:r/>
            <w:r>
              <w:rPr>
                <w:b w:val="0"/>
                <w:color w:val="1F1F1F"/>
                <w:sz w:val="18"/>
              </w:rPr>
              <w:t>Heavy skew in numeric variables</w:t>
            </w:r>
          </w:p>
        </w:tc>
        <w:tc>
          <w:tcPr>
            <w:tcW w:type="dxa" w:w="3672"/>
            <w:vAlign w:val="center"/>
            <w:shd w:fill="EAF2F8"/>
          </w:tcPr>
          <w:p>
            <w:r/>
            <w:r>
              <w:rPr>
                <w:b w:val="0"/>
                <w:color w:val="1F1F1F"/>
                <w:sz w:val="18"/>
              </w:rPr>
              <w:t>Means may be misleading; plots become compressed</w:t>
            </w:r>
          </w:p>
        </w:tc>
        <w:tc>
          <w:tcPr>
            <w:tcW w:type="dxa" w:w="4752"/>
            <w:vAlign w:val="center"/>
            <w:shd w:fill="EAF2F8"/>
          </w:tcPr>
          <w:p>
            <w:r/>
            <w:r>
              <w:rPr>
                <w:b w:val="0"/>
                <w:color w:val="1F1F1F"/>
                <w:sz w:val="18"/>
              </w:rPr>
              <w:t>Use median/IQR, log-scale where appropriate, and compare distributions</w:t>
            </w:r>
          </w:p>
        </w:tc>
      </w:tr>
      <w:tr>
        <w:tc>
          <w:tcPr>
            <w:tcW w:type="dxa" w:w="2376"/>
            <w:vAlign w:val="center"/>
          </w:tcPr>
          <w:p>
            <w:r/>
            <w:r>
              <w:rPr>
                <w:b w:val="0"/>
                <w:color w:val="1F1F1F"/>
                <w:sz w:val="18"/>
              </w:rPr>
              <w:t>High-cardinality categories</w:t>
            </w:r>
          </w:p>
        </w:tc>
        <w:tc>
          <w:tcPr>
            <w:tcW w:type="dxa" w:w="3672"/>
            <w:vAlign w:val="center"/>
          </w:tcPr>
          <w:p>
            <w:r/>
            <w:r>
              <w:rPr>
                <w:b w:val="0"/>
                <w:color w:val="1F1F1F"/>
                <w:sz w:val="18"/>
              </w:rPr>
              <w:t>Charts become unreadable</w:t>
            </w:r>
          </w:p>
        </w:tc>
        <w:tc>
          <w:tcPr>
            <w:tcW w:type="dxa" w:w="4752"/>
            <w:vAlign w:val="center"/>
          </w:tcPr>
          <w:p>
            <w:r/>
            <w:r>
              <w:rPr>
                <w:b w:val="0"/>
                <w:color w:val="1F1F1F"/>
                <w:sz w:val="18"/>
              </w:rPr>
              <w:t>Group rare levels into “Other” after checking business meaning</w:t>
            </w:r>
          </w:p>
        </w:tc>
      </w:tr>
      <w:tr>
        <w:tc>
          <w:tcPr>
            <w:tcW w:type="dxa" w:w="2376"/>
            <w:vAlign w:val="center"/>
            <w:shd w:fill="EAF2F8"/>
          </w:tcPr>
          <w:p>
            <w:r/>
            <w:r>
              <w:rPr>
                <w:b w:val="0"/>
                <w:color w:val="1F1F1F"/>
                <w:sz w:val="18"/>
              </w:rPr>
              <w:t>Class imbalance</w:t>
            </w:r>
          </w:p>
        </w:tc>
        <w:tc>
          <w:tcPr>
            <w:tcW w:type="dxa" w:w="3672"/>
            <w:vAlign w:val="center"/>
            <w:shd w:fill="EAF2F8"/>
          </w:tcPr>
          <w:p>
            <w:r/>
            <w:r>
              <w:rPr>
                <w:b w:val="0"/>
                <w:color w:val="1F1F1F"/>
                <w:sz w:val="18"/>
              </w:rPr>
              <w:t>Raw counts may hide minority churn class</w:t>
            </w:r>
          </w:p>
        </w:tc>
        <w:tc>
          <w:tcPr>
            <w:tcW w:type="dxa" w:w="4752"/>
            <w:vAlign w:val="center"/>
            <w:shd w:fill="EAF2F8"/>
          </w:tcPr>
          <w:p>
            <w:r/>
            <w:r>
              <w:rPr>
                <w:b w:val="0"/>
                <w:color w:val="1F1F1F"/>
                <w:sz w:val="18"/>
              </w:rPr>
              <w:t>Use percentages, stratified summaries, and balance-aware metrics later</w:t>
            </w:r>
          </w:p>
        </w:tc>
      </w:tr>
      <w:tr>
        <w:tc>
          <w:tcPr>
            <w:tcW w:type="dxa" w:w="2376"/>
            <w:vAlign w:val="center"/>
          </w:tcPr>
          <w:p>
            <w:r/>
            <w:r>
              <w:rPr>
                <w:b w:val="0"/>
                <w:color w:val="1F1F1F"/>
                <w:sz w:val="18"/>
              </w:rPr>
              <w:t>Potential data leakage</w:t>
            </w:r>
          </w:p>
        </w:tc>
        <w:tc>
          <w:tcPr>
            <w:tcW w:type="dxa" w:w="3672"/>
            <w:vAlign w:val="center"/>
          </w:tcPr>
          <w:p>
            <w:r/>
            <w:r>
              <w:rPr>
                <w:b w:val="0"/>
                <w:color w:val="1F1F1F"/>
                <w:sz w:val="18"/>
              </w:rPr>
              <w:t>EDA may accidentally use future information</w:t>
            </w:r>
          </w:p>
        </w:tc>
        <w:tc>
          <w:tcPr>
            <w:tcW w:type="dxa" w:w="4752"/>
            <w:vAlign w:val="center"/>
          </w:tcPr>
          <w:p>
            <w:r/>
            <w:r>
              <w:rPr>
                <w:b w:val="0"/>
                <w:color w:val="1F1F1F"/>
                <w:sz w:val="18"/>
              </w:rPr>
              <w:t>Define a data cutoff and document feature availability at prediction time</w:t>
            </w:r>
          </w:p>
        </w:tc>
      </w:tr>
      <w:tr>
        <w:tc>
          <w:tcPr>
            <w:tcW w:type="dxa" w:w="2376"/>
            <w:vAlign w:val="center"/>
            <w:shd w:fill="EAF2F8"/>
          </w:tcPr>
          <w:p>
            <w:r/>
            <w:r>
              <w:rPr>
                <w:b w:val="0"/>
                <w:color w:val="1F1F1F"/>
                <w:sz w:val="18"/>
              </w:rPr>
              <w:t>Ambiguous missingness</w:t>
            </w:r>
          </w:p>
        </w:tc>
        <w:tc>
          <w:tcPr>
            <w:tcW w:type="dxa" w:w="3672"/>
            <w:vAlign w:val="center"/>
            <w:shd w:fill="EAF2F8"/>
          </w:tcPr>
          <w:p>
            <w:r/>
            <w:r>
              <w:rPr>
                <w:b w:val="0"/>
                <w:color w:val="1F1F1F"/>
                <w:sz w:val="18"/>
              </w:rPr>
              <w:t>Wrong imputation can introduce bias</w:t>
            </w:r>
          </w:p>
        </w:tc>
        <w:tc>
          <w:tcPr>
            <w:tcW w:type="dxa" w:w="4752"/>
            <w:vAlign w:val="center"/>
            <w:shd w:fill="EAF2F8"/>
          </w:tcPr>
          <w:p>
            <w:r/>
            <w:r>
              <w:rPr>
                <w:b w:val="0"/>
                <w:color w:val="1F1F1F"/>
                <w:sz w:val="18"/>
              </w:rPr>
              <w:t>Profile missingness by segment and retain “Unknown” where meaningful</w:t>
            </w:r>
          </w:p>
        </w:tc>
      </w:tr>
      <w:tr>
        <w:tc>
          <w:tcPr>
            <w:tcW w:type="dxa" w:w="2376"/>
            <w:vAlign w:val="center"/>
          </w:tcPr>
          <w:p>
            <w:r/>
            <w:r>
              <w:rPr>
                <w:b w:val="0"/>
                <w:color w:val="1F1F1F"/>
                <w:sz w:val="18"/>
              </w:rPr>
              <w:t>Chart overload</w:t>
            </w:r>
          </w:p>
        </w:tc>
        <w:tc>
          <w:tcPr>
            <w:tcW w:type="dxa" w:w="3672"/>
            <w:vAlign w:val="center"/>
          </w:tcPr>
          <w:p>
            <w:r/>
            <w:r>
              <w:rPr>
                <w:b w:val="0"/>
                <w:color w:val="1F1F1F"/>
                <w:sz w:val="18"/>
              </w:rPr>
              <w:t>Too many figures obscure the story</w:t>
            </w:r>
          </w:p>
        </w:tc>
        <w:tc>
          <w:tcPr>
            <w:tcW w:type="dxa" w:w="4752"/>
            <w:vAlign w:val="center"/>
          </w:tcPr>
          <w:p>
            <w:r/>
            <w:r>
              <w:rPr>
                <w:b w:val="0"/>
                <w:color w:val="1F1F1F"/>
                <w:sz w:val="18"/>
              </w:rPr>
              <w:t>Keep only decision-relevant charts and pair each with a clear takeaway</w:t>
            </w:r>
          </w:p>
        </w:tc>
      </w:tr>
    </w:tbl>
    <w:p/>
    <w:p>
      <w:pPr>
        <w:pStyle w:val="Heading1"/>
      </w:pPr>
      <w:r>
        <w:t>10. Expected Outcomes</w:t>
      </w:r>
    </w:p>
    <w:p>
      <w:r>
        <w:t>By the end of this EDA framework stage, the project should have a repeatable checklist for understanding a new dataset, a documented policy for common quality issues, a library-specific visualization strategy, and a reporting structure that can be carried directly into a Jupyter notebook or final analysis report. The framework is intentionally dataset-agnostic while still using concrete examples and numerical rules so that it can be adapted to future datasets without redesigning the entire process.</w:t>
      </w:r>
    </w:p>
    <w:p>
      <w:r>
        <w:rPr>
          <w:b/>
        </w:rPr>
        <w:t xml:space="preserve">Note: </w:t>
      </w:r>
      <w:r>
        <w:t>All percentages, counts, correlations, and customer examples in this document are illustrative planning values because the internship task does not provide a real dataset. They are included to demonstrate how the EDA framework would interpret and document evidence once actual data are available.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