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DCC" w:rsidRDefault="00F27F02">
      <w:r>
        <w:t>GDPR Current Market – 907.4 Million $</w:t>
      </w:r>
    </w:p>
    <w:p w:rsidR="00F27F02" w:rsidRDefault="00F27F02">
      <w:r>
        <w:t>Expected Market Growth – 2659.4 Million $</w:t>
      </w:r>
    </w:p>
    <w:p w:rsidR="00F27F02" w:rsidRDefault="00F27F02"/>
    <w:p w:rsidR="002B320C" w:rsidRDefault="002B320C">
      <w:r>
        <w:t xml:space="preserve">Information About the Market – </w:t>
      </w:r>
    </w:p>
    <w:p w:rsidR="002B320C" w:rsidRDefault="002B320C">
      <w:r>
        <w:t>The GDPR market comprises of 2 scenarios – Solution Market (Data discovery and Mapping, Data Governance, and API Management), and Service Market (GDPR Readiness Assessment, Risk Assessment and DPIA).</w:t>
      </w:r>
    </w:p>
    <w:p w:rsidR="002B320C" w:rsidRDefault="002B320C"/>
    <w:p w:rsidR="002B320C" w:rsidRDefault="002B320C"/>
    <w:p w:rsidR="00F27F02" w:rsidRDefault="00F27F02">
      <w:r>
        <w:t xml:space="preserve">Note that the above information is not specific to DPIA, but other data protection services as well. </w:t>
      </w:r>
    </w:p>
    <w:p w:rsidR="00F27F02" w:rsidRDefault="00F27F02"/>
    <w:p w:rsidR="00F27F02" w:rsidRDefault="00F27F02">
      <w:r>
        <w:t xml:space="preserve">Source -- </w:t>
      </w:r>
      <w:hyperlink r:id="rId5" w:history="1">
        <w:r w:rsidRPr="00091DF4">
          <w:rPr>
            <w:rStyle w:val="Hyperlink"/>
          </w:rPr>
          <w:t>https://markets.businessinsider.com/news/stocks/gdpr-services-market-worth-2-659-4-million-usd-by-2023-1027344200</w:t>
        </w:r>
      </w:hyperlink>
      <w:r w:rsidR="002B320C">
        <w:t xml:space="preserve"> [1]</w:t>
      </w:r>
    </w:p>
    <w:p w:rsidR="002B320C" w:rsidRDefault="002B320C"/>
    <w:p w:rsidR="002B320C" w:rsidRDefault="00A33DAA">
      <w:hyperlink r:id="rId6" w:history="1">
        <w:r w:rsidR="005A301D" w:rsidRPr="00091DF4">
          <w:rPr>
            <w:rStyle w:val="Hyperlink"/>
          </w:rPr>
          <w:t>https://www.marketsandmarkets.com/Market-Reports/gdpr-services-market-187994915.html</w:t>
        </w:r>
      </w:hyperlink>
      <w:r w:rsidR="005A301D">
        <w:t xml:space="preserve"> [2]</w:t>
      </w:r>
    </w:p>
    <w:p w:rsidR="00F27F02" w:rsidRDefault="00F27F02"/>
    <w:p w:rsidR="00F27F02" w:rsidRDefault="00F27F02">
      <w:r>
        <w:t xml:space="preserve">Some of the market expectations – </w:t>
      </w:r>
    </w:p>
    <w:p w:rsidR="00F27F02" w:rsidRPr="00F27F02" w:rsidRDefault="00F27F02" w:rsidP="00F27F02">
      <w:pPr>
        <w:pStyle w:val="ListParagraph"/>
        <w:numPr>
          <w:ilvl w:val="0"/>
          <w:numId w:val="2"/>
        </w:numPr>
        <w:rPr>
          <w:rFonts w:ascii="Calibri" w:eastAsia="Times New Roman" w:hAnsi="Calibri" w:cs="Calibri"/>
        </w:rPr>
      </w:pPr>
      <w:r w:rsidRPr="00F27F02">
        <w:rPr>
          <w:rFonts w:ascii="Calibri" w:eastAsia="Times New Roman" w:hAnsi="Calibri" w:cs="Calibri"/>
          <w:bCs/>
          <w:color w:val="222222"/>
        </w:rPr>
        <w:t>Large enterprise segment expected to account for a larger market share as compared to the SME segment during the forecast period.</w:t>
      </w:r>
      <w:r w:rsidRPr="00F27F02">
        <w:rPr>
          <w:rFonts w:ascii="Calibri" w:eastAsia="Times New Roman" w:hAnsi="Calibri" w:cs="Calibri"/>
          <w:color w:val="222222"/>
          <w:shd w:val="clear" w:color="auto" w:fill="FFFFFF"/>
        </w:rPr>
        <w:t> However, all the large LME were expected to become GDPR complaint by May 2018</w:t>
      </w:r>
      <w:r w:rsidR="002B320C">
        <w:rPr>
          <w:rFonts w:ascii="Calibri" w:eastAsia="Times New Roman" w:hAnsi="Calibri" w:cs="Calibri"/>
          <w:color w:val="222222"/>
          <w:shd w:val="clear" w:color="auto" w:fill="FFFFFF"/>
        </w:rPr>
        <w:t xml:space="preserve"> as they had more to lose by not becoming GDPR compliant. Therefore, in the future, the target should be to acquire small scale companies. [1]</w:t>
      </w:r>
    </w:p>
    <w:p w:rsidR="002B320C" w:rsidRPr="002B320C" w:rsidRDefault="002B320C" w:rsidP="002B320C">
      <w:pPr>
        <w:pStyle w:val="ListParagraph"/>
        <w:numPr>
          <w:ilvl w:val="0"/>
          <w:numId w:val="2"/>
        </w:numPr>
        <w:rPr>
          <w:rFonts w:ascii="Calibri" w:eastAsia="Times New Roman" w:hAnsi="Calibri" w:cs="Calibri"/>
        </w:rPr>
      </w:pPr>
      <w:r w:rsidRPr="002B320C">
        <w:rPr>
          <w:rFonts w:ascii="Calibri" w:eastAsia="Times New Roman" w:hAnsi="Calibri" w:cs="Calibri"/>
          <w:color w:val="222222"/>
          <w:shd w:val="clear" w:color="auto" w:fill="FFFFFF"/>
        </w:rPr>
        <w:t>Major vendors covered in the </w:t>
      </w:r>
      <w:r w:rsidRPr="002B320C">
        <w:rPr>
          <w:rFonts w:ascii="Calibri" w:eastAsia="Times New Roman" w:hAnsi="Calibri" w:cs="Calibri"/>
          <w:b/>
          <w:bCs/>
          <w:color w:val="222222"/>
        </w:rPr>
        <w:t>GDPR Services Market</w:t>
      </w:r>
      <w:r w:rsidRPr="002B320C">
        <w:rPr>
          <w:rFonts w:ascii="Calibri" w:eastAsia="Times New Roman" w:hAnsi="Calibri" w:cs="Calibri"/>
          <w:color w:val="222222"/>
          <w:shd w:val="clear" w:color="auto" w:fill="FFFFFF"/>
        </w:rPr>
        <w:t> </w:t>
      </w:r>
      <w:r>
        <w:rPr>
          <w:rFonts w:ascii="Calibri" w:eastAsia="Times New Roman" w:hAnsi="Calibri" w:cs="Calibri"/>
          <w:color w:val="222222"/>
          <w:shd w:val="clear" w:color="auto" w:fill="FFFFFF"/>
        </w:rPr>
        <w:t xml:space="preserve">(This is DPIA specific since DPIA forms major part of </w:t>
      </w:r>
      <w:r w:rsidRPr="002B320C">
        <w:rPr>
          <w:rFonts w:ascii="Calibri" w:eastAsia="Times New Roman" w:hAnsi="Calibri" w:cs="Calibri"/>
          <w:b/>
          <w:i/>
          <w:color w:val="222222"/>
          <w:u w:val="single"/>
          <w:shd w:val="clear" w:color="auto" w:fill="FFFFFF"/>
        </w:rPr>
        <w:t>GDPR Services Market</w:t>
      </w:r>
      <w:r>
        <w:rPr>
          <w:rFonts w:ascii="Calibri" w:eastAsia="Times New Roman" w:hAnsi="Calibri" w:cs="Calibri"/>
          <w:color w:val="222222"/>
          <w:shd w:val="clear" w:color="auto" w:fill="FFFFFF"/>
        </w:rPr>
        <w:t>)</w:t>
      </w:r>
      <w:r w:rsidRPr="002B320C">
        <w:rPr>
          <w:rFonts w:ascii="Calibri" w:eastAsia="Times New Roman" w:hAnsi="Calibri" w:cs="Calibri"/>
          <w:color w:val="222222"/>
          <w:shd w:val="clear" w:color="auto" w:fill="FFFFFF"/>
        </w:rPr>
        <w:t>include Absolute Software (</w:t>
      </w:r>
      <w:r w:rsidRPr="002B320C">
        <w:rPr>
          <w:rFonts w:ascii="Calibri" w:eastAsia="Times New Roman" w:hAnsi="Calibri" w:cs="Calibri"/>
          <w:color w:val="222222"/>
        </w:rPr>
        <w:t>Canada</w:t>
      </w:r>
      <w:r w:rsidRPr="002B320C">
        <w:rPr>
          <w:rFonts w:ascii="Calibri" w:eastAsia="Times New Roman" w:hAnsi="Calibri" w:cs="Calibri"/>
          <w:color w:val="222222"/>
          <w:shd w:val="clear" w:color="auto" w:fill="FFFFFF"/>
        </w:rPr>
        <w:t>), Actiance (US), </w:t>
      </w:r>
      <w:r w:rsidRPr="002B320C">
        <w:rPr>
          <w:rFonts w:ascii="Calibri" w:eastAsia="Times New Roman" w:hAnsi="Calibri" w:cs="Calibri"/>
          <w:color w:val="222222"/>
        </w:rPr>
        <w:t>AWS (US)</w:t>
      </w:r>
      <w:r w:rsidRPr="002B320C">
        <w:rPr>
          <w:rFonts w:ascii="Calibri" w:eastAsia="Times New Roman" w:hAnsi="Calibri" w:cs="Calibri"/>
          <w:color w:val="222222"/>
          <w:shd w:val="clear" w:color="auto" w:fill="FFFFFF"/>
        </w:rPr>
        <w:t>, Capgemini (</w:t>
      </w:r>
      <w:r w:rsidRPr="002B320C">
        <w:rPr>
          <w:rFonts w:ascii="Calibri" w:eastAsia="Times New Roman" w:hAnsi="Calibri" w:cs="Calibri"/>
          <w:color w:val="222222"/>
        </w:rPr>
        <w:t>France</w:t>
      </w:r>
      <w:r w:rsidRPr="002B320C">
        <w:rPr>
          <w:rFonts w:ascii="Calibri" w:eastAsia="Times New Roman" w:hAnsi="Calibri" w:cs="Calibri"/>
          <w:color w:val="222222"/>
          <w:shd w:val="clear" w:color="auto" w:fill="FFFFFF"/>
        </w:rPr>
        <w:t>), Hitachi Systems Security (</w:t>
      </w:r>
      <w:r w:rsidRPr="002B320C">
        <w:rPr>
          <w:rFonts w:ascii="Calibri" w:eastAsia="Times New Roman" w:hAnsi="Calibri" w:cs="Calibri"/>
          <w:color w:val="222222"/>
        </w:rPr>
        <w:t>Canada</w:t>
      </w:r>
      <w:r w:rsidRPr="002B320C">
        <w:rPr>
          <w:rFonts w:ascii="Calibri" w:eastAsia="Times New Roman" w:hAnsi="Calibri" w:cs="Calibri"/>
          <w:color w:val="222222"/>
          <w:shd w:val="clear" w:color="auto" w:fill="FFFFFF"/>
        </w:rPr>
        <w:t>), IBM (US), Informatica (US), MetricStream (US), Micro Focus (UK),  Microsoft (US), Mimecast (UK), Nymity (</w:t>
      </w:r>
      <w:r w:rsidRPr="002B320C">
        <w:rPr>
          <w:rFonts w:ascii="Calibri" w:eastAsia="Times New Roman" w:hAnsi="Calibri" w:cs="Calibri"/>
          <w:color w:val="222222"/>
        </w:rPr>
        <w:t>Canada</w:t>
      </w:r>
      <w:r w:rsidRPr="002B320C">
        <w:rPr>
          <w:rFonts w:ascii="Calibri" w:eastAsia="Times New Roman" w:hAnsi="Calibri" w:cs="Calibri"/>
          <w:color w:val="222222"/>
          <w:shd w:val="clear" w:color="auto" w:fill="FFFFFF"/>
        </w:rPr>
        <w:t>), OneTrust (US and UK), Oracle (US), Proofpoint (US), Protegrity (US), SAP (</w:t>
      </w:r>
      <w:r w:rsidRPr="002B320C">
        <w:rPr>
          <w:rFonts w:ascii="Calibri" w:eastAsia="Times New Roman" w:hAnsi="Calibri" w:cs="Calibri"/>
          <w:color w:val="222222"/>
        </w:rPr>
        <w:t>Germany</w:t>
      </w:r>
      <w:r w:rsidRPr="002B320C">
        <w:rPr>
          <w:rFonts w:ascii="Calibri" w:eastAsia="Times New Roman" w:hAnsi="Calibri" w:cs="Calibri"/>
          <w:color w:val="222222"/>
          <w:shd w:val="clear" w:color="auto" w:fill="FFFFFF"/>
        </w:rPr>
        <w:t>), SAS (US), Snow Software (</w:t>
      </w:r>
      <w:r w:rsidRPr="002B320C">
        <w:rPr>
          <w:rFonts w:ascii="Calibri" w:eastAsia="Times New Roman" w:hAnsi="Calibri" w:cs="Calibri"/>
          <w:color w:val="222222"/>
        </w:rPr>
        <w:t>Sweden</w:t>
      </w:r>
      <w:r w:rsidRPr="002B320C">
        <w:rPr>
          <w:rFonts w:ascii="Calibri" w:eastAsia="Times New Roman" w:hAnsi="Calibri" w:cs="Calibri"/>
          <w:color w:val="222222"/>
          <w:shd w:val="clear" w:color="auto" w:fill="FFFFFF"/>
        </w:rPr>
        <w:t>), Swascan (</w:t>
      </w:r>
      <w:r w:rsidRPr="002B320C">
        <w:rPr>
          <w:rFonts w:ascii="Calibri" w:eastAsia="Times New Roman" w:hAnsi="Calibri" w:cs="Calibri"/>
          <w:color w:val="222222"/>
        </w:rPr>
        <w:t>Italy</w:t>
      </w:r>
      <w:r w:rsidRPr="002B320C">
        <w:rPr>
          <w:rFonts w:ascii="Calibri" w:eastAsia="Times New Roman" w:hAnsi="Calibri" w:cs="Calibri"/>
          <w:color w:val="222222"/>
          <w:shd w:val="clear" w:color="auto" w:fill="FFFFFF"/>
        </w:rPr>
        <w:t>), Symantec (US), Talend (US), TrustArc (US), Trustwave (US), Varonis (US), and Veritas (US).</w:t>
      </w:r>
      <w:r>
        <w:rPr>
          <w:rFonts w:ascii="Calibri" w:eastAsia="Times New Roman" w:hAnsi="Calibri" w:cs="Calibri"/>
          <w:color w:val="222222"/>
          <w:shd w:val="clear" w:color="auto" w:fill="FFFFFF"/>
        </w:rPr>
        <w:t xml:space="preserve"> [1]</w:t>
      </w:r>
    </w:p>
    <w:p w:rsidR="002B320C" w:rsidRPr="002B320C" w:rsidRDefault="002B320C" w:rsidP="002B320C">
      <w:pPr>
        <w:rPr>
          <w:rFonts w:ascii="Calibri" w:eastAsia="Times New Roman" w:hAnsi="Calibri" w:cs="Calibri"/>
        </w:rPr>
      </w:pPr>
    </w:p>
    <w:p w:rsidR="005A301D" w:rsidRPr="005A301D" w:rsidRDefault="005A301D" w:rsidP="005A301D">
      <w:r w:rsidRPr="005A301D">
        <w:rPr>
          <w:bCs/>
        </w:rPr>
        <w:t>Key Target Audience</w:t>
      </w:r>
      <w:r w:rsidR="009D590A">
        <w:rPr>
          <w:bCs/>
        </w:rPr>
        <w:t xml:space="preserve"> [2]</w:t>
      </w:r>
    </w:p>
    <w:p w:rsidR="005A301D" w:rsidRPr="005A301D" w:rsidRDefault="005A301D" w:rsidP="005A301D">
      <w:pPr>
        <w:numPr>
          <w:ilvl w:val="0"/>
          <w:numId w:val="3"/>
        </w:numPr>
      </w:pPr>
      <w:r w:rsidRPr="005A301D">
        <w:t>Data Subjects </w:t>
      </w:r>
    </w:p>
    <w:p w:rsidR="005A301D" w:rsidRPr="005A301D" w:rsidRDefault="005A301D" w:rsidP="005A301D">
      <w:pPr>
        <w:numPr>
          <w:ilvl w:val="0"/>
          <w:numId w:val="3"/>
        </w:numPr>
      </w:pPr>
      <w:r w:rsidRPr="005A301D">
        <w:t>Data Controllers </w:t>
      </w:r>
    </w:p>
    <w:p w:rsidR="005A301D" w:rsidRPr="005A301D" w:rsidRDefault="005A301D" w:rsidP="005A301D">
      <w:pPr>
        <w:numPr>
          <w:ilvl w:val="0"/>
          <w:numId w:val="3"/>
        </w:numPr>
      </w:pPr>
      <w:r w:rsidRPr="005A301D">
        <w:t>Data Processors </w:t>
      </w:r>
    </w:p>
    <w:p w:rsidR="005A301D" w:rsidRPr="005A301D" w:rsidRDefault="005A301D" w:rsidP="005A301D">
      <w:pPr>
        <w:numPr>
          <w:ilvl w:val="0"/>
          <w:numId w:val="3"/>
        </w:numPr>
      </w:pPr>
      <w:r w:rsidRPr="005A301D">
        <w:t>Data Protection Officers </w:t>
      </w:r>
    </w:p>
    <w:p w:rsidR="005A301D" w:rsidRPr="005A301D" w:rsidRDefault="005A301D" w:rsidP="005A301D">
      <w:pPr>
        <w:numPr>
          <w:ilvl w:val="0"/>
          <w:numId w:val="3"/>
        </w:numPr>
      </w:pPr>
      <w:r w:rsidRPr="005A301D">
        <w:t>GDPR Services Solution Providers </w:t>
      </w:r>
    </w:p>
    <w:p w:rsidR="005A301D" w:rsidRPr="005A301D" w:rsidRDefault="005A301D" w:rsidP="005A301D">
      <w:pPr>
        <w:numPr>
          <w:ilvl w:val="0"/>
          <w:numId w:val="3"/>
        </w:numPr>
      </w:pPr>
      <w:r w:rsidRPr="005A301D">
        <w:t>GDPR Services Service Providers </w:t>
      </w:r>
    </w:p>
    <w:p w:rsidR="005A301D" w:rsidRPr="005A301D" w:rsidRDefault="005A301D" w:rsidP="005A301D">
      <w:pPr>
        <w:numPr>
          <w:ilvl w:val="0"/>
          <w:numId w:val="3"/>
        </w:numPr>
      </w:pPr>
      <w:r w:rsidRPr="005A301D">
        <w:t>Government Organizations</w:t>
      </w:r>
    </w:p>
    <w:p w:rsidR="005A301D" w:rsidRDefault="005A301D" w:rsidP="005A301D"/>
    <w:p w:rsidR="005A301D" w:rsidRDefault="005A301D" w:rsidP="005A301D">
      <w:r>
        <w:rPr>
          <w:noProof/>
        </w:rPr>
        <w:lastRenderedPageBreak/>
        <w:drawing>
          <wp:inline distT="0" distB="0" distL="0" distR="0">
            <wp:extent cx="5943600" cy="3531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06 at 5.25.1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31870"/>
                    </a:xfrm>
                    <a:prstGeom prst="rect">
                      <a:avLst/>
                    </a:prstGeom>
                  </pic:spPr>
                </pic:pic>
              </a:graphicData>
            </a:graphic>
          </wp:inline>
        </w:drawing>
      </w:r>
    </w:p>
    <w:p w:rsidR="005A301D" w:rsidRDefault="005A301D" w:rsidP="005A301D"/>
    <w:p w:rsidR="005A301D" w:rsidRDefault="009D590A" w:rsidP="005A301D">
      <w:pPr>
        <w:tabs>
          <w:tab w:val="left" w:pos="1242"/>
        </w:tabs>
      </w:pPr>
      <w:r>
        <w:t>APAC – Asia Pacific</w:t>
      </w:r>
    </w:p>
    <w:p w:rsidR="009D590A" w:rsidRDefault="009D590A" w:rsidP="005A301D">
      <w:pPr>
        <w:tabs>
          <w:tab w:val="left" w:pos="1242"/>
        </w:tabs>
      </w:pPr>
      <w:r>
        <w:t>RoW – Rest of World</w:t>
      </w:r>
    </w:p>
    <w:p w:rsidR="005A301D" w:rsidRDefault="005A301D" w:rsidP="005A301D">
      <w:pPr>
        <w:tabs>
          <w:tab w:val="left" w:pos="1242"/>
        </w:tabs>
      </w:pPr>
    </w:p>
    <w:p w:rsidR="005A301D" w:rsidRPr="005A301D" w:rsidRDefault="005A301D" w:rsidP="005A301D">
      <w:pPr>
        <w:tabs>
          <w:tab w:val="left" w:pos="1242"/>
        </w:tabs>
      </w:pPr>
      <w:r w:rsidRPr="005A301D">
        <w:t xml:space="preserve">OneTrust simplifies and operationalises this process by enabling you to execute 4 simple </w:t>
      </w:r>
    </w:p>
    <w:p w:rsidR="005A301D" w:rsidRPr="005A301D" w:rsidRDefault="005A301D" w:rsidP="005A301D">
      <w:pPr>
        <w:tabs>
          <w:tab w:val="left" w:pos="1242"/>
        </w:tabs>
      </w:pPr>
      <w:r w:rsidRPr="005A301D">
        <w:t xml:space="preserve">steps: </w:t>
      </w:r>
    </w:p>
    <w:p w:rsidR="005A301D" w:rsidRPr="005A301D" w:rsidRDefault="005A301D" w:rsidP="005A301D">
      <w:pPr>
        <w:tabs>
          <w:tab w:val="left" w:pos="1242"/>
        </w:tabs>
      </w:pPr>
      <w:r w:rsidRPr="005A301D">
        <w:t>1. Design and Build a Questionnaire, or use OneTrust’s pre-built DPIA template</w:t>
      </w:r>
    </w:p>
    <w:p w:rsidR="005A301D" w:rsidRPr="005A301D" w:rsidRDefault="005A301D" w:rsidP="005A301D">
      <w:pPr>
        <w:tabs>
          <w:tab w:val="left" w:pos="1242"/>
        </w:tabs>
      </w:pPr>
      <w:r w:rsidRPr="005A301D">
        <w:t>2. Launch and Collect Responses</w:t>
      </w:r>
    </w:p>
    <w:p w:rsidR="005A301D" w:rsidRPr="005A301D" w:rsidRDefault="005A301D" w:rsidP="005A301D">
      <w:pPr>
        <w:tabs>
          <w:tab w:val="left" w:pos="1242"/>
        </w:tabs>
      </w:pPr>
      <w:r w:rsidRPr="005A301D">
        <w:t>3. Enforce and Remediate Risks</w:t>
      </w:r>
    </w:p>
    <w:p w:rsidR="005A301D" w:rsidRDefault="005A301D" w:rsidP="005A301D">
      <w:pPr>
        <w:tabs>
          <w:tab w:val="left" w:pos="1242"/>
        </w:tabs>
      </w:pPr>
      <w:r w:rsidRPr="005A301D">
        <w:t>4. Analyze &amp; Report on Results</w:t>
      </w:r>
    </w:p>
    <w:p w:rsidR="005A301D" w:rsidRDefault="005A301D" w:rsidP="005A301D">
      <w:pPr>
        <w:tabs>
          <w:tab w:val="left" w:pos="1242"/>
        </w:tabs>
      </w:pPr>
    </w:p>
    <w:p w:rsidR="009D590A" w:rsidRDefault="009D590A" w:rsidP="005A301D">
      <w:pPr>
        <w:tabs>
          <w:tab w:val="left" w:pos="1242"/>
        </w:tabs>
      </w:pPr>
      <w:r>
        <w:t xml:space="preserve">Note – This Questionnaire can be modified on the business needs and requirements. </w:t>
      </w:r>
    </w:p>
    <w:p w:rsidR="009D590A" w:rsidRDefault="009D590A" w:rsidP="005A301D">
      <w:pPr>
        <w:tabs>
          <w:tab w:val="left" w:pos="1242"/>
        </w:tabs>
      </w:pPr>
    </w:p>
    <w:p w:rsidR="005A301D" w:rsidRDefault="005A301D" w:rsidP="005A301D">
      <w:pPr>
        <w:tabs>
          <w:tab w:val="left" w:pos="1242"/>
        </w:tabs>
      </w:pPr>
      <w:r>
        <w:t xml:space="preserve">Source – </w:t>
      </w:r>
      <w:hyperlink r:id="rId8" w:history="1">
        <w:r w:rsidR="009D590A" w:rsidRPr="00091DF4">
          <w:rPr>
            <w:rStyle w:val="Hyperlink"/>
          </w:rPr>
          <w:t>www.onetrust.com</w:t>
        </w:r>
      </w:hyperlink>
      <w:r w:rsidR="009D590A">
        <w:t xml:space="preserve"> (Erik’s white book)</w:t>
      </w:r>
    </w:p>
    <w:p w:rsidR="009D590A" w:rsidRDefault="009D590A" w:rsidP="005A301D">
      <w:pPr>
        <w:tabs>
          <w:tab w:val="left" w:pos="1242"/>
        </w:tabs>
      </w:pPr>
    </w:p>
    <w:p w:rsidR="009D590A" w:rsidRPr="009D590A" w:rsidRDefault="009D590A" w:rsidP="009D590A">
      <w:pPr>
        <w:tabs>
          <w:tab w:val="left" w:pos="1242"/>
        </w:tabs>
      </w:pPr>
      <w:r w:rsidRPr="009D590A">
        <w:t>The document is quite detailed and lists 10 types of processing activities subject to the requirement for a DPIA:</w:t>
      </w:r>
    </w:p>
    <w:p w:rsidR="009D590A" w:rsidRPr="009D590A" w:rsidRDefault="009D590A" w:rsidP="009D590A">
      <w:pPr>
        <w:numPr>
          <w:ilvl w:val="0"/>
          <w:numId w:val="4"/>
        </w:numPr>
        <w:tabs>
          <w:tab w:val="left" w:pos="1242"/>
        </w:tabs>
      </w:pPr>
      <w:r w:rsidRPr="009D590A">
        <w:t>Evaluation and assessment, including profiling and forecasting (behavioral analysis) for purposes which may cause negative legal, physical, financial or other consequences/inconvenience for natural persons.</w:t>
      </w:r>
    </w:p>
    <w:p w:rsidR="009D590A" w:rsidRPr="009D590A" w:rsidRDefault="009D590A" w:rsidP="009D590A">
      <w:pPr>
        <w:numPr>
          <w:ilvl w:val="0"/>
          <w:numId w:val="4"/>
        </w:numPr>
        <w:tabs>
          <w:tab w:val="left" w:pos="1242"/>
        </w:tabs>
      </w:pPr>
      <w:r w:rsidRPr="009D590A">
        <w:t>Automated decision-making that produces legal, financial or similar significant effects.</w:t>
      </w:r>
    </w:p>
    <w:p w:rsidR="009D590A" w:rsidRPr="009D590A" w:rsidRDefault="009D590A" w:rsidP="009D590A">
      <w:pPr>
        <w:numPr>
          <w:ilvl w:val="0"/>
          <w:numId w:val="4"/>
        </w:numPr>
        <w:tabs>
          <w:tab w:val="left" w:pos="1242"/>
        </w:tabs>
      </w:pPr>
      <w:r w:rsidRPr="009D590A">
        <w:t>Systematic monitoring on a large scale of publicly available places, which uses elements of recognition of features or characteristics of facilities located within the monitored area. This group does not include CCTV where the picture is recorded and used only to analyze breach of law incidents.</w:t>
      </w:r>
    </w:p>
    <w:p w:rsidR="009D590A" w:rsidRPr="009D590A" w:rsidRDefault="009D590A" w:rsidP="009D590A">
      <w:pPr>
        <w:numPr>
          <w:ilvl w:val="0"/>
          <w:numId w:val="4"/>
        </w:numPr>
        <w:tabs>
          <w:tab w:val="left" w:pos="1242"/>
        </w:tabs>
      </w:pPr>
      <w:r w:rsidRPr="009D590A">
        <w:lastRenderedPageBreak/>
        <w:t>Processing of special categories of personal data and of personal data relating to criminal convictions and offences (sensitive data according to Article 29 Data Protection Working Party guidelines).</w:t>
      </w:r>
    </w:p>
    <w:p w:rsidR="009D590A" w:rsidRPr="009D590A" w:rsidRDefault="009D590A" w:rsidP="009D590A">
      <w:pPr>
        <w:numPr>
          <w:ilvl w:val="0"/>
          <w:numId w:val="4"/>
        </w:numPr>
        <w:tabs>
          <w:tab w:val="left" w:pos="1242"/>
        </w:tabs>
      </w:pPr>
      <w:r w:rsidRPr="009D590A">
        <w:t>Data processed on a large scale where the term “large scale” refers to the number of persons whose data is processed; scope of processing; retention period; geographical scope of processing.</w:t>
      </w:r>
    </w:p>
    <w:p w:rsidR="009D590A" w:rsidRPr="009D590A" w:rsidRDefault="009D590A" w:rsidP="009D590A">
      <w:pPr>
        <w:numPr>
          <w:ilvl w:val="0"/>
          <w:numId w:val="4"/>
        </w:numPr>
        <w:tabs>
          <w:tab w:val="left" w:pos="1242"/>
        </w:tabs>
      </w:pPr>
      <w:r w:rsidRPr="009D590A">
        <w:t>Conducting comparisons, assessments and drawing conclusions, based on the analysis of data acquired from different sources.</w:t>
      </w:r>
    </w:p>
    <w:p w:rsidR="009D590A" w:rsidRPr="009D590A" w:rsidRDefault="009D590A" w:rsidP="009D590A">
      <w:pPr>
        <w:numPr>
          <w:ilvl w:val="0"/>
          <w:numId w:val="4"/>
        </w:numPr>
        <w:tabs>
          <w:tab w:val="left" w:pos="1242"/>
        </w:tabs>
      </w:pPr>
      <w:r w:rsidRPr="009D590A">
        <w:t>Processing personal data of persons whose assessment and services rendered are conditional on subjects and persons who have supervisory and/or evaluating powers</w:t>
      </w:r>
    </w:p>
    <w:p w:rsidR="009D590A" w:rsidRPr="009D590A" w:rsidRDefault="009D590A" w:rsidP="009D590A">
      <w:pPr>
        <w:numPr>
          <w:ilvl w:val="0"/>
          <w:numId w:val="4"/>
        </w:numPr>
        <w:tabs>
          <w:tab w:val="left" w:pos="1242"/>
        </w:tabs>
      </w:pPr>
      <w:r w:rsidRPr="009D590A">
        <w:t>Innovative use or application of technological or organizational solutions.</w:t>
      </w:r>
    </w:p>
    <w:p w:rsidR="009D590A" w:rsidRPr="009D590A" w:rsidRDefault="009D590A" w:rsidP="009D590A">
      <w:pPr>
        <w:numPr>
          <w:ilvl w:val="0"/>
          <w:numId w:val="4"/>
        </w:numPr>
        <w:tabs>
          <w:tab w:val="left" w:pos="1242"/>
        </w:tabs>
      </w:pPr>
      <w:r w:rsidRPr="009D590A">
        <w:t>Transfer of personal data outside the EU.</w:t>
      </w:r>
    </w:p>
    <w:p w:rsidR="009D590A" w:rsidRDefault="009D590A" w:rsidP="009D590A">
      <w:pPr>
        <w:numPr>
          <w:ilvl w:val="0"/>
          <w:numId w:val="4"/>
        </w:numPr>
        <w:tabs>
          <w:tab w:val="left" w:pos="1242"/>
        </w:tabs>
      </w:pPr>
      <w:r w:rsidRPr="009D590A">
        <w:t>Where data processing in itself “makes it impossible for persons whose data is processed to exercise his/her right or use a service or an agreement.”</w:t>
      </w:r>
    </w:p>
    <w:p w:rsidR="009B36E4" w:rsidRDefault="009B36E4" w:rsidP="009B36E4">
      <w:pPr>
        <w:tabs>
          <w:tab w:val="left" w:pos="1242"/>
        </w:tabs>
      </w:pPr>
    </w:p>
    <w:p w:rsidR="009B36E4" w:rsidRDefault="009B36E4" w:rsidP="009B36E4">
      <w:pPr>
        <w:tabs>
          <w:tab w:val="left" w:pos="1242"/>
        </w:tabs>
      </w:pPr>
    </w:p>
    <w:p w:rsidR="009B36E4" w:rsidRDefault="009B36E4" w:rsidP="009B36E4">
      <w:pPr>
        <w:tabs>
          <w:tab w:val="left" w:pos="1242"/>
        </w:tabs>
        <w:rPr>
          <w:b/>
        </w:rPr>
      </w:pPr>
      <w:r>
        <w:rPr>
          <w:b/>
        </w:rPr>
        <w:t>Trust Arc Process –</w:t>
      </w:r>
    </w:p>
    <w:p w:rsidR="009B36E4" w:rsidRDefault="00720047" w:rsidP="00720047">
      <w:pPr>
        <w:pStyle w:val="ListParagraph"/>
        <w:numPr>
          <w:ilvl w:val="0"/>
          <w:numId w:val="5"/>
        </w:numPr>
        <w:tabs>
          <w:tab w:val="left" w:pos="1242"/>
        </w:tabs>
      </w:pPr>
      <w:r>
        <w:t xml:space="preserve">Define Roles and Responsibility </w:t>
      </w:r>
    </w:p>
    <w:p w:rsidR="00720047" w:rsidRDefault="00720047" w:rsidP="00720047">
      <w:pPr>
        <w:pStyle w:val="ListParagraph"/>
        <w:numPr>
          <w:ilvl w:val="0"/>
          <w:numId w:val="5"/>
        </w:numPr>
        <w:tabs>
          <w:tab w:val="left" w:pos="1242"/>
        </w:tabs>
      </w:pPr>
      <w:r>
        <w:t>Create Process workflow</w:t>
      </w:r>
    </w:p>
    <w:p w:rsidR="00720047" w:rsidRDefault="00720047" w:rsidP="00720047">
      <w:pPr>
        <w:pStyle w:val="ListParagraph"/>
        <w:numPr>
          <w:ilvl w:val="0"/>
          <w:numId w:val="5"/>
        </w:numPr>
        <w:tabs>
          <w:tab w:val="left" w:pos="1242"/>
        </w:tabs>
      </w:pPr>
      <w:r>
        <w:t>Assessment Content – Same modifiable questionnaire</w:t>
      </w:r>
    </w:p>
    <w:p w:rsidR="00720047" w:rsidRDefault="00720047" w:rsidP="00720047">
      <w:pPr>
        <w:pStyle w:val="ListParagraph"/>
        <w:numPr>
          <w:ilvl w:val="0"/>
          <w:numId w:val="5"/>
        </w:numPr>
        <w:tabs>
          <w:tab w:val="left" w:pos="1242"/>
        </w:tabs>
      </w:pPr>
      <w:r>
        <w:t>Implement scalable program</w:t>
      </w:r>
    </w:p>
    <w:p w:rsidR="00720047" w:rsidRDefault="00720047" w:rsidP="00720047">
      <w:pPr>
        <w:tabs>
          <w:tab w:val="left" w:pos="1242"/>
        </w:tabs>
      </w:pPr>
    </w:p>
    <w:p w:rsidR="00720047" w:rsidRPr="009B36E4" w:rsidRDefault="00720047" w:rsidP="00720047">
      <w:pPr>
        <w:tabs>
          <w:tab w:val="left" w:pos="1242"/>
        </w:tabs>
      </w:pPr>
    </w:p>
    <w:p w:rsidR="009D590A" w:rsidRPr="005A301D" w:rsidRDefault="00720047" w:rsidP="005A301D">
      <w:pPr>
        <w:tabs>
          <w:tab w:val="left" w:pos="1242"/>
        </w:tabs>
      </w:pPr>
      <w:r>
        <w:rPr>
          <w:noProof/>
        </w:rPr>
        <w:drawing>
          <wp:inline distT="0" distB="0" distL="0" distR="0">
            <wp:extent cx="5943600" cy="2702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07 at 6.41.4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02560"/>
                    </a:xfrm>
                    <a:prstGeom prst="rect">
                      <a:avLst/>
                    </a:prstGeom>
                  </pic:spPr>
                </pic:pic>
              </a:graphicData>
            </a:graphic>
          </wp:inline>
        </w:drawing>
      </w:r>
    </w:p>
    <w:p w:rsidR="005A301D" w:rsidRDefault="00720047" w:rsidP="005A301D">
      <w:pPr>
        <w:tabs>
          <w:tab w:val="left" w:pos="1242"/>
        </w:tabs>
      </w:pPr>
      <w:r>
        <w:t xml:space="preserve">Source -- </w:t>
      </w:r>
      <w:hyperlink r:id="rId10" w:history="1">
        <w:r w:rsidRPr="00091DF4">
          <w:rPr>
            <w:rStyle w:val="Hyperlink"/>
          </w:rPr>
          <w:t>https://www.trustarc.com/customer-success/</w:t>
        </w:r>
      </w:hyperlink>
    </w:p>
    <w:p w:rsidR="00720047" w:rsidRDefault="00720047" w:rsidP="005A301D">
      <w:pPr>
        <w:tabs>
          <w:tab w:val="left" w:pos="1242"/>
        </w:tabs>
      </w:pPr>
    </w:p>
    <w:p w:rsidR="00720047" w:rsidRDefault="00720047" w:rsidP="005A301D">
      <w:pPr>
        <w:tabs>
          <w:tab w:val="left" w:pos="1242"/>
        </w:tabs>
        <w:rPr>
          <w:b/>
        </w:rPr>
      </w:pPr>
      <w:r>
        <w:rPr>
          <w:b/>
        </w:rPr>
        <w:t>Trust Arc Competitive Advantage –</w:t>
      </w:r>
    </w:p>
    <w:p w:rsidR="00720047" w:rsidRDefault="00720047" w:rsidP="005A301D">
      <w:pPr>
        <w:tabs>
          <w:tab w:val="left" w:pos="1242"/>
        </w:tabs>
      </w:pPr>
    </w:p>
    <w:p w:rsidR="00254106" w:rsidRDefault="00254106" w:rsidP="00254106">
      <w:pPr>
        <w:pStyle w:val="ListParagraph"/>
        <w:numPr>
          <w:ilvl w:val="0"/>
          <w:numId w:val="6"/>
        </w:numPr>
        <w:tabs>
          <w:tab w:val="left" w:pos="1242"/>
        </w:tabs>
      </w:pPr>
      <w:r>
        <w:t>Extensive Logic Based Workflows</w:t>
      </w:r>
    </w:p>
    <w:p w:rsidR="00254106" w:rsidRDefault="00254106" w:rsidP="00254106">
      <w:pPr>
        <w:pStyle w:val="ListParagraph"/>
        <w:numPr>
          <w:ilvl w:val="0"/>
          <w:numId w:val="6"/>
        </w:numPr>
        <w:tabs>
          <w:tab w:val="left" w:pos="1242"/>
        </w:tabs>
      </w:pPr>
      <w:r>
        <w:t>Accountability with Reporting Features – Advantage for creating Article 30 reports</w:t>
      </w:r>
    </w:p>
    <w:p w:rsidR="00254106" w:rsidRDefault="00254106" w:rsidP="00254106">
      <w:pPr>
        <w:pStyle w:val="ListParagraph"/>
        <w:numPr>
          <w:ilvl w:val="0"/>
          <w:numId w:val="6"/>
        </w:numPr>
        <w:tabs>
          <w:tab w:val="left" w:pos="1242"/>
        </w:tabs>
      </w:pPr>
      <w:r>
        <w:lastRenderedPageBreak/>
        <w:t>Unique combination of Technology + Expertise</w:t>
      </w:r>
    </w:p>
    <w:p w:rsidR="00254106" w:rsidRDefault="00254106" w:rsidP="00254106">
      <w:pPr>
        <w:pStyle w:val="ListParagraph"/>
        <w:numPr>
          <w:ilvl w:val="0"/>
          <w:numId w:val="6"/>
        </w:numPr>
        <w:tabs>
          <w:tab w:val="left" w:pos="1242"/>
        </w:tabs>
      </w:pPr>
      <w:r>
        <w:t>A more holistic privacy program</w:t>
      </w:r>
    </w:p>
    <w:p w:rsidR="00254106" w:rsidRDefault="00254106" w:rsidP="00254106">
      <w:pPr>
        <w:tabs>
          <w:tab w:val="left" w:pos="1242"/>
        </w:tabs>
        <w:ind w:left="360"/>
      </w:pPr>
    </w:p>
    <w:p w:rsidR="00254106" w:rsidRDefault="00254106" w:rsidP="00254106">
      <w:pPr>
        <w:tabs>
          <w:tab w:val="left" w:pos="1242"/>
        </w:tabs>
        <w:ind w:left="360"/>
      </w:pPr>
      <w:r>
        <w:t xml:space="preserve">Source -- </w:t>
      </w:r>
      <w:hyperlink r:id="rId11" w:history="1">
        <w:r w:rsidRPr="00091DF4">
          <w:rPr>
            <w:rStyle w:val="Hyperlink"/>
          </w:rPr>
          <w:t>https://download.trustarc.com/dload.php/?f=52GRN7BR-691</w:t>
        </w:r>
      </w:hyperlink>
    </w:p>
    <w:p w:rsidR="00254106" w:rsidRDefault="00254106" w:rsidP="00254106">
      <w:pPr>
        <w:tabs>
          <w:tab w:val="left" w:pos="1242"/>
        </w:tabs>
        <w:ind w:left="360"/>
      </w:pPr>
    </w:p>
    <w:p w:rsidR="00254106" w:rsidRDefault="00254106" w:rsidP="00254106">
      <w:pPr>
        <w:tabs>
          <w:tab w:val="left" w:pos="1242"/>
        </w:tabs>
        <w:ind w:left="360"/>
      </w:pPr>
    </w:p>
    <w:p w:rsidR="00254106" w:rsidRDefault="00254106" w:rsidP="00254106">
      <w:pPr>
        <w:tabs>
          <w:tab w:val="left" w:pos="1242"/>
        </w:tabs>
        <w:ind w:left="360"/>
        <w:rPr>
          <w:b/>
        </w:rPr>
      </w:pPr>
      <w:r>
        <w:rPr>
          <w:b/>
        </w:rPr>
        <w:t>One Trust Customers –</w:t>
      </w:r>
    </w:p>
    <w:p w:rsidR="00254106" w:rsidRDefault="00254106" w:rsidP="00254106">
      <w:pPr>
        <w:tabs>
          <w:tab w:val="left" w:pos="1242"/>
        </w:tabs>
        <w:ind w:left="360"/>
        <w:rPr>
          <w:b/>
        </w:rPr>
      </w:pPr>
    </w:p>
    <w:p w:rsidR="00254106" w:rsidRDefault="00254106" w:rsidP="00254106">
      <w:pPr>
        <w:tabs>
          <w:tab w:val="left" w:pos="1242"/>
        </w:tabs>
        <w:ind w:left="360"/>
      </w:pPr>
      <w:r w:rsidRPr="00254106">
        <w:t xml:space="preserve">Source -- </w:t>
      </w:r>
      <w:hyperlink r:id="rId12" w:history="1">
        <w:r w:rsidR="00B858F1" w:rsidRPr="00091DF4">
          <w:rPr>
            <w:rStyle w:val="Hyperlink"/>
          </w:rPr>
          <w:t>https://www.onetrust.com/customers/</w:t>
        </w:r>
      </w:hyperlink>
    </w:p>
    <w:p w:rsidR="00B858F1" w:rsidRPr="00254106" w:rsidRDefault="00B858F1" w:rsidP="00254106">
      <w:pPr>
        <w:tabs>
          <w:tab w:val="left" w:pos="1242"/>
        </w:tabs>
        <w:ind w:left="360"/>
      </w:pPr>
    </w:p>
    <w:p w:rsidR="000714E1" w:rsidRDefault="00254106" w:rsidP="00254106">
      <w:pPr>
        <w:tabs>
          <w:tab w:val="left" w:pos="1242"/>
        </w:tabs>
        <w:ind w:left="360"/>
      </w:pPr>
      <w:r>
        <w:rPr>
          <w:noProof/>
        </w:rPr>
        <w:lastRenderedPageBreak/>
        <w:drawing>
          <wp:inline distT="0" distB="0" distL="0" distR="0">
            <wp:extent cx="5943600" cy="2481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07 at 7.06.23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81580"/>
                    </a:xfrm>
                    <a:prstGeom prst="rect">
                      <a:avLst/>
                    </a:prstGeom>
                  </pic:spPr>
                </pic:pic>
              </a:graphicData>
            </a:graphic>
          </wp:inline>
        </w:drawing>
      </w:r>
      <w:r w:rsidR="00B858F1">
        <w:rPr>
          <w:noProof/>
        </w:rPr>
        <w:drawing>
          <wp:inline distT="0" distB="0" distL="0" distR="0">
            <wp:extent cx="5943600" cy="3677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0-07 at 7.06.04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77285"/>
                    </a:xfrm>
                    <a:prstGeom prst="rect">
                      <a:avLst/>
                    </a:prstGeom>
                  </pic:spPr>
                </pic:pic>
              </a:graphicData>
            </a:graphic>
          </wp:inline>
        </w:drawing>
      </w:r>
      <w:r>
        <w:rPr>
          <w:noProof/>
        </w:rPr>
        <w:lastRenderedPageBreak/>
        <w:drawing>
          <wp:inline distT="0" distB="0" distL="0" distR="0">
            <wp:extent cx="5943600" cy="3796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0-07 at 7.06.15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inline>
        </w:drawing>
      </w:r>
    </w:p>
    <w:p w:rsidR="000714E1" w:rsidRPr="000714E1" w:rsidRDefault="000714E1" w:rsidP="000714E1"/>
    <w:p w:rsidR="000714E1" w:rsidRPr="000714E1" w:rsidRDefault="000714E1" w:rsidP="000714E1"/>
    <w:p w:rsidR="000714E1" w:rsidRDefault="000714E1" w:rsidP="000714E1"/>
    <w:p w:rsidR="00254106" w:rsidRDefault="000714E1" w:rsidP="000714E1">
      <w:pPr>
        <w:rPr>
          <w:b/>
        </w:rPr>
      </w:pPr>
      <w:r>
        <w:rPr>
          <w:b/>
        </w:rPr>
        <w:t>Other Alternatives –</w:t>
      </w:r>
    </w:p>
    <w:p w:rsidR="000714E1" w:rsidRDefault="00BC2BB6" w:rsidP="000714E1">
      <w:pPr>
        <w:rPr>
          <w:b/>
        </w:rPr>
      </w:pPr>
      <w:r>
        <w:rPr>
          <w:b/>
        </w:rPr>
        <w:t>Trust wave and veritas – not much found – They are in the GDPR market, but do not have specific DPIA’s respectively.</w:t>
      </w:r>
    </w:p>
    <w:p w:rsidR="00BC2BB6" w:rsidRDefault="00BC2BB6" w:rsidP="000714E1">
      <w:pPr>
        <w:rPr>
          <w:b/>
        </w:rPr>
      </w:pPr>
    </w:p>
    <w:p w:rsidR="00BC2BB6" w:rsidRDefault="00BC2BB6" w:rsidP="000714E1">
      <w:pPr>
        <w:rPr>
          <w:b/>
        </w:rPr>
      </w:pPr>
      <w:r>
        <w:rPr>
          <w:b/>
        </w:rPr>
        <w:t>Capgemini –</w:t>
      </w:r>
    </w:p>
    <w:p w:rsidR="00BC2BB6" w:rsidRDefault="00BC2BB6" w:rsidP="000714E1">
      <w:pPr>
        <w:rPr>
          <w:b/>
        </w:rPr>
      </w:pPr>
    </w:p>
    <w:p w:rsidR="00BC2BB6" w:rsidRDefault="00BC2BB6" w:rsidP="000714E1">
      <w:r>
        <w:t>Process – DPIA through Data Subject Consultation</w:t>
      </w:r>
    </w:p>
    <w:p w:rsidR="00BC2BB6" w:rsidRDefault="00BC2BB6" w:rsidP="000714E1"/>
    <w:p w:rsidR="00BC2BB6" w:rsidRPr="00BC2BB6" w:rsidRDefault="00BC2BB6" w:rsidP="00BC2BB6">
      <w:r w:rsidRPr="00BC2BB6">
        <w:t>A few of the consultation mechanisms that can be considered are focus groups, user groups, public meetings, consumer panels, town hall meetings, individual interviews, paired interviews, and surveys – depending on the type and nature of processing.</w:t>
      </w:r>
    </w:p>
    <w:p w:rsidR="00BC2BB6" w:rsidRPr="00BC2BB6" w:rsidRDefault="00BC2BB6" w:rsidP="00BC2BB6">
      <w:r w:rsidRPr="00BC2BB6">
        <w:t>To this end, here are some logical steps to help you set up a solid consultation process with your data subjects:</w:t>
      </w:r>
    </w:p>
    <w:p w:rsidR="00BC2BB6" w:rsidRPr="00BC2BB6" w:rsidRDefault="00BC2BB6" w:rsidP="00BC2BB6">
      <w:pPr>
        <w:numPr>
          <w:ilvl w:val="0"/>
          <w:numId w:val="7"/>
        </w:numPr>
      </w:pPr>
      <w:r w:rsidRPr="00BC2BB6">
        <w:t>Design a consultation process and create guidelines for the process.</w:t>
      </w:r>
    </w:p>
    <w:p w:rsidR="00BC2BB6" w:rsidRPr="00BC2BB6" w:rsidRDefault="00BC2BB6" w:rsidP="00BC2BB6">
      <w:pPr>
        <w:numPr>
          <w:ilvl w:val="0"/>
          <w:numId w:val="7"/>
        </w:numPr>
      </w:pPr>
      <w:r w:rsidRPr="00BC2BB6">
        <w:t>Develop a communication and response gathering strategy.</w:t>
      </w:r>
    </w:p>
    <w:p w:rsidR="00BC2BB6" w:rsidRPr="00BC2BB6" w:rsidRDefault="00BC2BB6" w:rsidP="00BC2BB6">
      <w:pPr>
        <w:numPr>
          <w:ilvl w:val="0"/>
          <w:numId w:val="7"/>
        </w:numPr>
      </w:pPr>
      <w:r w:rsidRPr="00BC2BB6">
        <w:t>Provide your data subjects with adequate information about the project in a clear manner for them to make valid contributions; explain what the process will be, why the consultation is being undertaken, how long it will last, what are the expected results, and how they will be used.</w:t>
      </w:r>
    </w:p>
    <w:p w:rsidR="00BC2BB6" w:rsidRPr="00BC2BB6" w:rsidRDefault="00BC2BB6" w:rsidP="00BC2BB6">
      <w:pPr>
        <w:numPr>
          <w:ilvl w:val="0"/>
          <w:numId w:val="7"/>
        </w:numPr>
      </w:pPr>
      <w:r w:rsidRPr="00BC2BB6">
        <w:lastRenderedPageBreak/>
        <w:t>Document the reasons, in the event your data controller’s final decision differs from the views of the data subject.</w:t>
      </w:r>
    </w:p>
    <w:p w:rsidR="00BC2BB6" w:rsidRPr="00BC2BB6" w:rsidRDefault="00BC2BB6" w:rsidP="00BC2BB6">
      <w:pPr>
        <w:numPr>
          <w:ilvl w:val="0"/>
          <w:numId w:val="7"/>
        </w:numPr>
      </w:pPr>
      <w:r w:rsidRPr="00BC2BB6">
        <w:t>Document the justification with clear explanations for not seeking the views of the data subject, in the event your data controller decides the data subject’s consultation isn’t appropriate.</w:t>
      </w:r>
    </w:p>
    <w:p w:rsidR="00BC2BB6" w:rsidRPr="00BC2BB6" w:rsidRDefault="00BC2BB6" w:rsidP="00BC2BB6">
      <w:r w:rsidRPr="00BC2BB6">
        <w:t> The benefits of data subject consultation</w:t>
      </w:r>
    </w:p>
    <w:p w:rsidR="00BC2BB6" w:rsidRPr="00BC2BB6" w:rsidRDefault="00BC2BB6" w:rsidP="00BC2BB6">
      <w:r w:rsidRPr="00BC2BB6">
        <w:t>Consulting data subjects or their representatives enables your organization to:</w:t>
      </w:r>
    </w:p>
    <w:p w:rsidR="00BC2BB6" w:rsidRPr="00BC2BB6" w:rsidRDefault="00BC2BB6" w:rsidP="00BC2BB6">
      <w:pPr>
        <w:numPr>
          <w:ilvl w:val="0"/>
          <w:numId w:val="8"/>
        </w:numPr>
      </w:pPr>
      <w:r w:rsidRPr="00BC2BB6">
        <w:t>Assess the risk to your data subjects’ rights and freedoms, and identify measures to reduce risk to an acceptable level.</w:t>
      </w:r>
    </w:p>
    <w:p w:rsidR="00BC2BB6" w:rsidRPr="00BC2BB6" w:rsidRDefault="00BC2BB6" w:rsidP="00BC2BB6">
      <w:pPr>
        <w:numPr>
          <w:ilvl w:val="0"/>
          <w:numId w:val="8"/>
        </w:numPr>
      </w:pPr>
      <w:r w:rsidRPr="00BC2BB6">
        <w:t>Demonstrate compliance with GDPR requirements.</w:t>
      </w:r>
    </w:p>
    <w:p w:rsidR="00BC2BB6" w:rsidRPr="00BC2BB6" w:rsidRDefault="00BC2BB6" w:rsidP="00BC2BB6">
      <w:pPr>
        <w:numPr>
          <w:ilvl w:val="0"/>
          <w:numId w:val="8"/>
        </w:numPr>
      </w:pPr>
      <w:r w:rsidRPr="00BC2BB6">
        <w:t>Foster greater trust and confidence of your data subjects and data controllers.</w:t>
      </w:r>
    </w:p>
    <w:p w:rsidR="00BC2BB6" w:rsidRPr="00BC2BB6" w:rsidRDefault="00BC2BB6" w:rsidP="00BC2BB6">
      <w:pPr>
        <w:numPr>
          <w:ilvl w:val="0"/>
          <w:numId w:val="8"/>
        </w:numPr>
      </w:pPr>
      <w:r w:rsidRPr="00BC2BB6">
        <w:t>Benefit from options based on a wider range of views gathered.</w:t>
      </w:r>
    </w:p>
    <w:p w:rsidR="00BC2BB6" w:rsidRPr="00BC2BB6" w:rsidRDefault="00BC2BB6" w:rsidP="00BC2BB6">
      <w:pPr>
        <w:numPr>
          <w:ilvl w:val="0"/>
          <w:numId w:val="8"/>
        </w:numPr>
      </w:pPr>
      <w:r w:rsidRPr="00BC2BB6">
        <w:t>Identify risks related to significant social or economic disadvantage.</w:t>
      </w:r>
    </w:p>
    <w:p w:rsidR="00BC2BB6" w:rsidRPr="00BC2BB6" w:rsidRDefault="00BC2BB6" w:rsidP="00BC2BB6">
      <w:pPr>
        <w:numPr>
          <w:ilvl w:val="0"/>
          <w:numId w:val="8"/>
        </w:numPr>
      </w:pPr>
      <w:r w:rsidRPr="00BC2BB6">
        <w:t>Improve understanding of your data subjects’ needs, concerns, and expectations.</w:t>
      </w:r>
    </w:p>
    <w:p w:rsidR="00BC2BB6" w:rsidRPr="00BC2BB6" w:rsidRDefault="00BC2BB6" w:rsidP="00BC2BB6">
      <w:pPr>
        <w:numPr>
          <w:ilvl w:val="0"/>
          <w:numId w:val="8"/>
        </w:numPr>
      </w:pPr>
      <w:r w:rsidRPr="00BC2BB6">
        <w:t>Avoid potential reputational damage at a later stage.</w:t>
      </w:r>
    </w:p>
    <w:p w:rsidR="00BC2BB6" w:rsidRDefault="00BC2BB6" w:rsidP="00BC2BB6">
      <w:r w:rsidRPr="00BC2BB6">
        <w:t>To conclude, consulting data subjects enhances the effectiveness of your DPIA process, which helps to ensure GDPR compliance. In the absence of a data subject consultation process, it is strongly advised that you document the reasons for not consulting your data subjects, with valid reasons to help you demonstrate compliance if challenged.</w:t>
      </w:r>
    </w:p>
    <w:p w:rsidR="00BC2BB6" w:rsidRDefault="00BC2BB6" w:rsidP="00BC2BB6"/>
    <w:p w:rsidR="00BC2BB6" w:rsidRDefault="00BC2BB6" w:rsidP="00BC2BB6">
      <w:pPr>
        <w:rPr>
          <w:b/>
        </w:rPr>
      </w:pPr>
      <w:r>
        <w:rPr>
          <w:b/>
        </w:rPr>
        <w:t xml:space="preserve">Understanding – Mostly the same DPIA process </w:t>
      </w:r>
    </w:p>
    <w:p w:rsidR="00A33DAA" w:rsidRDefault="00A33DAA" w:rsidP="00BC2BB6">
      <w:pPr>
        <w:rPr>
          <w:b/>
        </w:rPr>
      </w:pPr>
    </w:p>
    <w:p w:rsidR="00A33DAA" w:rsidRDefault="00A33DAA" w:rsidP="00BC2BB6">
      <w:pPr>
        <w:rPr>
          <w:b/>
        </w:rPr>
      </w:pPr>
      <w:r>
        <w:rPr>
          <w:b/>
        </w:rPr>
        <w:t>Clients – Yet to figure out !</w:t>
      </w:r>
    </w:p>
    <w:p w:rsidR="00A33DAA" w:rsidRPr="00BC2BB6" w:rsidRDefault="00A33DAA" w:rsidP="00BC2BB6">
      <w:pPr>
        <w:rPr>
          <w:b/>
        </w:rPr>
      </w:pPr>
      <w:bookmarkStart w:id="0" w:name="_GoBack"/>
      <w:bookmarkEnd w:id="0"/>
    </w:p>
    <w:p w:rsidR="00BC2BB6" w:rsidRPr="00BC2BB6" w:rsidRDefault="00BC2BB6" w:rsidP="00BC2BB6"/>
    <w:p w:rsidR="00BC2BB6" w:rsidRDefault="00BC2BB6" w:rsidP="000714E1"/>
    <w:p w:rsidR="00BC2BB6" w:rsidRPr="00BC2BB6" w:rsidRDefault="00BC2BB6" w:rsidP="000714E1">
      <w:pPr>
        <w:rPr>
          <w:b/>
        </w:rPr>
      </w:pPr>
      <w:r>
        <w:rPr>
          <w:b/>
        </w:rPr>
        <w:t xml:space="preserve">Source -- </w:t>
      </w:r>
      <w:r w:rsidRPr="00BC2BB6">
        <w:rPr>
          <w:b/>
        </w:rPr>
        <w:t>https://www.capgemini.com/2018/04/dpia-under-gdpr-consult-your-data-subjects/</w:t>
      </w:r>
    </w:p>
    <w:p w:rsidR="00BC2BB6" w:rsidRPr="00BC2BB6" w:rsidRDefault="00BC2BB6" w:rsidP="000714E1"/>
    <w:sectPr w:rsidR="00BC2BB6" w:rsidRPr="00BC2BB6" w:rsidSect="00BA7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4830"/>
    <w:multiLevelType w:val="multilevel"/>
    <w:tmpl w:val="16F6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17A39"/>
    <w:multiLevelType w:val="hybridMultilevel"/>
    <w:tmpl w:val="A1281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A45BA"/>
    <w:multiLevelType w:val="multilevel"/>
    <w:tmpl w:val="5528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01199"/>
    <w:multiLevelType w:val="multilevel"/>
    <w:tmpl w:val="7AB8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15B6D"/>
    <w:multiLevelType w:val="hybridMultilevel"/>
    <w:tmpl w:val="36466B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450F8"/>
    <w:multiLevelType w:val="hybridMultilevel"/>
    <w:tmpl w:val="C184A1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A7543A"/>
    <w:multiLevelType w:val="hybridMultilevel"/>
    <w:tmpl w:val="0DB8B0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016F24"/>
    <w:multiLevelType w:val="multilevel"/>
    <w:tmpl w:val="F3102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0"/>
  </w:num>
  <w:num w:numId="4">
    <w:abstractNumId w:val="7"/>
  </w:num>
  <w:num w:numId="5">
    <w:abstractNumId w:val="5"/>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02"/>
    <w:rsid w:val="000714E1"/>
    <w:rsid w:val="00092CE1"/>
    <w:rsid w:val="00254106"/>
    <w:rsid w:val="00263A4B"/>
    <w:rsid w:val="002B320C"/>
    <w:rsid w:val="005A301D"/>
    <w:rsid w:val="00720047"/>
    <w:rsid w:val="008F72E9"/>
    <w:rsid w:val="009B36E4"/>
    <w:rsid w:val="009D590A"/>
    <w:rsid w:val="00A33DAA"/>
    <w:rsid w:val="00B858F1"/>
    <w:rsid w:val="00BA7C48"/>
    <w:rsid w:val="00BC2BB6"/>
    <w:rsid w:val="00F27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7EACF1"/>
  <w15:chartTrackingRefBased/>
  <w15:docId w15:val="{B3BEDAE8-C97F-F349-9ADC-384AE489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F02"/>
    <w:rPr>
      <w:color w:val="0563C1" w:themeColor="hyperlink"/>
      <w:u w:val="single"/>
    </w:rPr>
  </w:style>
  <w:style w:type="character" w:styleId="UnresolvedMention">
    <w:name w:val="Unresolved Mention"/>
    <w:basedOn w:val="DefaultParagraphFont"/>
    <w:uiPriority w:val="99"/>
    <w:semiHidden/>
    <w:unhideWhenUsed/>
    <w:rsid w:val="00F27F02"/>
    <w:rPr>
      <w:color w:val="808080"/>
      <w:shd w:val="clear" w:color="auto" w:fill="E6E6E6"/>
    </w:rPr>
  </w:style>
  <w:style w:type="paragraph" w:styleId="ListParagraph">
    <w:name w:val="List Paragraph"/>
    <w:basedOn w:val="Normal"/>
    <w:uiPriority w:val="34"/>
    <w:qFormat/>
    <w:rsid w:val="00F27F02"/>
    <w:pPr>
      <w:ind w:left="720"/>
      <w:contextualSpacing/>
    </w:pPr>
  </w:style>
  <w:style w:type="character" w:customStyle="1" w:styleId="apple-converted-space">
    <w:name w:val="apple-converted-space"/>
    <w:basedOn w:val="DefaultParagraphFont"/>
    <w:rsid w:val="002B320C"/>
  </w:style>
  <w:style w:type="character" w:customStyle="1" w:styleId="xn-location">
    <w:name w:val="xn-location"/>
    <w:basedOn w:val="DefaultParagraphFont"/>
    <w:rsid w:val="002B320C"/>
  </w:style>
  <w:style w:type="character" w:customStyle="1" w:styleId="xn-person">
    <w:name w:val="xn-person"/>
    <w:basedOn w:val="DefaultParagraphFont"/>
    <w:rsid w:val="002B3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2516">
      <w:bodyDiv w:val="1"/>
      <w:marLeft w:val="0"/>
      <w:marRight w:val="0"/>
      <w:marTop w:val="0"/>
      <w:marBottom w:val="0"/>
      <w:divBdr>
        <w:top w:val="none" w:sz="0" w:space="0" w:color="auto"/>
        <w:left w:val="none" w:sz="0" w:space="0" w:color="auto"/>
        <w:bottom w:val="none" w:sz="0" w:space="0" w:color="auto"/>
        <w:right w:val="none" w:sz="0" w:space="0" w:color="auto"/>
      </w:divBdr>
      <w:divsChild>
        <w:div w:id="870917543">
          <w:marLeft w:val="0"/>
          <w:marRight w:val="0"/>
          <w:marTop w:val="0"/>
          <w:marBottom w:val="0"/>
          <w:divBdr>
            <w:top w:val="none" w:sz="0" w:space="0" w:color="auto"/>
            <w:left w:val="none" w:sz="0" w:space="0" w:color="auto"/>
            <w:bottom w:val="none" w:sz="0" w:space="0" w:color="auto"/>
            <w:right w:val="none" w:sz="0" w:space="0" w:color="auto"/>
          </w:divBdr>
          <w:divsChild>
            <w:div w:id="1352685685">
              <w:marLeft w:val="0"/>
              <w:marRight w:val="0"/>
              <w:marTop w:val="0"/>
              <w:marBottom w:val="0"/>
              <w:divBdr>
                <w:top w:val="none" w:sz="0" w:space="0" w:color="auto"/>
                <w:left w:val="none" w:sz="0" w:space="0" w:color="auto"/>
                <w:bottom w:val="none" w:sz="0" w:space="0" w:color="auto"/>
                <w:right w:val="none" w:sz="0" w:space="0" w:color="auto"/>
              </w:divBdr>
              <w:divsChild>
                <w:div w:id="985204602">
                  <w:marLeft w:val="0"/>
                  <w:marRight w:val="0"/>
                  <w:marTop w:val="0"/>
                  <w:marBottom w:val="0"/>
                  <w:divBdr>
                    <w:top w:val="none" w:sz="0" w:space="0" w:color="auto"/>
                    <w:left w:val="none" w:sz="0" w:space="0" w:color="auto"/>
                    <w:bottom w:val="none" w:sz="0" w:space="0" w:color="auto"/>
                    <w:right w:val="none" w:sz="0" w:space="0" w:color="auto"/>
                  </w:divBdr>
                  <w:divsChild>
                    <w:div w:id="5965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226">
      <w:bodyDiv w:val="1"/>
      <w:marLeft w:val="0"/>
      <w:marRight w:val="0"/>
      <w:marTop w:val="0"/>
      <w:marBottom w:val="0"/>
      <w:divBdr>
        <w:top w:val="none" w:sz="0" w:space="0" w:color="auto"/>
        <w:left w:val="none" w:sz="0" w:space="0" w:color="auto"/>
        <w:bottom w:val="none" w:sz="0" w:space="0" w:color="auto"/>
        <w:right w:val="none" w:sz="0" w:space="0" w:color="auto"/>
      </w:divBdr>
    </w:div>
    <w:div w:id="927886769">
      <w:bodyDiv w:val="1"/>
      <w:marLeft w:val="0"/>
      <w:marRight w:val="0"/>
      <w:marTop w:val="0"/>
      <w:marBottom w:val="0"/>
      <w:divBdr>
        <w:top w:val="none" w:sz="0" w:space="0" w:color="auto"/>
        <w:left w:val="none" w:sz="0" w:space="0" w:color="auto"/>
        <w:bottom w:val="none" w:sz="0" w:space="0" w:color="auto"/>
        <w:right w:val="none" w:sz="0" w:space="0" w:color="auto"/>
      </w:divBdr>
      <w:divsChild>
        <w:div w:id="1132670898">
          <w:marLeft w:val="0"/>
          <w:marRight w:val="0"/>
          <w:marTop w:val="0"/>
          <w:marBottom w:val="0"/>
          <w:divBdr>
            <w:top w:val="none" w:sz="0" w:space="0" w:color="auto"/>
            <w:left w:val="none" w:sz="0" w:space="0" w:color="auto"/>
            <w:bottom w:val="none" w:sz="0" w:space="0" w:color="auto"/>
            <w:right w:val="none" w:sz="0" w:space="0" w:color="auto"/>
          </w:divBdr>
        </w:div>
        <w:div w:id="1481925371">
          <w:marLeft w:val="0"/>
          <w:marRight w:val="0"/>
          <w:marTop w:val="0"/>
          <w:marBottom w:val="0"/>
          <w:divBdr>
            <w:top w:val="none" w:sz="0" w:space="0" w:color="auto"/>
            <w:left w:val="none" w:sz="0" w:space="0" w:color="auto"/>
            <w:bottom w:val="none" w:sz="0" w:space="0" w:color="auto"/>
            <w:right w:val="none" w:sz="0" w:space="0" w:color="auto"/>
          </w:divBdr>
        </w:div>
        <w:div w:id="1774013515">
          <w:marLeft w:val="0"/>
          <w:marRight w:val="0"/>
          <w:marTop w:val="0"/>
          <w:marBottom w:val="0"/>
          <w:divBdr>
            <w:top w:val="none" w:sz="0" w:space="0" w:color="auto"/>
            <w:left w:val="none" w:sz="0" w:space="0" w:color="auto"/>
            <w:bottom w:val="none" w:sz="0" w:space="0" w:color="auto"/>
            <w:right w:val="none" w:sz="0" w:space="0" w:color="auto"/>
          </w:divBdr>
        </w:div>
        <w:div w:id="98643787">
          <w:marLeft w:val="0"/>
          <w:marRight w:val="0"/>
          <w:marTop w:val="0"/>
          <w:marBottom w:val="0"/>
          <w:divBdr>
            <w:top w:val="none" w:sz="0" w:space="0" w:color="auto"/>
            <w:left w:val="none" w:sz="0" w:space="0" w:color="auto"/>
            <w:bottom w:val="none" w:sz="0" w:space="0" w:color="auto"/>
            <w:right w:val="none" w:sz="0" w:space="0" w:color="auto"/>
          </w:divBdr>
        </w:div>
        <w:div w:id="1729567185">
          <w:marLeft w:val="0"/>
          <w:marRight w:val="0"/>
          <w:marTop w:val="0"/>
          <w:marBottom w:val="0"/>
          <w:divBdr>
            <w:top w:val="none" w:sz="0" w:space="0" w:color="auto"/>
            <w:left w:val="none" w:sz="0" w:space="0" w:color="auto"/>
            <w:bottom w:val="none" w:sz="0" w:space="0" w:color="auto"/>
            <w:right w:val="none" w:sz="0" w:space="0" w:color="auto"/>
          </w:divBdr>
        </w:div>
        <w:div w:id="1702243851">
          <w:marLeft w:val="0"/>
          <w:marRight w:val="0"/>
          <w:marTop w:val="0"/>
          <w:marBottom w:val="0"/>
          <w:divBdr>
            <w:top w:val="none" w:sz="0" w:space="0" w:color="auto"/>
            <w:left w:val="none" w:sz="0" w:space="0" w:color="auto"/>
            <w:bottom w:val="none" w:sz="0" w:space="0" w:color="auto"/>
            <w:right w:val="none" w:sz="0" w:space="0" w:color="auto"/>
          </w:divBdr>
        </w:div>
        <w:div w:id="2047751955">
          <w:marLeft w:val="0"/>
          <w:marRight w:val="0"/>
          <w:marTop w:val="0"/>
          <w:marBottom w:val="0"/>
          <w:divBdr>
            <w:top w:val="none" w:sz="0" w:space="0" w:color="auto"/>
            <w:left w:val="none" w:sz="0" w:space="0" w:color="auto"/>
            <w:bottom w:val="none" w:sz="0" w:space="0" w:color="auto"/>
            <w:right w:val="none" w:sz="0" w:space="0" w:color="auto"/>
          </w:divBdr>
        </w:div>
        <w:div w:id="1954555366">
          <w:marLeft w:val="0"/>
          <w:marRight w:val="0"/>
          <w:marTop w:val="0"/>
          <w:marBottom w:val="0"/>
          <w:divBdr>
            <w:top w:val="none" w:sz="0" w:space="0" w:color="auto"/>
            <w:left w:val="none" w:sz="0" w:space="0" w:color="auto"/>
            <w:bottom w:val="none" w:sz="0" w:space="0" w:color="auto"/>
            <w:right w:val="none" w:sz="0" w:space="0" w:color="auto"/>
          </w:divBdr>
        </w:div>
        <w:div w:id="1991909126">
          <w:marLeft w:val="0"/>
          <w:marRight w:val="0"/>
          <w:marTop w:val="0"/>
          <w:marBottom w:val="0"/>
          <w:divBdr>
            <w:top w:val="none" w:sz="0" w:space="0" w:color="auto"/>
            <w:left w:val="none" w:sz="0" w:space="0" w:color="auto"/>
            <w:bottom w:val="none" w:sz="0" w:space="0" w:color="auto"/>
            <w:right w:val="none" w:sz="0" w:space="0" w:color="auto"/>
          </w:divBdr>
        </w:div>
        <w:div w:id="1178085450">
          <w:marLeft w:val="0"/>
          <w:marRight w:val="0"/>
          <w:marTop w:val="0"/>
          <w:marBottom w:val="0"/>
          <w:divBdr>
            <w:top w:val="none" w:sz="0" w:space="0" w:color="auto"/>
            <w:left w:val="none" w:sz="0" w:space="0" w:color="auto"/>
            <w:bottom w:val="none" w:sz="0" w:space="0" w:color="auto"/>
            <w:right w:val="none" w:sz="0" w:space="0" w:color="auto"/>
          </w:divBdr>
        </w:div>
      </w:divsChild>
    </w:div>
    <w:div w:id="1004942731">
      <w:bodyDiv w:val="1"/>
      <w:marLeft w:val="0"/>
      <w:marRight w:val="0"/>
      <w:marTop w:val="0"/>
      <w:marBottom w:val="0"/>
      <w:divBdr>
        <w:top w:val="none" w:sz="0" w:space="0" w:color="auto"/>
        <w:left w:val="none" w:sz="0" w:space="0" w:color="auto"/>
        <w:bottom w:val="none" w:sz="0" w:space="0" w:color="auto"/>
        <w:right w:val="none" w:sz="0" w:space="0" w:color="auto"/>
      </w:divBdr>
      <w:divsChild>
        <w:div w:id="252663213">
          <w:marLeft w:val="0"/>
          <w:marRight w:val="0"/>
          <w:marTop w:val="0"/>
          <w:marBottom w:val="0"/>
          <w:divBdr>
            <w:top w:val="none" w:sz="0" w:space="0" w:color="auto"/>
            <w:left w:val="none" w:sz="0" w:space="0" w:color="auto"/>
            <w:bottom w:val="none" w:sz="0" w:space="0" w:color="auto"/>
            <w:right w:val="none" w:sz="0" w:space="0" w:color="auto"/>
          </w:divBdr>
        </w:div>
        <w:div w:id="10684845">
          <w:marLeft w:val="0"/>
          <w:marRight w:val="0"/>
          <w:marTop w:val="0"/>
          <w:marBottom w:val="0"/>
          <w:divBdr>
            <w:top w:val="none" w:sz="0" w:space="0" w:color="auto"/>
            <w:left w:val="none" w:sz="0" w:space="0" w:color="auto"/>
            <w:bottom w:val="none" w:sz="0" w:space="0" w:color="auto"/>
            <w:right w:val="none" w:sz="0" w:space="0" w:color="auto"/>
          </w:divBdr>
        </w:div>
        <w:div w:id="840269129">
          <w:marLeft w:val="0"/>
          <w:marRight w:val="0"/>
          <w:marTop w:val="0"/>
          <w:marBottom w:val="0"/>
          <w:divBdr>
            <w:top w:val="none" w:sz="0" w:space="0" w:color="auto"/>
            <w:left w:val="none" w:sz="0" w:space="0" w:color="auto"/>
            <w:bottom w:val="none" w:sz="0" w:space="0" w:color="auto"/>
            <w:right w:val="none" w:sz="0" w:space="0" w:color="auto"/>
          </w:divBdr>
        </w:div>
        <w:div w:id="2054497614">
          <w:marLeft w:val="0"/>
          <w:marRight w:val="0"/>
          <w:marTop w:val="0"/>
          <w:marBottom w:val="0"/>
          <w:divBdr>
            <w:top w:val="none" w:sz="0" w:space="0" w:color="auto"/>
            <w:left w:val="none" w:sz="0" w:space="0" w:color="auto"/>
            <w:bottom w:val="none" w:sz="0" w:space="0" w:color="auto"/>
            <w:right w:val="none" w:sz="0" w:space="0" w:color="auto"/>
          </w:divBdr>
        </w:div>
        <w:div w:id="741030303">
          <w:marLeft w:val="0"/>
          <w:marRight w:val="0"/>
          <w:marTop w:val="0"/>
          <w:marBottom w:val="0"/>
          <w:divBdr>
            <w:top w:val="none" w:sz="0" w:space="0" w:color="auto"/>
            <w:left w:val="none" w:sz="0" w:space="0" w:color="auto"/>
            <w:bottom w:val="none" w:sz="0" w:space="0" w:color="auto"/>
            <w:right w:val="none" w:sz="0" w:space="0" w:color="auto"/>
          </w:divBdr>
        </w:div>
        <w:div w:id="435557987">
          <w:marLeft w:val="0"/>
          <w:marRight w:val="0"/>
          <w:marTop w:val="0"/>
          <w:marBottom w:val="0"/>
          <w:divBdr>
            <w:top w:val="none" w:sz="0" w:space="0" w:color="auto"/>
            <w:left w:val="none" w:sz="0" w:space="0" w:color="auto"/>
            <w:bottom w:val="none" w:sz="0" w:space="0" w:color="auto"/>
            <w:right w:val="none" w:sz="0" w:space="0" w:color="auto"/>
          </w:divBdr>
        </w:div>
        <w:div w:id="1810705862">
          <w:marLeft w:val="0"/>
          <w:marRight w:val="0"/>
          <w:marTop w:val="0"/>
          <w:marBottom w:val="0"/>
          <w:divBdr>
            <w:top w:val="none" w:sz="0" w:space="0" w:color="auto"/>
            <w:left w:val="none" w:sz="0" w:space="0" w:color="auto"/>
            <w:bottom w:val="none" w:sz="0" w:space="0" w:color="auto"/>
            <w:right w:val="none" w:sz="0" w:space="0" w:color="auto"/>
          </w:divBdr>
        </w:div>
        <w:div w:id="686103218">
          <w:marLeft w:val="0"/>
          <w:marRight w:val="0"/>
          <w:marTop w:val="0"/>
          <w:marBottom w:val="0"/>
          <w:divBdr>
            <w:top w:val="none" w:sz="0" w:space="0" w:color="auto"/>
            <w:left w:val="none" w:sz="0" w:space="0" w:color="auto"/>
            <w:bottom w:val="none" w:sz="0" w:space="0" w:color="auto"/>
            <w:right w:val="none" w:sz="0" w:space="0" w:color="auto"/>
          </w:divBdr>
        </w:div>
        <w:div w:id="1072198327">
          <w:marLeft w:val="0"/>
          <w:marRight w:val="0"/>
          <w:marTop w:val="0"/>
          <w:marBottom w:val="0"/>
          <w:divBdr>
            <w:top w:val="none" w:sz="0" w:space="0" w:color="auto"/>
            <w:left w:val="none" w:sz="0" w:space="0" w:color="auto"/>
            <w:bottom w:val="none" w:sz="0" w:space="0" w:color="auto"/>
            <w:right w:val="none" w:sz="0" w:space="0" w:color="auto"/>
          </w:divBdr>
        </w:div>
        <w:div w:id="68357473">
          <w:marLeft w:val="0"/>
          <w:marRight w:val="0"/>
          <w:marTop w:val="0"/>
          <w:marBottom w:val="0"/>
          <w:divBdr>
            <w:top w:val="none" w:sz="0" w:space="0" w:color="auto"/>
            <w:left w:val="none" w:sz="0" w:space="0" w:color="auto"/>
            <w:bottom w:val="none" w:sz="0" w:space="0" w:color="auto"/>
            <w:right w:val="none" w:sz="0" w:space="0" w:color="auto"/>
          </w:divBdr>
        </w:div>
      </w:divsChild>
    </w:div>
    <w:div w:id="1208490812">
      <w:bodyDiv w:val="1"/>
      <w:marLeft w:val="0"/>
      <w:marRight w:val="0"/>
      <w:marTop w:val="0"/>
      <w:marBottom w:val="0"/>
      <w:divBdr>
        <w:top w:val="none" w:sz="0" w:space="0" w:color="auto"/>
        <w:left w:val="none" w:sz="0" w:space="0" w:color="auto"/>
        <w:bottom w:val="none" w:sz="0" w:space="0" w:color="auto"/>
        <w:right w:val="none" w:sz="0" w:space="0" w:color="auto"/>
      </w:divBdr>
    </w:div>
    <w:div w:id="1273825175">
      <w:bodyDiv w:val="1"/>
      <w:marLeft w:val="0"/>
      <w:marRight w:val="0"/>
      <w:marTop w:val="0"/>
      <w:marBottom w:val="0"/>
      <w:divBdr>
        <w:top w:val="none" w:sz="0" w:space="0" w:color="auto"/>
        <w:left w:val="none" w:sz="0" w:space="0" w:color="auto"/>
        <w:bottom w:val="none" w:sz="0" w:space="0" w:color="auto"/>
        <w:right w:val="none" w:sz="0" w:space="0" w:color="auto"/>
      </w:divBdr>
    </w:div>
    <w:div w:id="1421413627">
      <w:bodyDiv w:val="1"/>
      <w:marLeft w:val="0"/>
      <w:marRight w:val="0"/>
      <w:marTop w:val="0"/>
      <w:marBottom w:val="0"/>
      <w:divBdr>
        <w:top w:val="none" w:sz="0" w:space="0" w:color="auto"/>
        <w:left w:val="none" w:sz="0" w:space="0" w:color="auto"/>
        <w:bottom w:val="none" w:sz="0" w:space="0" w:color="auto"/>
        <w:right w:val="none" w:sz="0" w:space="0" w:color="auto"/>
      </w:divBdr>
    </w:div>
    <w:div w:id="1615088353">
      <w:bodyDiv w:val="1"/>
      <w:marLeft w:val="0"/>
      <w:marRight w:val="0"/>
      <w:marTop w:val="0"/>
      <w:marBottom w:val="0"/>
      <w:divBdr>
        <w:top w:val="none" w:sz="0" w:space="0" w:color="auto"/>
        <w:left w:val="none" w:sz="0" w:space="0" w:color="auto"/>
        <w:bottom w:val="none" w:sz="0" w:space="0" w:color="auto"/>
        <w:right w:val="none" w:sz="0" w:space="0" w:color="auto"/>
      </w:divBdr>
    </w:div>
    <w:div w:id="1637679723">
      <w:bodyDiv w:val="1"/>
      <w:marLeft w:val="0"/>
      <w:marRight w:val="0"/>
      <w:marTop w:val="0"/>
      <w:marBottom w:val="0"/>
      <w:divBdr>
        <w:top w:val="none" w:sz="0" w:space="0" w:color="auto"/>
        <w:left w:val="none" w:sz="0" w:space="0" w:color="auto"/>
        <w:bottom w:val="none" w:sz="0" w:space="0" w:color="auto"/>
        <w:right w:val="none" w:sz="0" w:space="0" w:color="auto"/>
      </w:divBdr>
    </w:div>
    <w:div w:id="1789157816">
      <w:bodyDiv w:val="1"/>
      <w:marLeft w:val="0"/>
      <w:marRight w:val="0"/>
      <w:marTop w:val="0"/>
      <w:marBottom w:val="0"/>
      <w:divBdr>
        <w:top w:val="none" w:sz="0" w:space="0" w:color="auto"/>
        <w:left w:val="none" w:sz="0" w:space="0" w:color="auto"/>
        <w:bottom w:val="none" w:sz="0" w:space="0" w:color="auto"/>
        <w:right w:val="none" w:sz="0" w:space="0" w:color="auto"/>
      </w:divBdr>
    </w:div>
    <w:div w:id="1964575687">
      <w:bodyDiv w:val="1"/>
      <w:marLeft w:val="0"/>
      <w:marRight w:val="0"/>
      <w:marTop w:val="0"/>
      <w:marBottom w:val="0"/>
      <w:divBdr>
        <w:top w:val="none" w:sz="0" w:space="0" w:color="auto"/>
        <w:left w:val="none" w:sz="0" w:space="0" w:color="auto"/>
        <w:bottom w:val="none" w:sz="0" w:space="0" w:color="auto"/>
        <w:right w:val="none" w:sz="0" w:space="0" w:color="auto"/>
      </w:divBdr>
      <w:divsChild>
        <w:div w:id="476145613">
          <w:marLeft w:val="0"/>
          <w:marRight w:val="0"/>
          <w:marTop w:val="0"/>
          <w:marBottom w:val="0"/>
          <w:divBdr>
            <w:top w:val="none" w:sz="0" w:space="0" w:color="auto"/>
            <w:left w:val="none" w:sz="0" w:space="0" w:color="auto"/>
            <w:bottom w:val="none" w:sz="0" w:space="0" w:color="auto"/>
            <w:right w:val="none" w:sz="0" w:space="0" w:color="auto"/>
          </w:divBdr>
        </w:div>
        <w:div w:id="1042555517">
          <w:marLeft w:val="0"/>
          <w:marRight w:val="0"/>
          <w:marTop w:val="0"/>
          <w:marBottom w:val="0"/>
          <w:divBdr>
            <w:top w:val="none" w:sz="0" w:space="0" w:color="auto"/>
            <w:left w:val="none" w:sz="0" w:space="0" w:color="auto"/>
            <w:bottom w:val="none" w:sz="0" w:space="0" w:color="auto"/>
            <w:right w:val="none" w:sz="0" w:space="0" w:color="auto"/>
          </w:divBdr>
        </w:div>
        <w:div w:id="481310308">
          <w:marLeft w:val="0"/>
          <w:marRight w:val="0"/>
          <w:marTop w:val="0"/>
          <w:marBottom w:val="0"/>
          <w:divBdr>
            <w:top w:val="none" w:sz="0" w:space="0" w:color="auto"/>
            <w:left w:val="none" w:sz="0" w:space="0" w:color="auto"/>
            <w:bottom w:val="none" w:sz="0" w:space="0" w:color="auto"/>
            <w:right w:val="none" w:sz="0" w:space="0" w:color="auto"/>
          </w:divBdr>
        </w:div>
        <w:div w:id="675576135">
          <w:marLeft w:val="0"/>
          <w:marRight w:val="0"/>
          <w:marTop w:val="0"/>
          <w:marBottom w:val="0"/>
          <w:divBdr>
            <w:top w:val="none" w:sz="0" w:space="0" w:color="auto"/>
            <w:left w:val="none" w:sz="0" w:space="0" w:color="auto"/>
            <w:bottom w:val="none" w:sz="0" w:space="0" w:color="auto"/>
            <w:right w:val="none" w:sz="0" w:space="0" w:color="auto"/>
          </w:divBdr>
        </w:div>
        <w:div w:id="1250039614">
          <w:marLeft w:val="0"/>
          <w:marRight w:val="0"/>
          <w:marTop w:val="0"/>
          <w:marBottom w:val="0"/>
          <w:divBdr>
            <w:top w:val="none" w:sz="0" w:space="0" w:color="auto"/>
            <w:left w:val="none" w:sz="0" w:space="0" w:color="auto"/>
            <w:bottom w:val="none" w:sz="0" w:space="0" w:color="auto"/>
            <w:right w:val="none" w:sz="0" w:space="0" w:color="auto"/>
          </w:divBdr>
        </w:div>
        <w:div w:id="597639344">
          <w:marLeft w:val="0"/>
          <w:marRight w:val="0"/>
          <w:marTop w:val="0"/>
          <w:marBottom w:val="0"/>
          <w:divBdr>
            <w:top w:val="none" w:sz="0" w:space="0" w:color="auto"/>
            <w:left w:val="none" w:sz="0" w:space="0" w:color="auto"/>
            <w:bottom w:val="none" w:sz="0" w:space="0" w:color="auto"/>
            <w:right w:val="none" w:sz="0" w:space="0" w:color="auto"/>
          </w:divBdr>
        </w:div>
        <w:div w:id="897008891">
          <w:marLeft w:val="0"/>
          <w:marRight w:val="0"/>
          <w:marTop w:val="0"/>
          <w:marBottom w:val="0"/>
          <w:divBdr>
            <w:top w:val="none" w:sz="0" w:space="0" w:color="auto"/>
            <w:left w:val="none" w:sz="0" w:space="0" w:color="auto"/>
            <w:bottom w:val="none" w:sz="0" w:space="0" w:color="auto"/>
            <w:right w:val="none" w:sz="0" w:space="0" w:color="auto"/>
          </w:divBdr>
        </w:div>
        <w:div w:id="2078942811">
          <w:marLeft w:val="0"/>
          <w:marRight w:val="0"/>
          <w:marTop w:val="0"/>
          <w:marBottom w:val="0"/>
          <w:divBdr>
            <w:top w:val="none" w:sz="0" w:space="0" w:color="auto"/>
            <w:left w:val="none" w:sz="0" w:space="0" w:color="auto"/>
            <w:bottom w:val="none" w:sz="0" w:space="0" w:color="auto"/>
            <w:right w:val="none" w:sz="0" w:space="0" w:color="auto"/>
          </w:divBdr>
        </w:div>
        <w:div w:id="174226481">
          <w:marLeft w:val="0"/>
          <w:marRight w:val="0"/>
          <w:marTop w:val="0"/>
          <w:marBottom w:val="0"/>
          <w:divBdr>
            <w:top w:val="none" w:sz="0" w:space="0" w:color="auto"/>
            <w:left w:val="none" w:sz="0" w:space="0" w:color="auto"/>
            <w:bottom w:val="none" w:sz="0" w:space="0" w:color="auto"/>
            <w:right w:val="none" w:sz="0" w:space="0" w:color="auto"/>
          </w:divBdr>
        </w:div>
        <w:div w:id="176190308">
          <w:marLeft w:val="0"/>
          <w:marRight w:val="0"/>
          <w:marTop w:val="0"/>
          <w:marBottom w:val="0"/>
          <w:divBdr>
            <w:top w:val="none" w:sz="0" w:space="0" w:color="auto"/>
            <w:left w:val="none" w:sz="0" w:space="0" w:color="auto"/>
            <w:bottom w:val="none" w:sz="0" w:space="0" w:color="auto"/>
            <w:right w:val="none" w:sz="0" w:space="0" w:color="auto"/>
          </w:divBdr>
        </w:div>
      </w:divsChild>
    </w:div>
    <w:div w:id="202219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trust.co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netrust.com/custom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arketsandmarkets.com/Market-Reports/gdpr-services-market-187994915.html" TargetMode="External"/><Relationship Id="rId11" Type="http://schemas.openxmlformats.org/officeDocument/2006/relationships/hyperlink" Target="https://download.trustarc.com/dload.php/?f=52GRN7BR-691" TargetMode="External"/><Relationship Id="rId5" Type="http://schemas.openxmlformats.org/officeDocument/2006/relationships/hyperlink" Target="https://markets.businessinsider.com/news/stocks/gdpr-services-market-worth-2-659-4-million-usd-by-2023-1027344200" TargetMode="External"/><Relationship Id="rId15" Type="http://schemas.openxmlformats.org/officeDocument/2006/relationships/image" Target="media/image5.png"/><Relationship Id="rId10" Type="http://schemas.openxmlformats.org/officeDocument/2006/relationships/hyperlink" Target="https://www.trustarc.com/customer-succes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Bhasin, Akshay</dc:creator>
  <cp:keywords/>
  <dc:description/>
  <cp:lastModifiedBy>Bhasin, Akshay</cp:lastModifiedBy>
  <cp:revision>7</cp:revision>
  <dcterms:created xsi:type="dcterms:W3CDTF">2018-10-06T20:57:00Z</dcterms:created>
  <dcterms:modified xsi:type="dcterms:W3CDTF">2018-10-10T00:27:00Z</dcterms:modified>
</cp:coreProperties>
</file>