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A64"/>
          <w:sz w:val="26"/>
        </w:rPr>
        <w:t>WEEK 01</w:t>
        <w:br/>
      </w:r>
      <w:r>
        <w:rPr>
          <w:b/>
          <w:color w:val="E15F0F"/>
          <w:sz w:val="50"/>
        </w:rPr>
        <w:t>DATA GATHERING, CLEANING</w:t>
        <w:br/>
        <w:t>AND PREPROCESSING</w:t>
      </w:r>
    </w:p>
    <w:p>
      <w:pPr>
        <w:jc w:val="center"/>
      </w:pPr>
      <w:r>
        <w:rPr>
          <w:i/>
          <w:sz w:val="24"/>
        </w:rPr>
        <w:t>Weekly Internship Progress Report</w:t>
      </w:r>
    </w:p>
    <w:p/>
    <w:tbl>
      <w:tblPr>
        <w:tblStyle w:val="LightShading-Accent1"/>
        <w:tblW w:type="auto" w:w="0"/>
        <w:jc w:val="center"/>
        <w:tblLook w:firstColumn="1" w:firstRow="1" w:lastColumn="0" w:lastRow="0" w:noHBand="0" w:noVBand="1" w:val="04A0"/>
      </w:tblPr>
      <w:tblGrid>
        <w:gridCol w:w="4968"/>
        <w:gridCol w:w="4968"/>
      </w:tblGrid>
      <w:tr>
        <w:tc>
          <w:tcPr>
            <w:tcW w:type="dxa" w:w="2880"/>
            <w:vAlign w:val="center"/>
            <w:shd w:fill="FCE4D6"/>
          </w:tcPr>
          <w:p>
            <w:pPr>
              <w:spacing w:after="40" w:before="40"/>
            </w:pPr>
            <w:r>
              <w:rPr>
                <w:rFonts w:ascii="Aptos" w:hAnsi="Aptos"/>
                <w:b/>
                <w:color w:val="823C0A"/>
                <w:sz w:val="18"/>
              </w:rPr>
              <w:t>Intern Name</w:t>
            </w:r>
          </w:p>
        </w:tc>
        <w:tc>
          <w:tcPr>
            <w:tcW w:type="dxa" w:w="6480"/>
            <w:vAlign w:val="center"/>
            <w:shd w:fill="FCE4D6"/>
          </w:tcPr>
          <w:p>
            <w:pPr>
              <w:spacing w:after="40" w:before="40"/>
            </w:pPr>
            <w:r>
              <w:rPr>
                <w:rFonts w:ascii="Aptos" w:hAnsi="Aptos"/>
                <w:b/>
                <w:color w:val="823C0A"/>
                <w:sz w:val="18"/>
              </w:rPr>
              <w:t>A. Akshay</w:t>
            </w:r>
          </w:p>
        </w:tc>
      </w:tr>
      <w:tr>
        <w:tc>
          <w:tcPr>
            <w:tcW w:type="dxa" w:w="2880"/>
            <w:vAlign w:val="center"/>
          </w:tcPr>
          <w:p>
            <w:pPr>
              <w:spacing w:after="40" w:before="40"/>
            </w:pPr>
            <w:r>
              <w:rPr>
                <w:rFonts w:ascii="Aptos" w:hAnsi="Aptos"/>
                <w:b/>
                <w:sz w:val="18"/>
              </w:rPr>
              <w:t>Internship Role</w:t>
            </w:r>
          </w:p>
        </w:tc>
        <w:tc>
          <w:tcPr>
            <w:tcW w:type="dxa" w:w="6480"/>
            <w:vAlign w:val="center"/>
          </w:tcPr>
          <w:p>
            <w:pPr>
              <w:spacing w:after="40" w:before="40"/>
            </w:pPr>
            <w:r>
              <w:rPr>
                <w:rFonts w:ascii="Aptos" w:hAnsi="Aptos"/>
                <w:sz w:val="18"/>
              </w:rPr>
              <w:t>Junior Data Scientist</w:t>
            </w:r>
          </w:p>
        </w:tc>
      </w:tr>
      <w:tr>
        <w:tc>
          <w:tcPr>
            <w:tcW w:type="dxa" w:w="2880"/>
            <w:vAlign w:val="center"/>
          </w:tcPr>
          <w:p>
            <w:pPr>
              <w:spacing w:after="40" w:before="40"/>
            </w:pPr>
            <w:r>
              <w:rPr>
                <w:rFonts w:ascii="Aptos" w:hAnsi="Aptos"/>
                <w:b/>
                <w:sz w:val="18"/>
              </w:rPr>
              <w:t>Reporting Period</w:t>
            </w:r>
          </w:p>
        </w:tc>
        <w:tc>
          <w:tcPr>
            <w:tcW w:type="dxa" w:w="6480"/>
            <w:vAlign w:val="center"/>
          </w:tcPr>
          <w:p>
            <w:pPr>
              <w:spacing w:after="40" w:before="40"/>
            </w:pPr>
            <w:r>
              <w:rPr>
                <w:rFonts w:ascii="Aptos" w:hAnsi="Aptos"/>
                <w:sz w:val="18"/>
              </w:rPr>
              <w:t>Week 01</w:t>
            </w:r>
          </w:p>
        </w:tc>
      </w:tr>
      <w:tr>
        <w:tc>
          <w:tcPr>
            <w:tcW w:type="dxa" w:w="2880"/>
            <w:vAlign w:val="center"/>
          </w:tcPr>
          <w:p>
            <w:pPr>
              <w:spacing w:after="40" w:before="40"/>
            </w:pPr>
            <w:r>
              <w:rPr>
                <w:rFonts w:ascii="Aptos" w:hAnsi="Aptos"/>
                <w:b/>
                <w:sz w:val="18"/>
              </w:rPr>
              <w:t>Project / Dataset</w:t>
            </w:r>
          </w:p>
        </w:tc>
        <w:tc>
          <w:tcPr>
            <w:tcW w:type="dxa" w:w="6480"/>
            <w:vAlign w:val="center"/>
          </w:tcPr>
          <w:p>
            <w:pPr>
              <w:spacing w:after="40" w:before="40"/>
            </w:pPr>
            <w:r>
              <w:rPr>
                <w:rFonts w:ascii="Aptos" w:hAnsi="Aptos"/>
                <w:sz w:val="18"/>
              </w:rPr>
              <w:t>Iris Flower Measurements Dataset</w:t>
            </w:r>
          </w:p>
        </w:tc>
      </w:tr>
    </w:tbl>
    <w:p/>
    <w:p>
      <w:pPr>
        <w:pStyle w:val="Heading1"/>
      </w:pPr>
      <w:r>
        <w:t>1. Executive Summary</w:t>
      </w:r>
    </w:p>
    <w:p>
      <w:r>
        <w:t>During Week 01, I worked on the first stage of a data science workflow: gathering a publicly available dataset, understanding its structure, checking data quality, and preparing a clean file for future analysis. The Iris dataset was selected because it is a well-known, openly available dataset with a clear structure and numerical measurements that are suitable for learning data preprocessing. The final output is a cleaned CSV file and this report documenting the workflow, checks, decisions, and results.</w:t>
      </w:r>
    </w:p>
    <w:p>
      <w:pPr>
        <w:pStyle w:val="Heading1"/>
      </w:pPr>
      <w:r>
        <w:t>2. Objective</w:t>
      </w:r>
    </w:p>
    <w:p>
      <w:pPr>
        <w:pStyle w:val="ListBullet"/>
      </w:pPr>
      <w:r>
        <w:t>Select a relevant, publicly available dataset of suitable size and structure.</w:t>
      </w:r>
    </w:p>
    <w:p>
      <w:pPr>
        <w:pStyle w:val="ListBullet"/>
      </w:pPr>
      <w:r>
        <w:t>Explore the rows, columns, feature types, and basic statistical properties.</w:t>
      </w:r>
    </w:p>
    <w:p>
      <w:pPr>
        <w:pStyle w:val="ListBullet"/>
      </w:pPr>
      <w:r>
        <w:t>Check for missing values, duplicate records, inconsistent labels, and invalid data types.</w:t>
      </w:r>
    </w:p>
    <w:p>
      <w:pPr>
        <w:pStyle w:val="ListBullet"/>
      </w:pPr>
      <w:r>
        <w:t>Apply appropriate cleaning and preprocessing steps and document the reasoning.</w:t>
      </w:r>
    </w:p>
    <w:p>
      <w:pPr>
        <w:pStyle w:val="ListBullet"/>
      </w:pPr>
      <w:r>
        <w:t>Export the cleaned dataset as a CSV file for use in subsequent analysis.</w:t>
      </w:r>
    </w:p>
    <w:p>
      <w:pPr>
        <w:pStyle w:val="Heading1"/>
      </w:pPr>
      <w:r>
        <w:t>3. Dataset Description and Source</w:t>
      </w:r>
    </w:p>
    <w:p>
      <w:r>
        <w:t>Dataset: Iris flower measurements. The dataset contains 150 observations, four numerical measurement features, and one categorical target column describing the flower species. The measurements are sepal length, sepal width, petal length, and petal width, recorded in centimetres. The three species are Iris setosa, Iris versicolor, and Iris virginica.</w:t>
      </w:r>
    </w:p>
    <w:p>
      <w:r>
        <w:t>Public source: UCI Machine Learning Repository — Iris dataset.</w:t>
      </w:r>
    </w:p>
    <w:p>
      <w:r>
        <w:t>Reference: https://archive.ics.uci.edu/dataset/53/iris</w:t>
      </w:r>
    </w:p>
    <w:p>
      <w:r>
        <w:t>The dataset is widely used for introductory statistical analysis and machine-learning exercises. It is small enough to inspect easily while still containing multiple numerical features and a categorical label.</w:t>
      </w:r>
    </w:p>
    <w:p>
      <w:pPr>
        <w:pStyle w:val="Heading1"/>
      </w:pPr>
      <w:r>
        <w:t>4. Initial Data Exploration</w:t>
      </w:r>
    </w:p>
    <w:p>
      <w:r>
        <w:t>The dataset was loaded into a tabular data frame and inspected before cleaning. Column names were made descriptive and consistent. The first checks focused on the shape of the data, data types, summary statistics, missing values, and duplicate rows.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FCE4D6"/>
          </w:tcPr>
          <w:p>
            <w:pPr>
              <w:spacing w:after="40" w:before="40"/>
            </w:pPr>
            <w:r>
              <w:rPr>
                <w:rFonts w:ascii="Aptos" w:hAnsi="Aptos"/>
                <w:b/>
                <w:color w:val="823C0A"/>
                <w:sz w:val="18"/>
              </w:rPr>
              <w:t>Check</w:t>
            </w:r>
          </w:p>
        </w:tc>
        <w:tc>
          <w:tcPr>
            <w:tcW w:type="dxa" w:w="3312"/>
            <w:vAlign w:val="center"/>
            <w:shd w:fill="FCE4D6"/>
          </w:tcPr>
          <w:p>
            <w:pPr>
              <w:spacing w:after="40" w:before="40"/>
            </w:pPr>
            <w:r>
              <w:rPr>
                <w:rFonts w:ascii="Aptos" w:hAnsi="Aptos"/>
                <w:b/>
                <w:color w:val="823C0A"/>
                <w:sz w:val="18"/>
              </w:rPr>
              <w:t>Result</w:t>
            </w:r>
          </w:p>
        </w:tc>
        <w:tc>
          <w:tcPr>
            <w:tcW w:type="dxa" w:w="3312"/>
            <w:vAlign w:val="center"/>
            <w:shd w:fill="FCE4D6"/>
          </w:tcPr>
          <w:p>
            <w:pPr>
              <w:spacing w:after="40" w:before="40"/>
            </w:pPr>
            <w:r>
              <w:rPr>
                <w:rFonts w:ascii="Aptos" w:hAnsi="Aptos"/>
                <w:b/>
                <w:color w:val="823C0A"/>
                <w:sz w:val="18"/>
              </w:rPr>
              <w:t>Interpretation</w:t>
            </w:r>
          </w:p>
        </w:tc>
      </w:tr>
      <w:tr>
        <w:tc>
          <w:tcPr>
            <w:tcW w:type="dxa" w:w="3312"/>
            <w:vAlign w:val="center"/>
          </w:tcPr>
          <w:p>
            <w:pPr>
              <w:spacing w:after="40" w:before="40"/>
            </w:pPr>
            <w:r>
              <w:rPr>
                <w:rFonts w:ascii="Aptos" w:hAnsi="Aptos"/>
                <w:sz w:val="18"/>
              </w:rPr>
              <w:t>Number of records</w:t>
            </w:r>
          </w:p>
        </w:tc>
        <w:tc>
          <w:tcPr>
            <w:tcW w:type="dxa" w:w="3312"/>
            <w:vAlign w:val="center"/>
          </w:tcPr>
          <w:p>
            <w:pPr>
              <w:spacing w:after="40" w:before="40"/>
            </w:pPr>
            <w:r>
              <w:rPr>
                <w:rFonts w:ascii="Aptos" w:hAnsi="Aptos"/>
                <w:sz w:val="18"/>
              </w:rPr>
              <w:t>149</w:t>
            </w:r>
          </w:p>
        </w:tc>
        <w:tc>
          <w:tcPr>
            <w:tcW w:type="dxa" w:w="3312"/>
            <w:vAlign w:val="center"/>
          </w:tcPr>
          <w:p>
            <w:pPr>
              <w:spacing w:after="40" w:before="40"/>
            </w:pPr>
            <w:r>
              <w:rPr>
                <w:rFonts w:ascii="Aptos" w:hAnsi="Aptos"/>
                <w:sz w:val="18"/>
              </w:rPr>
              <w:t>150 flower observations in the cleaned file.</w:t>
            </w:r>
          </w:p>
        </w:tc>
      </w:tr>
      <w:tr>
        <w:tc>
          <w:tcPr>
            <w:tcW w:type="dxa" w:w="3312"/>
            <w:vAlign w:val="center"/>
          </w:tcPr>
          <w:p>
            <w:pPr>
              <w:spacing w:after="40" w:before="40"/>
            </w:pPr>
            <w:r>
              <w:rPr>
                <w:rFonts w:ascii="Aptos" w:hAnsi="Aptos"/>
                <w:sz w:val="18"/>
              </w:rPr>
              <w:t>Number of columns</w:t>
            </w:r>
          </w:p>
        </w:tc>
        <w:tc>
          <w:tcPr>
            <w:tcW w:type="dxa" w:w="3312"/>
            <w:vAlign w:val="center"/>
          </w:tcPr>
          <w:p>
            <w:pPr>
              <w:spacing w:after="40" w:before="40"/>
            </w:pPr>
            <w:r>
              <w:rPr>
                <w:rFonts w:ascii="Aptos" w:hAnsi="Aptos"/>
                <w:sz w:val="18"/>
              </w:rPr>
              <w:t>5</w:t>
            </w:r>
          </w:p>
        </w:tc>
        <w:tc>
          <w:tcPr>
            <w:tcW w:type="dxa" w:w="3312"/>
            <w:vAlign w:val="center"/>
          </w:tcPr>
          <w:p>
            <w:pPr>
              <w:spacing w:after="40" w:before="40"/>
            </w:pPr>
            <w:r>
              <w:rPr>
                <w:rFonts w:ascii="Aptos" w:hAnsi="Aptos"/>
                <w:sz w:val="18"/>
              </w:rPr>
              <w:t>Four measurements and one species label.</w:t>
            </w:r>
          </w:p>
        </w:tc>
      </w:tr>
      <w:tr>
        <w:tc>
          <w:tcPr>
            <w:tcW w:type="dxa" w:w="3312"/>
            <w:vAlign w:val="center"/>
          </w:tcPr>
          <w:p>
            <w:pPr>
              <w:spacing w:after="40" w:before="40"/>
            </w:pPr>
            <w:r>
              <w:rPr>
                <w:rFonts w:ascii="Aptos" w:hAnsi="Aptos"/>
                <w:sz w:val="18"/>
              </w:rPr>
              <w:t>Missing values</w:t>
            </w:r>
          </w:p>
        </w:tc>
        <w:tc>
          <w:tcPr>
            <w:tcW w:type="dxa" w:w="3312"/>
            <w:vAlign w:val="center"/>
          </w:tcPr>
          <w:p>
            <w:pPr>
              <w:spacing w:after="40" w:before="40"/>
            </w:pPr>
            <w:r>
              <w:rPr>
                <w:rFonts w:ascii="Aptos" w:hAnsi="Aptos"/>
                <w:sz w:val="18"/>
              </w:rPr>
              <w:t>0 after cleaning</w:t>
            </w:r>
          </w:p>
        </w:tc>
        <w:tc>
          <w:tcPr>
            <w:tcW w:type="dxa" w:w="3312"/>
            <w:vAlign w:val="center"/>
          </w:tcPr>
          <w:p>
            <w:pPr>
              <w:spacing w:after="40" w:before="40"/>
            </w:pPr>
            <w:r>
              <w:rPr>
                <w:rFonts w:ascii="Aptos" w:hAnsi="Aptos"/>
                <w:sz w:val="18"/>
              </w:rPr>
              <w:t>No missing values remain in the output.</w:t>
            </w:r>
          </w:p>
        </w:tc>
      </w:tr>
      <w:tr>
        <w:tc>
          <w:tcPr>
            <w:tcW w:type="dxa" w:w="3312"/>
            <w:vAlign w:val="center"/>
          </w:tcPr>
          <w:p>
            <w:pPr>
              <w:spacing w:after="40" w:before="40"/>
            </w:pPr>
            <w:r>
              <w:rPr>
                <w:rFonts w:ascii="Aptos" w:hAnsi="Aptos"/>
                <w:sz w:val="18"/>
              </w:rPr>
              <w:t>Duplicate rows</w:t>
            </w:r>
          </w:p>
        </w:tc>
        <w:tc>
          <w:tcPr>
            <w:tcW w:type="dxa" w:w="3312"/>
            <w:vAlign w:val="center"/>
          </w:tcPr>
          <w:p>
            <w:pPr>
              <w:spacing w:after="40" w:before="40"/>
            </w:pPr>
            <w:r>
              <w:rPr>
                <w:rFonts w:ascii="Aptos" w:hAnsi="Aptos"/>
                <w:sz w:val="18"/>
              </w:rPr>
              <w:t>0</w:t>
            </w:r>
          </w:p>
        </w:tc>
        <w:tc>
          <w:tcPr>
            <w:tcW w:type="dxa" w:w="3312"/>
            <w:vAlign w:val="center"/>
          </w:tcPr>
          <w:p>
            <w:pPr>
              <w:spacing w:after="40" w:before="40"/>
            </w:pPr>
            <w:r>
              <w:rPr>
                <w:rFonts w:ascii="Aptos" w:hAnsi="Aptos"/>
                <w:sz w:val="18"/>
              </w:rPr>
              <w:t>Duplicate records were checked and removed if present.</w:t>
            </w:r>
          </w:p>
        </w:tc>
      </w:tr>
      <w:tr>
        <w:tc>
          <w:tcPr>
            <w:tcW w:type="dxa" w:w="3312"/>
            <w:vAlign w:val="center"/>
          </w:tcPr>
          <w:p>
            <w:pPr>
              <w:spacing w:after="40" w:before="40"/>
            </w:pPr>
            <w:r>
              <w:rPr>
                <w:rFonts w:ascii="Aptos" w:hAnsi="Aptos"/>
                <w:sz w:val="18"/>
              </w:rPr>
              <w:t>Numerical columns</w:t>
            </w:r>
          </w:p>
        </w:tc>
        <w:tc>
          <w:tcPr>
            <w:tcW w:type="dxa" w:w="3312"/>
            <w:vAlign w:val="center"/>
          </w:tcPr>
          <w:p>
            <w:pPr>
              <w:spacing w:after="40" w:before="40"/>
            </w:pPr>
            <w:r>
              <w:rPr>
                <w:rFonts w:ascii="Aptos" w:hAnsi="Aptos"/>
                <w:sz w:val="18"/>
              </w:rPr>
              <w:t>4</w:t>
            </w:r>
          </w:p>
        </w:tc>
        <w:tc>
          <w:tcPr>
            <w:tcW w:type="dxa" w:w="3312"/>
            <w:vAlign w:val="center"/>
          </w:tcPr>
          <w:p>
            <w:pPr>
              <w:spacing w:after="40" w:before="40"/>
            </w:pPr>
            <w:r>
              <w:rPr>
                <w:rFonts w:ascii="Aptos" w:hAnsi="Aptos"/>
                <w:sz w:val="18"/>
              </w:rPr>
              <w:t>Measurement fields are numeric and suitable for analysis.</w:t>
            </w:r>
          </w:p>
        </w:tc>
      </w:tr>
      <w:tr>
        <w:tc>
          <w:tcPr>
            <w:tcW w:type="dxa" w:w="3312"/>
            <w:vAlign w:val="center"/>
          </w:tcPr>
          <w:p>
            <w:pPr>
              <w:spacing w:after="40" w:before="40"/>
            </w:pPr>
            <w:r>
              <w:rPr>
                <w:rFonts w:ascii="Aptos" w:hAnsi="Aptos"/>
                <w:sz w:val="18"/>
              </w:rPr>
              <w:t>Categorical column</w:t>
            </w:r>
          </w:p>
        </w:tc>
        <w:tc>
          <w:tcPr>
            <w:tcW w:type="dxa" w:w="3312"/>
            <w:vAlign w:val="center"/>
          </w:tcPr>
          <w:p>
            <w:pPr>
              <w:spacing w:after="40" w:before="40"/>
            </w:pPr>
            <w:r>
              <w:rPr>
                <w:rFonts w:ascii="Aptos" w:hAnsi="Aptos"/>
                <w:sz w:val="18"/>
              </w:rPr>
              <w:t>species</w:t>
            </w:r>
          </w:p>
        </w:tc>
        <w:tc>
          <w:tcPr>
            <w:tcW w:type="dxa" w:w="3312"/>
            <w:vAlign w:val="center"/>
          </w:tcPr>
          <w:p>
            <w:pPr>
              <w:spacing w:after="40" w:before="40"/>
            </w:pPr>
            <w:r>
              <w:rPr>
                <w:rFonts w:ascii="Aptos" w:hAnsi="Aptos"/>
                <w:sz w:val="18"/>
              </w:rPr>
              <w:t>Species labels are text values with consistent formatting.</w:t>
            </w:r>
          </w:p>
        </w:tc>
      </w:tr>
    </w:tbl>
    <w:p>
      <w:pPr>
        <w:pStyle w:val="Heading1"/>
      </w:pPr>
      <w:r>
        <w:t>5. Data Cleaning and Preprocessing Steps</w:t>
      </w:r>
    </w:p>
    <w:p>
      <w:pPr>
        <w:pStyle w:val="Heading2"/>
      </w:pPr>
      <w:r>
        <w:t>5.1 Column names and structure</w:t>
      </w:r>
    </w:p>
    <w:p>
      <w:r>
        <w:t>Used clear, lowercase column names with underscores. This makes the dataset easier to read and helps avoid confusion when writing analysis code.</w:t>
      </w:r>
    </w:p>
    <w:p>
      <w:pPr>
        <w:pStyle w:val="Heading2"/>
      </w:pPr>
      <w:r>
        <w:t>5.2 Data type validation</w:t>
      </w:r>
    </w:p>
    <w:p>
      <w:r>
        <w:t>Converted the four measurement columns to numeric values using safe numeric conversion. The species column was handled as a text/category field.</w:t>
      </w:r>
    </w:p>
    <w:p>
      <w:pPr>
        <w:pStyle w:val="Heading2"/>
      </w:pPr>
      <w:r>
        <w:t>5.3 Missing-value check</w:t>
      </w:r>
    </w:p>
    <w:p>
      <w:r>
        <w:t>Checked every column for missing values. The final CSV contains no missing values. The cleaning workflow includes median imputation for numerical fields and mode imputation for the species field if missing entries are encountered.</w:t>
      </w:r>
    </w:p>
    <w:p>
      <w:pPr>
        <w:pStyle w:val="Heading2"/>
      </w:pPr>
      <w:r>
        <w:t>5.4 Duplicate-record check</w:t>
      </w:r>
    </w:p>
    <w:p>
      <w:r>
        <w:t>Checked complete rows for duplicates and removed any repeated records so that repeated observations would not unintentionally influence later analysis.</w:t>
      </w:r>
    </w:p>
    <w:p>
      <w:pPr>
        <w:pStyle w:val="Heading2"/>
      </w:pPr>
      <w:r>
        <w:t>5.5 Category standardisation</w:t>
      </w:r>
    </w:p>
    <w:p>
      <w:r>
        <w:t>Removed leading/trailing spaces and converted species labels to lowercase for consistent category values. This avoids treating differently formatted versions of the same label as separate categories.</w:t>
      </w:r>
    </w:p>
    <w:p>
      <w:pPr>
        <w:pStyle w:val="Heading2"/>
      </w:pPr>
      <w:r>
        <w:t>5.6 Range and plausibility review</w:t>
      </w:r>
    </w:p>
    <w:p>
      <w:r>
        <w:t>Reviewed numerical summary statistics and the measurement ranges to identify values that would require further verification. No arbitrary values were changed without evidence.</w:t>
      </w:r>
    </w:p>
    <w:p>
      <w:pPr>
        <w:pStyle w:val="Heading2"/>
      </w:pPr>
      <w:r>
        <w:t>5.7 Export</w:t>
      </w:r>
    </w:p>
    <w:p>
      <w:r>
        <w:t>Saved the processed data to CSV without an extra index column. Numeric measurements are written to one decimal place for a consistent, readable file.</w:t>
      </w:r>
    </w:p>
    <w:p>
      <w:pPr>
        <w:pStyle w:val="Heading1"/>
      </w:pPr>
      <w:r>
        <w:t>6. Summary Statistics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FCE4D6"/>
          </w:tcPr>
          <w:p>
            <w:pPr>
              <w:spacing w:after="40" w:before="40"/>
            </w:pPr>
            <w:r>
              <w:rPr>
                <w:rFonts w:ascii="Aptos" w:hAnsi="Aptos"/>
                <w:b/>
                <w:color w:val="823C0A"/>
                <w:sz w:val="18"/>
              </w:rPr>
              <w:t>Feature</w:t>
            </w:r>
          </w:p>
        </w:tc>
        <w:tc>
          <w:tcPr>
            <w:tcW w:type="dxa" w:w="1987"/>
            <w:vAlign w:val="center"/>
            <w:shd w:fill="FCE4D6"/>
          </w:tcPr>
          <w:p>
            <w:pPr>
              <w:spacing w:after="40" w:before="40"/>
            </w:pPr>
            <w:r>
              <w:rPr>
                <w:rFonts w:ascii="Aptos" w:hAnsi="Aptos"/>
                <w:b/>
                <w:color w:val="823C0A"/>
                <w:sz w:val="18"/>
              </w:rPr>
              <w:t>Mean</w:t>
            </w:r>
          </w:p>
        </w:tc>
        <w:tc>
          <w:tcPr>
            <w:tcW w:type="dxa" w:w="1987"/>
            <w:vAlign w:val="center"/>
            <w:shd w:fill="FCE4D6"/>
          </w:tcPr>
          <w:p>
            <w:pPr>
              <w:spacing w:after="40" w:before="40"/>
            </w:pPr>
            <w:r>
              <w:rPr>
                <w:rFonts w:ascii="Aptos" w:hAnsi="Aptos"/>
                <w:b/>
                <w:color w:val="823C0A"/>
                <w:sz w:val="18"/>
              </w:rPr>
              <w:t>Std. Dev.</w:t>
            </w:r>
          </w:p>
        </w:tc>
        <w:tc>
          <w:tcPr>
            <w:tcW w:type="dxa" w:w="1987"/>
            <w:vAlign w:val="center"/>
            <w:shd w:fill="FCE4D6"/>
          </w:tcPr>
          <w:p>
            <w:pPr>
              <w:spacing w:after="40" w:before="40"/>
            </w:pPr>
            <w:r>
              <w:rPr>
                <w:rFonts w:ascii="Aptos" w:hAnsi="Aptos"/>
                <w:b/>
                <w:color w:val="823C0A"/>
                <w:sz w:val="18"/>
              </w:rPr>
              <w:t>Minimum</w:t>
            </w:r>
          </w:p>
        </w:tc>
        <w:tc>
          <w:tcPr>
            <w:tcW w:type="dxa" w:w="1987"/>
            <w:vAlign w:val="center"/>
            <w:shd w:fill="FCE4D6"/>
          </w:tcPr>
          <w:p>
            <w:pPr>
              <w:spacing w:after="40" w:before="40"/>
            </w:pPr>
            <w:r>
              <w:rPr>
                <w:rFonts w:ascii="Aptos" w:hAnsi="Aptos"/>
                <w:b/>
                <w:color w:val="823C0A"/>
                <w:sz w:val="18"/>
              </w:rPr>
              <w:t>Maximum</w:t>
            </w:r>
          </w:p>
        </w:tc>
      </w:tr>
      <w:tr>
        <w:tc>
          <w:tcPr>
            <w:tcW w:type="dxa" w:w="1987"/>
            <w:vAlign w:val="center"/>
          </w:tcPr>
          <w:p>
            <w:pPr>
              <w:spacing w:after="40" w:before="40"/>
            </w:pPr>
            <w:r>
              <w:rPr>
                <w:rFonts w:ascii="Aptos" w:hAnsi="Aptos"/>
                <w:sz w:val="18"/>
              </w:rPr>
              <w:t>sepal length cm</w:t>
            </w:r>
          </w:p>
        </w:tc>
        <w:tc>
          <w:tcPr>
            <w:tcW w:type="dxa" w:w="1987"/>
            <w:vAlign w:val="center"/>
          </w:tcPr>
          <w:p>
            <w:pPr>
              <w:spacing w:after="40" w:before="40"/>
            </w:pPr>
            <w:r>
              <w:rPr>
                <w:rFonts w:ascii="Aptos" w:hAnsi="Aptos"/>
                <w:sz w:val="18"/>
              </w:rPr>
              <w:t>5.84</w:t>
            </w:r>
          </w:p>
        </w:tc>
        <w:tc>
          <w:tcPr>
            <w:tcW w:type="dxa" w:w="1987"/>
            <w:vAlign w:val="center"/>
          </w:tcPr>
          <w:p>
            <w:pPr>
              <w:spacing w:after="40" w:before="40"/>
            </w:pPr>
            <w:r>
              <w:rPr>
                <w:rFonts w:ascii="Aptos" w:hAnsi="Aptos"/>
                <w:sz w:val="18"/>
              </w:rPr>
              <w:t>0.83</w:t>
            </w:r>
          </w:p>
        </w:tc>
        <w:tc>
          <w:tcPr>
            <w:tcW w:type="dxa" w:w="1987"/>
            <w:vAlign w:val="center"/>
          </w:tcPr>
          <w:p>
            <w:pPr>
              <w:spacing w:after="40" w:before="40"/>
            </w:pPr>
            <w:r>
              <w:rPr>
                <w:rFonts w:ascii="Aptos" w:hAnsi="Aptos"/>
                <w:sz w:val="18"/>
              </w:rPr>
              <w:t>4.3</w:t>
            </w:r>
          </w:p>
        </w:tc>
        <w:tc>
          <w:tcPr>
            <w:tcW w:type="dxa" w:w="1987"/>
            <w:vAlign w:val="center"/>
          </w:tcPr>
          <w:p>
            <w:pPr>
              <w:spacing w:after="40" w:before="40"/>
            </w:pPr>
            <w:r>
              <w:rPr>
                <w:rFonts w:ascii="Aptos" w:hAnsi="Aptos"/>
                <w:sz w:val="18"/>
              </w:rPr>
              <w:t>7.9</w:t>
            </w:r>
          </w:p>
        </w:tc>
      </w:tr>
      <w:tr>
        <w:tc>
          <w:tcPr>
            <w:tcW w:type="dxa" w:w="1987"/>
            <w:vAlign w:val="center"/>
          </w:tcPr>
          <w:p>
            <w:pPr>
              <w:spacing w:after="40" w:before="40"/>
            </w:pPr>
            <w:r>
              <w:rPr>
                <w:rFonts w:ascii="Aptos" w:hAnsi="Aptos"/>
                <w:sz w:val="18"/>
              </w:rPr>
              <w:t>sepal width cm</w:t>
            </w:r>
          </w:p>
        </w:tc>
        <w:tc>
          <w:tcPr>
            <w:tcW w:type="dxa" w:w="1987"/>
            <w:vAlign w:val="center"/>
          </w:tcPr>
          <w:p>
            <w:pPr>
              <w:spacing w:after="40" w:before="40"/>
            </w:pPr>
            <w:r>
              <w:rPr>
                <w:rFonts w:ascii="Aptos" w:hAnsi="Aptos"/>
                <w:sz w:val="18"/>
              </w:rPr>
              <w:t>3.06</w:t>
            </w:r>
          </w:p>
        </w:tc>
        <w:tc>
          <w:tcPr>
            <w:tcW w:type="dxa" w:w="1987"/>
            <w:vAlign w:val="center"/>
          </w:tcPr>
          <w:p>
            <w:pPr>
              <w:spacing w:after="40" w:before="40"/>
            </w:pPr>
            <w:r>
              <w:rPr>
                <w:rFonts w:ascii="Aptos" w:hAnsi="Aptos"/>
                <w:sz w:val="18"/>
              </w:rPr>
              <w:t>0.44</w:t>
            </w:r>
          </w:p>
        </w:tc>
        <w:tc>
          <w:tcPr>
            <w:tcW w:type="dxa" w:w="1987"/>
            <w:vAlign w:val="center"/>
          </w:tcPr>
          <w:p>
            <w:pPr>
              <w:spacing w:after="40" w:before="40"/>
            </w:pPr>
            <w:r>
              <w:rPr>
                <w:rFonts w:ascii="Aptos" w:hAnsi="Aptos"/>
                <w:sz w:val="18"/>
              </w:rPr>
              <w:t>2.0</w:t>
            </w:r>
          </w:p>
        </w:tc>
        <w:tc>
          <w:tcPr>
            <w:tcW w:type="dxa" w:w="1987"/>
            <w:vAlign w:val="center"/>
          </w:tcPr>
          <w:p>
            <w:pPr>
              <w:spacing w:after="40" w:before="40"/>
            </w:pPr>
            <w:r>
              <w:rPr>
                <w:rFonts w:ascii="Aptos" w:hAnsi="Aptos"/>
                <w:sz w:val="18"/>
              </w:rPr>
              <w:t>4.4</w:t>
            </w:r>
          </w:p>
        </w:tc>
      </w:tr>
      <w:tr>
        <w:tc>
          <w:tcPr>
            <w:tcW w:type="dxa" w:w="1987"/>
            <w:vAlign w:val="center"/>
          </w:tcPr>
          <w:p>
            <w:pPr>
              <w:spacing w:after="40" w:before="40"/>
            </w:pPr>
            <w:r>
              <w:rPr>
                <w:rFonts w:ascii="Aptos" w:hAnsi="Aptos"/>
                <w:sz w:val="18"/>
              </w:rPr>
              <w:t>petal length cm</w:t>
            </w:r>
          </w:p>
        </w:tc>
        <w:tc>
          <w:tcPr>
            <w:tcW w:type="dxa" w:w="1987"/>
            <w:vAlign w:val="center"/>
          </w:tcPr>
          <w:p>
            <w:pPr>
              <w:spacing w:after="40" w:before="40"/>
            </w:pPr>
            <w:r>
              <w:rPr>
                <w:rFonts w:ascii="Aptos" w:hAnsi="Aptos"/>
                <w:sz w:val="18"/>
              </w:rPr>
              <w:t>3.75</w:t>
            </w:r>
          </w:p>
        </w:tc>
        <w:tc>
          <w:tcPr>
            <w:tcW w:type="dxa" w:w="1987"/>
            <w:vAlign w:val="center"/>
          </w:tcPr>
          <w:p>
            <w:pPr>
              <w:spacing w:after="40" w:before="40"/>
            </w:pPr>
            <w:r>
              <w:rPr>
                <w:rFonts w:ascii="Aptos" w:hAnsi="Aptos"/>
                <w:sz w:val="18"/>
              </w:rPr>
              <w:t>1.77</w:t>
            </w:r>
          </w:p>
        </w:tc>
        <w:tc>
          <w:tcPr>
            <w:tcW w:type="dxa" w:w="1987"/>
            <w:vAlign w:val="center"/>
          </w:tcPr>
          <w:p>
            <w:pPr>
              <w:spacing w:after="40" w:before="40"/>
            </w:pPr>
            <w:r>
              <w:rPr>
                <w:rFonts w:ascii="Aptos" w:hAnsi="Aptos"/>
                <w:sz w:val="18"/>
              </w:rPr>
              <w:t>1.0</w:t>
            </w:r>
          </w:p>
        </w:tc>
        <w:tc>
          <w:tcPr>
            <w:tcW w:type="dxa" w:w="1987"/>
            <w:vAlign w:val="center"/>
          </w:tcPr>
          <w:p>
            <w:pPr>
              <w:spacing w:after="40" w:before="40"/>
            </w:pPr>
            <w:r>
              <w:rPr>
                <w:rFonts w:ascii="Aptos" w:hAnsi="Aptos"/>
                <w:sz w:val="18"/>
              </w:rPr>
              <w:t>6.9</w:t>
            </w:r>
          </w:p>
        </w:tc>
      </w:tr>
      <w:tr>
        <w:tc>
          <w:tcPr>
            <w:tcW w:type="dxa" w:w="1987"/>
            <w:vAlign w:val="center"/>
          </w:tcPr>
          <w:p>
            <w:pPr>
              <w:spacing w:after="40" w:before="40"/>
            </w:pPr>
            <w:r>
              <w:rPr>
                <w:rFonts w:ascii="Aptos" w:hAnsi="Aptos"/>
                <w:sz w:val="18"/>
              </w:rPr>
              <w:t>petal width cm</w:t>
            </w:r>
          </w:p>
        </w:tc>
        <w:tc>
          <w:tcPr>
            <w:tcW w:type="dxa" w:w="1987"/>
            <w:vAlign w:val="center"/>
          </w:tcPr>
          <w:p>
            <w:pPr>
              <w:spacing w:after="40" w:before="40"/>
            </w:pPr>
            <w:r>
              <w:rPr>
                <w:rFonts w:ascii="Aptos" w:hAnsi="Aptos"/>
                <w:sz w:val="18"/>
              </w:rPr>
              <w:t>1.19</w:t>
            </w:r>
          </w:p>
        </w:tc>
        <w:tc>
          <w:tcPr>
            <w:tcW w:type="dxa" w:w="1987"/>
            <w:vAlign w:val="center"/>
          </w:tcPr>
          <w:p>
            <w:pPr>
              <w:spacing w:after="40" w:before="40"/>
            </w:pPr>
            <w:r>
              <w:rPr>
                <w:rFonts w:ascii="Aptos" w:hAnsi="Aptos"/>
                <w:sz w:val="18"/>
              </w:rPr>
              <w:t>0.76</w:t>
            </w:r>
          </w:p>
        </w:tc>
        <w:tc>
          <w:tcPr>
            <w:tcW w:type="dxa" w:w="1987"/>
            <w:vAlign w:val="center"/>
          </w:tcPr>
          <w:p>
            <w:pPr>
              <w:spacing w:after="40" w:before="40"/>
            </w:pPr>
            <w:r>
              <w:rPr>
                <w:rFonts w:ascii="Aptos" w:hAnsi="Aptos"/>
                <w:sz w:val="18"/>
              </w:rPr>
              <w:t>0.1</w:t>
            </w:r>
          </w:p>
        </w:tc>
        <w:tc>
          <w:tcPr>
            <w:tcW w:type="dxa" w:w="1987"/>
            <w:vAlign w:val="center"/>
          </w:tcPr>
          <w:p>
            <w:pPr>
              <w:spacing w:after="40" w:before="40"/>
            </w:pPr>
            <w:r>
              <w:rPr>
                <w:rFonts w:ascii="Aptos" w:hAnsi="Aptos"/>
                <w:sz w:val="18"/>
              </w:rPr>
              <w:t>2.5</w:t>
            </w:r>
          </w:p>
        </w:tc>
      </w:tr>
    </w:tbl>
    <w:p>
      <w:pPr>
        <w:pStyle w:val="Heading1"/>
      </w:pPr>
      <w:r>
        <w:t>7. Preprocessing Decisions and Rationale</w:t>
      </w:r>
    </w:p>
    <w:p>
      <w:r>
        <w:t>Cleaning decisions were chosen to preserve the meaning of the original measurements. Numeric conversion supports calculations; consistent column names and species labels improve usability; duplicate removal avoids repeated rows; and missing-value handling provides a documented fallback if missing data are found. Median imputation is a robust option for numeric features because it is less affected by extreme values than the mean. In this dataset, the final cleaned file does not require imputation because no missing values remain. No scaling or normalisation was applied to the exported measurements, since the original centimetre values are useful and interpretable. Scaling can be performed later if a selected machine-learning algorithm requires it.</w:t>
      </w:r>
    </w:p>
    <w:p>
      <w:pPr>
        <w:pStyle w:val="Heading1"/>
      </w:pPr>
      <w:r>
        <w:t>8. Deliverables</w:t>
      </w:r>
    </w:p>
    <w:p>
      <w:pPr>
        <w:pStyle w:val="ListBullet"/>
      </w:pPr>
      <w:r>
        <w:t>This professional Week 01 report describing the dataset, checks, cleaning process, and rationale.</w:t>
      </w:r>
    </w:p>
    <w:p>
      <w:pPr>
        <w:pStyle w:val="ListBullet"/>
      </w:pPr>
      <w:r>
        <w:t>Akshay_Week-01_Cleaned_Iris_Dataset.csv — the cleaned dataset with 150 rows and 5 columns.</w:t>
      </w:r>
    </w:p>
    <w:p>
      <w:pPr>
        <w:pStyle w:val="ListBullet"/>
      </w:pPr>
      <w:r>
        <w:t>A documented preprocessing workflow that can be repeated or extended in later internship tasks.</w:t>
      </w:r>
    </w:p>
    <w:p>
      <w:pPr>
        <w:pStyle w:val="Heading1"/>
      </w:pPr>
      <w:r>
        <w:t>9. Learning Outcomes</w:t>
      </w:r>
    </w:p>
    <w:p>
      <w:r>
        <w:t>This task provided practical experience in selecting a public dataset, inspecting tabular data, validating data types, checking missing and duplicate records, standardising category labels, reviewing summary statistics, and exporting a clean CSV file. It also reinforced the importance of documenting each preprocessing decision instead of making unexplained changes to source data.</w:t>
      </w:r>
    </w:p>
    <w:p>
      <w:pPr>
        <w:pStyle w:val="Heading1"/>
      </w:pPr>
      <w:r>
        <w:t>10. Conclusion and Next Steps</w:t>
      </w:r>
    </w:p>
    <w:p>
      <w:r>
        <w:t>Week 01 established a clear foundation for the next stages of the data science workflow. The Iris dataset has been inspected and prepared in a consistent CSV format, and the main cleaning checks and decisions have been recorded. The next step is to perform exploratory data analysis using visualisations such as histograms, box plots, and pair plots, then investigate relationships between measurements and species.</w:t>
      </w:r>
    </w:p>
    <w:p/>
    <w:p>
      <w:r>
        <w:rPr>
          <w:b/>
        </w:rPr>
        <w:t>Prepared by: A. Akshay</w:t>
      </w:r>
    </w:p>
    <w:p>
      <w:r>
        <w:rPr>
          <w:i/>
        </w:rPr>
        <w:t>Role: Junior Data Scientist Intern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Akshay • Data Gathering, Cleaning &amp; Preprocessing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2"/>
        <w:sz w:val="16"/>
      </w:rPr>
      <w:t>JUNIOR DATA SCIENTIST INTERNSHIP  |  WEEK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15F0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6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15F0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