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 Payment Terms</w:t>
      </w:r>
    </w:p>
    <w:p>
      <w:r>
        <w:rPr/>
        <w:t>The total project cost is $115,000, payable by Intertek in accordance with the payment schedule set forth below. Affine shall submit invoices upon achievement of the applicable milestone (or stage) and, unless otherwise specified in the executed agreement, payment shall be due within thirty (30) days of Intertek’s receipt of a correct and undisputed invoice.</w:t>
      </w:r>
    </w:p>
    <w:p>
      <w:r>
        <w:rPr/>
        <w:t>All fees are stated in U.S. Dollars unless otherwise specified in the executed agreement and are exclusive of applicable taxes, duties, levies, or similar governmental assessments, which shall be borne by Intertek except to the extent a valid exemption is provided. If Intertek disputes any portion of an invoice, Intertek shall notify Affine in writing within ten (10) days of receipt of the invoice, pay any undisputed amounts when due, and the Parties shall work in good faith to resolve the disputed amounts; no withholding shall apply except for amounts reasonably disputed in good faith.</w:t>
      </w:r>
    </w:p>
    <w:p>
      <w:pPr>
        <w:pStyle w:val="ListBullet"/>
      </w:pPr>
      <w:r>
        <w:t>Milestone/Stage: Project initiation; Amount: 25% of total fees ($28,750); Invoice Trigger: Execution of the Statement of Work / engagement kickoff; Payment Due: Net 30 days from invoice receipt.</w:t>
      </w:r>
    </w:p>
    <w:p>
      <w:pPr>
        <w:pStyle w:val="ListBullet"/>
      </w:pPr>
      <w:r>
        <w:t>Milestone/Stage: Completion of Discovery and access enablement; Amount: 25% of total fees ($28,750); Invoice Trigger: Completion of discovery activities and confirmation of required access enablement; Payment Due: Net 30 days from invoice receipt.</w:t>
      </w:r>
    </w:p>
    <w:p>
      <w:pPr>
        <w:pStyle w:val="ListBullet"/>
      </w:pPr>
      <w:r>
        <w:t>Milestone/Stage: Completion of core build (AI design/development, UI/API, and evaluation framework) for PoC; Amount: 25% of total fees ($28,750); Invoice Trigger: Delivery of PoC build for UAT/testing; Payment Due: Net 30 days from invoice receipt.</w:t>
      </w:r>
    </w:p>
    <w:p>
      <w:pPr>
        <w:pStyle w:val="ListBullet"/>
      </w:pPr>
      <w:r>
        <w:t>Milestone/Stage: UAT sign-off and PoC deployment/documentation; Amount: 25% of total fees ($28,750); Invoice Trigger: Written UAT sign-off and completion of PoC deployment and documentation; Payment Due: Net 30 days from invoice receipt.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