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628D" w14:textId="77777777" w:rsidR="00B04CBE" w:rsidRDefault="00000000">
      <w:pPr>
        <w:jc w:val="center"/>
      </w:pPr>
      <w:r>
        <w:rPr>
          <w:b/>
          <w:sz w:val="36"/>
        </w:rPr>
        <w:t>Project Design Phase</w:t>
      </w:r>
    </w:p>
    <w:p w14:paraId="7AE5A9BD" w14:textId="77777777" w:rsidR="00B04CBE" w:rsidRDefault="00000000">
      <w:pPr>
        <w:jc w:val="center"/>
      </w:pPr>
      <w:r>
        <w:rPr>
          <w:b/>
          <w:sz w:val="30"/>
        </w:rPr>
        <w:t>Proposed Solution Template</w:t>
      </w:r>
    </w:p>
    <w:tbl>
      <w:tblPr>
        <w:tblStyle w:val="TableGrid"/>
        <w:tblW w:w="10224" w:type="dxa"/>
        <w:jc w:val="center"/>
        <w:tblLayout w:type="fixed"/>
        <w:tblLook w:val="04A0" w:firstRow="1" w:lastRow="0" w:firstColumn="1" w:lastColumn="0" w:noHBand="0" w:noVBand="1"/>
      </w:tblPr>
      <w:tblGrid>
        <w:gridCol w:w="5112"/>
        <w:gridCol w:w="5112"/>
      </w:tblGrid>
      <w:tr w:rsidR="00B04CBE" w14:paraId="4399DC9E" w14:textId="77777777">
        <w:trPr>
          <w:jc w:val="center"/>
        </w:trPr>
        <w:tc>
          <w:tcPr>
            <w:tcW w:w="5112" w:type="dxa"/>
          </w:tcPr>
          <w:p w14:paraId="57ADB4CA" w14:textId="77777777" w:rsidR="00B04CBE" w:rsidRDefault="00000000">
            <w:pPr>
              <w:spacing w:after="0" w:line="240" w:lineRule="auto"/>
              <w:rPr>
                <w:rFonts w:eastAsia="MS Mincho"/>
              </w:rPr>
            </w:pPr>
            <w:r>
              <w:rPr>
                <w:rFonts w:eastAsia="MS Mincho"/>
                <w:b/>
              </w:rPr>
              <w:t>Date</w:t>
            </w:r>
          </w:p>
        </w:tc>
        <w:tc>
          <w:tcPr>
            <w:tcW w:w="5112" w:type="dxa"/>
          </w:tcPr>
          <w:p w14:paraId="3DFD9069" w14:textId="0E5995B2" w:rsidR="00B04CBE" w:rsidRDefault="00000000">
            <w:pPr>
              <w:spacing w:after="0" w:line="240" w:lineRule="auto"/>
              <w:rPr>
                <w:rFonts w:eastAsia="MS Mincho"/>
              </w:rPr>
            </w:pPr>
            <w:r>
              <w:rPr>
                <w:rFonts w:eastAsia="MS Mincho"/>
              </w:rPr>
              <w:t>2</w:t>
            </w:r>
            <w:r w:rsidR="00E32893">
              <w:rPr>
                <w:rFonts w:eastAsia="MS Mincho"/>
              </w:rPr>
              <w:t>8</w:t>
            </w:r>
            <w:r>
              <w:rPr>
                <w:rFonts w:eastAsia="MS Mincho"/>
              </w:rPr>
              <w:t xml:space="preserve"> September 2026</w:t>
            </w:r>
          </w:p>
        </w:tc>
      </w:tr>
      <w:tr w:rsidR="00B04CBE" w14:paraId="264C702E" w14:textId="77777777">
        <w:trPr>
          <w:jc w:val="center"/>
        </w:trPr>
        <w:tc>
          <w:tcPr>
            <w:tcW w:w="5112" w:type="dxa"/>
          </w:tcPr>
          <w:p w14:paraId="00B17663" w14:textId="77777777" w:rsidR="00B04CBE" w:rsidRDefault="00000000">
            <w:pPr>
              <w:spacing w:after="0" w:line="240" w:lineRule="auto"/>
              <w:rPr>
                <w:rFonts w:eastAsia="MS Mincho"/>
              </w:rPr>
            </w:pPr>
            <w:r>
              <w:rPr>
                <w:rFonts w:eastAsia="MS Mincho"/>
                <w:b/>
              </w:rPr>
              <w:t>Team ID</w:t>
            </w:r>
          </w:p>
        </w:tc>
        <w:tc>
          <w:tcPr>
            <w:tcW w:w="5112" w:type="dxa"/>
          </w:tcPr>
          <w:p w14:paraId="33177767" w14:textId="102AEB9D" w:rsidR="00B04CBE" w:rsidRDefault="00E32893">
            <w:pPr>
              <w:spacing w:after="0" w:line="240" w:lineRule="auto"/>
              <w:rPr>
                <w:rFonts w:eastAsia="MS Mincho"/>
              </w:rPr>
            </w:pPr>
            <w:r w:rsidRPr="00E32893">
              <w:rPr>
                <w:rFonts w:eastAsia="MS Mincho"/>
              </w:rPr>
              <w:t>SWTID-2026-4856</w:t>
            </w:r>
          </w:p>
        </w:tc>
      </w:tr>
      <w:tr w:rsidR="00B04CBE" w14:paraId="22B9E8CE" w14:textId="77777777">
        <w:trPr>
          <w:jc w:val="center"/>
        </w:trPr>
        <w:tc>
          <w:tcPr>
            <w:tcW w:w="5112" w:type="dxa"/>
          </w:tcPr>
          <w:p w14:paraId="5D7857CF" w14:textId="77777777" w:rsidR="00B04CBE" w:rsidRDefault="00000000">
            <w:pPr>
              <w:spacing w:after="0" w:line="240" w:lineRule="auto"/>
              <w:rPr>
                <w:rFonts w:eastAsia="MS Mincho"/>
              </w:rPr>
            </w:pPr>
            <w:r>
              <w:rPr>
                <w:rFonts w:eastAsia="MS Mincho"/>
                <w:b/>
              </w:rPr>
              <w:t>Project Name</w:t>
            </w:r>
          </w:p>
        </w:tc>
        <w:tc>
          <w:tcPr>
            <w:tcW w:w="5112" w:type="dxa"/>
          </w:tcPr>
          <w:p w14:paraId="6CCD8024" w14:textId="77777777" w:rsidR="00B04CBE" w:rsidRDefault="00000000">
            <w:pPr>
              <w:spacing w:after="0" w:line="240" w:lineRule="auto"/>
              <w:rPr>
                <w:rFonts w:eastAsia="MS Mincho"/>
              </w:rPr>
            </w:pPr>
            <w:r>
              <w:rPr>
                <w:rFonts w:eastAsia="MS Mincho"/>
              </w:rPr>
              <w:t>Implement Client Script &amp; UI Policy (Incident)</w:t>
            </w:r>
          </w:p>
        </w:tc>
      </w:tr>
      <w:tr w:rsidR="00B04CBE" w14:paraId="10D68352" w14:textId="77777777">
        <w:trPr>
          <w:jc w:val="center"/>
        </w:trPr>
        <w:tc>
          <w:tcPr>
            <w:tcW w:w="5112" w:type="dxa"/>
          </w:tcPr>
          <w:p w14:paraId="5124E6E6" w14:textId="77777777" w:rsidR="00B04CBE" w:rsidRDefault="00000000">
            <w:pPr>
              <w:spacing w:after="0" w:line="240" w:lineRule="auto"/>
              <w:rPr>
                <w:rFonts w:eastAsia="MS Mincho"/>
              </w:rPr>
            </w:pPr>
            <w:r>
              <w:rPr>
                <w:rFonts w:eastAsia="MS Mincho"/>
                <w:b/>
              </w:rPr>
              <w:t>Maximum Marks</w:t>
            </w:r>
          </w:p>
        </w:tc>
        <w:tc>
          <w:tcPr>
            <w:tcW w:w="5112" w:type="dxa"/>
          </w:tcPr>
          <w:p w14:paraId="0FBAEB03" w14:textId="77777777" w:rsidR="00B04CBE" w:rsidRDefault="00000000">
            <w:pPr>
              <w:spacing w:after="0" w:line="240" w:lineRule="auto"/>
              <w:rPr>
                <w:rFonts w:eastAsia="MS Mincho"/>
              </w:rPr>
            </w:pPr>
            <w:r>
              <w:rPr>
                <w:rFonts w:eastAsia="MS Mincho"/>
              </w:rPr>
              <w:t>2 Marks</w:t>
            </w:r>
          </w:p>
        </w:tc>
      </w:tr>
    </w:tbl>
    <w:p w14:paraId="1078A13B" w14:textId="77777777" w:rsidR="00B04CBE" w:rsidRDefault="00B04CBE"/>
    <w:p w14:paraId="7ECE1000" w14:textId="77777777" w:rsidR="00B04CBE" w:rsidRDefault="00000000">
      <w:r>
        <w:rPr>
          <w:b/>
        </w:rPr>
        <w:t>Proposed Solution:</w:t>
      </w:r>
    </w:p>
    <w:p w14:paraId="4248B959" w14:textId="77777777" w:rsidR="00B04CBE" w:rsidRDefault="00000000">
      <w:r>
        <w:t>Project team shall fill the following information in the proposed solution template.</w:t>
      </w:r>
    </w:p>
    <w:tbl>
      <w:tblPr>
        <w:tblStyle w:val="TableGrid"/>
        <w:tblW w:w="10224" w:type="dxa"/>
        <w:jc w:val="center"/>
        <w:tblLayout w:type="fixed"/>
        <w:tblLook w:val="04A0" w:firstRow="1" w:lastRow="0" w:firstColumn="1" w:lastColumn="0" w:noHBand="0" w:noVBand="1"/>
      </w:tblPr>
      <w:tblGrid>
        <w:gridCol w:w="3408"/>
        <w:gridCol w:w="3408"/>
        <w:gridCol w:w="3408"/>
      </w:tblGrid>
      <w:tr w:rsidR="00B04CBE" w14:paraId="2B08FDC1" w14:textId="77777777">
        <w:trPr>
          <w:jc w:val="center"/>
        </w:trPr>
        <w:tc>
          <w:tcPr>
            <w:tcW w:w="3408" w:type="dxa"/>
          </w:tcPr>
          <w:p w14:paraId="7AFB7427" w14:textId="77777777" w:rsidR="00B04CBE" w:rsidRDefault="00000000">
            <w:pPr>
              <w:spacing w:after="0" w:line="240" w:lineRule="auto"/>
              <w:rPr>
                <w:rFonts w:eastAsia="MS Mincho"/>
              </w:rPr>
            </w:pPr>
            <w:proofErr w:type="spellStart"/>
            <w:r>
              <w:rPr>
                <w:rFonts w:eastAsia="MS Mincho"/>
                <w:b/>
              </w:rPr>
              <w:t>S.No</w:t>
            </w:r>
            <w:proofErr w:type="spellEnd"/>
            <w:r>
              <w:rPr>
                <w:rFonts w:eastAsia="MS Mincho"/>
                <w:b/>
              </w:rPr>
              <w:t>.</w:t>
            </w:r>
          </w:p>
        </w:tc>
        <w:tc>
          <w:tcPr>
            <w:tcW w:w="3408" w:type="dxa"/>
          </w:tcPr>
          <w:p w14:paraId="1BA400CB" w14:textId="77777777" w:rsidR="00B04CBE" w:rsidRDefault="00000000">
            <w:pPr>
              <w:spacing w:after="0" w:line="240" w:lineRule="auto"/>
              <w:rPr>
                <w:rFonts w:eastAsia="MS Mincho"/>
              </w:rPr>
            </w:pPr>
            <w:r>
              <w:rPr>
                <w:rFonts w:eastAsia="MS Mincho"/>
                <w:b/>
              </w:rPr>
              <w:t>Parameter</w:t>
            </w:r>
          </w:p>
        </w:tc>
        <w:tc>
          <w:tcPr>
            <w:tcW w:w="3408" w:type="dxa"/>
          </w:tcPr>
          <w:p w14:paraId="7DBF32B3" w14:textId="77777777" w:rsidR="00B04CBE" w:rsidRDefault="00000000">
            <w:pPr>
              <w:spacing w:after="0" w:line="240" w:lineRule="auto"/>
              <w:rPr>
                <w:rFonts w:eastAsia="MS Mincho"/>
              </w:rPr>
            </w:pPr>
            <w:r>
              <w:rPr>
                <w:rFonts w:eastAsia="MS Mincho"/>
                <w:b/>
              </w:rPr>
              <w:t>Description</w:t>
            </w:r>
          </w:p>
        </w:tc>
      </w:tr>
      <w:tr w:rsidR="00B04CBE" w14:paraId="626C4CDA" w14:textId="77777777">
        <w:trPr>
          <w:jc w:val="center"/>
        </w:trPr>
        <w:tc>
          <w:tcPr>
            <w:tcW w:w="3408" w:type="dxa"/>
            <w:vAlign w:val="center"/>
          </w:tcPr>
          <w:p w14:paraId="12FBB15A" w14:textId="77777777" w:rsidR="00B04CBE" w:rsidRDefault="00000000">
            <w:pPr>
              <w:spacing w:after="0" w:line="240" w:lineRule="auto"/>
              <w:rPr>
                <w:rFonts w:eastAsia="MS Mincho"/>
              </w:rPr>
            </w:pPr>
            <w:r>
              <w:rPr>
                <w:rFonts w:eastAsia="MS Mincho"/>
              </w:rPr>
              <w:t>1.</w:t>
            </w:r>
          </w:p>
        </w:tc>
        <w:tc>
          <w:tcPr>
            <w:tcW w:w="3408" w:type="dxa"/>
            <w:vAlign w:val="center"/>
          </w:tcPr>
          <w:p w14:paraId="5CCF942C" w14:textId="77777777" w:rsidR="00B04CBE" w:rsidRDefault="00000000">
            <w:pPr>
              <w:spacing w:after="0" w:line="240" w:lineRule="auto"/>
              <w:rPr>
                <w:rFonts w:eastAsia="MS Mincho"/>
              </w:rPr>
            </w:pPr>
            <w:r>
              <w:rPr>
                <w:rFonts w:eastAsia="MS Mincho"/>
              </w:rPr>
              <w:t>Problem Statement (Problem to be solved)</w:t>
            </w:r>
          </w:p>
        </w:tc>
        <w:tc>
          <w:tcPr>
            <w:tcW w:w="3408" w:type="dxa"/>
            <w:vAlign w:val="center"/>
          </w:tcPr>
          <w:p w14:paraId="22744AF5" w14:textId="77777777" w:rsidR="00B04CBE" w:rsidRDefault="00000000">
            <w:pPr>
              <w:spacing w:after="0" w:line="240" w:lineRule="auto"/>
              <w:rPr>
                <w:rFonts w:eastAsia="MS Mincho"/>
              </w:rPr>
            </w:pPr>
            <w:r>
              <w:rPr>
                <w:rFonts w:eastAsia="MS Mincho"/>
              </w:rPr>
              <w:t>Incident records can contain incomplete, inconsistent, or incorrect information when users rely only on manual checks. This can affect triage, routing, reporting accuracy, SLA compliance, and service quality. The project addresses the need for conditional field behavior and validation directly at the ServiceNow Incident user interface.</w:t>
            </w:r>
          </w:p>
        </w:tc>
      </w:tr>
      <w:tr w:rsidR="00B04CBE" w14:paraId="038E30B5" w14:textId="77777777">
        <w:trPr>
          <w:jc w:val="center"/>
        </w:trPr>
        <w:tc>
          <w:tcPr>
            <w:tcW w:w="3408" w:type="dxa"/>
            <w:vAlign w:val="center"/>
          </w:tcPr>
          <w:p w14:paraId="6FCD3BB5" w14:textId="77777777" w:rsidR="00B04CBE" w:rsidRDefault="00000000">
            <w:pPr>
              <w:spacing w:after="0" w:line="240" w:lineRule="auto"/>
              <w:rPr>
                <w:rFonts w:eastAsia="MS Mincho"/>
              </w:rPr>
            </w:pPr>
            <w:r>
              <w:rPr>
                <w:rFonts w:eastAsia="MS Mincho"/>
              </w:rPr>
              <w:t>2.</w:t>
            </w:r>
          </w:p>
        </w:tc>
        <w:tc>
          <w:tcPr>
            <w:tcW w:w="3408" w:type="dxa"/>
            <w:vAlign w:val="center"/>
          </w:tcPr>
          <w:p w14:paraId="2F7879E7" w14:textId="77777777" w:rsidR="00B04CBE" w:rsidRDefault="00000000">
            <w:pPr>
              <w:spacing w:after="0" w:line="240" w:lineRule="auto"/>
              <w:rPr>
                <w:rFonts w:eastAsia="MS Mincho"/>
              </w:rPr>
            </w:pPr>
            <w:r>
              <w:rPr>
                <w:rFonts w:eastAsia="MS Mincho"/>
              </w:rPr>
              <w:t>Idea / Solution description</w:t>
            </w:r>
          </w:p>
        </w:tc>
        <w:tc>
          <w:tcPr>
            <w:tcW w:w="3408" w:type="dxa"/>
            <w:vAlign w:val="center"/>
          </w:tcPr>
          <w:p w14:paraId="3BE9632B" w14:textId="77777777" w:rsidR="00B04CBE" w:rsidRDefault="00000000">
            <w:pPr>
              <w:spacing w:after="0" w:line="240" w:lineRule="auto"/>
              <w:rPr>
                <w:rFonts w:eastAsia="MS Mincho"/>
              </w:rPr>
            </w:pPr>
            <w:r>
              <w:rPr>
                <w:rFonts w:eastAsia="MS Mincho"/>
              </w:rPr>
              <w:t xml:space="preserve">Implement a ServiceNow Incident solution using a UI Policy and Client Scripts. The UI Policy 'High Impact Control' applies controls when Impact is High. Assignment group is made mandatory and Urgency is made read-only. An </w:t>
            </w:r>
            <w:proofErr w:type="spellStart"/>
            <w:r>
              <w:rPr>
                <w:rFonts w:eastAsia="MS Mincho"/>
              </w:rPr>
              <w:t>onChange</w:t>
            </w:r>
            <w:proofErr w:type="spellEnd"/>
            <w:r>
              <w:rPr>
                <w:rFonts w:eastAsia="MS Mincho"/>
              </w:rPr>
              <w:t xml:space="preserve"> Client Script automatically sets Urgency to High, an </w:t>
            </w:r>
            <w:proofErr w:type="spellStart"/>
            <w:r>
              <w:rPr>
                <w:rFonts w:eastAsia="MS Mincho"/>
              </w:rPr>
              <w:t>onSubmit</w:t>
            </w:r>
            <w:proofErr w:type="spellEnd"/>
            <w:r>
              <w:rPr>
                <w:rFonts w:eastAsia="MS Mincho"/>
              </w:rPr>
              <w:t xml:space="preserve"> Client Script prevents saving when Assigned To is missing for High Impact incidents, and an </w:t>
            </w:r>
            <w:proofErr w:type="spellStart"/>
            <w:r>
              <w:rPr>
                <w:rFonts w:eastAsia="MS Mincho"/>
              </w:rPr>
              <w:t>onCellEdit</w:t>
            </w:r>
            <w:proofErr w:type="spellEnd"/>
            <w:r>
              <w:rPr>
                <w:rFonts w:eastAsia="MS Mincho"/>
              </w:rPr>
              <w:t xml:space="preserve"> Client Script blocks direct State changes from list editing.</w:t>
            </w:r>
          </w:p>
        </w:tc>
      </w:tr>
      <w:tr w:rsidR="00B04CBE" w14:paraId="3B0EB432" w14:textId="77777777">
        <w:trPr>
          <w:jc w:val="center"/>
        </w:trPr>
        <w:tc>
          <w:tcPr>
            <w:tcW w:w="3408" w:type="dxa"/>
            <w:vAlign w:val="center"/>
          </w:tcPr>
          <w:p w14:paraId="00EF3932" w14:textId="77777777" w:rsidR="00B04CBE" w:rsidRDefault="00000000">
            <w:pPr>
              <w:spacing w:after="0" w:line="240" w:lineRule="auto"/>
              <w:rPr>
                <w:rFonts w:eastAsia="MS Mincho"/>
              </w:rPr>
            </w:pPr>
            <w:r>
              <w:rPr>
                <w:rFonts w:eastAsia="MS Mincho"/>
              </w:rPr>
              <w:t>3.</w:t>
            </w:r>
          </w:p>
        </w:tc>
        <w:tc>
          <w:tcPr>
            <w:tcW w:w="3408" w:type="dxa"/>
            <w:vAlign w:val="center"/>
          </w:tcPr>
          <w:p w14:paraId="7471D16F" w14:textId="77777777" w:rsidR="00B04CBE" w:rsidRDefault="00000000">
            <w:pPr>
              <w:spacing w:after="0" w:line="240" w:lineRule="auto"/>
              <w:rPr>
                <w:rFonts w:eastAsia="MS Mincho"/>
              </w:rPr>
            </w:pPr>
            <w:r>
              <w:rPr>
                <w:rFonts w:eastAsia="MS Mincho"/>
              </w:rPr>
              <w:t>Novelty / Uniqueness</w:t>
            </w:r>
          </w:p>
        </w:tc>
        <w:tc>
          <w:tcPr>
            <w:tcW w:w="3408" w:type="dxa"/>
            <w:vAlign w:val="center"/>
          </w:tcPr>
          <w:p w14:paraId="4D7C77DA" w14:textId="77777777" w:rsidR="00B04CBE" w:rsidRDefault="00000000">
            <w:pPr>
              <w:spacing w:after="0" w:line="240" w:lineRule="auto"/>
              <w:rPr>
                <w:rFonts w:eastAsia="MS Mincho"/>
              </w:rPr>
            </w:pPr>
            <w:r>
              <w:rPr>
                <w:rFonts w:eastAsia="MS Mincho"/>
              </w:rPr>
              <w:t>The solution combines UI Policy and multiple Client Script types—</w:t>
            </w:r>
            <w:proofErr w:type="spellStart"/>
            <w:r>
              <w:rPr>
                <w:rFonts w:eastAsia="MS Mincho"/>
              </w:rPr>
              <w:t>onChange</w:t>
            </w:r>
            <w:proofErr w:type="spellEnd"/>
            <w:r>
              <w:rPr>
                <w:rFonts w:eastAsia="MS Mincho"/>
              </w:rPr>
              <w:t xml:space="preserve">, </w:t>
            </w:r>
            <w:proofErr w:type="spellStart"/>
            <w:r>
              <w:rPr>
                <w:rFonts w:eastAsia="MS Mincho"/>
              </w:rPr>
              <w:t>onSubmit</w:t>
            </w:r>
            <w:proofErr w:type="spellEnd"/>
            <w:r>
              <w:rPr>
                <w:rFonts w:eastAsia="MS Mincho"/>
              </w:rPr>
              <w:t xml:space="preserve">, and </w:t>
            </w:r>
            <w:proofErr w:type="spellStart"/>
            <w:r>
              <w:rPr>
                <w:rFonts w:eastAsia="MS Mincho"/>
              </w:rPr>
              <w:t>onCellEdit</w:t>
            </w:r>
            <w:proofErr w:type="spellEnd"/>
            <w:r>
              <w:rPr>
                <w:rFonts w:eastAsia="MS Mincho"/>
              </w:rPr>
              <w:t>—to control different Incident user interactions. It combines automatic field updates, conditional mandatory/read-only behavior, save-time validation, and list-edit restriction in one lightweight Incident configuration.</w:t>
            </w:r>
          </w:p>
        </w:tc>
      </w:tr>
      <w:tr w:rsidR="00B04CBE" w14:paraId="0CFDC8E6" w14:textId="77777777">
        <w:trPr>
          <w:jc w:val="center"/>
        </w:trPr>
        <w:tc>
          <w:tcPr>
            <w:tcW w:w="3408" w:type="dxa"/>
            <w:vAlign w:val="center"/>
          </w:tcPr>
          <w:p w14:paraId="3E23BF60" w14:textId="77777777" w:rsidR="00B04CBE" w:rsidRDefault="00000000">
            <w:pPr>
              <w:spacing w:after="0" w:line="240" w:lineRule="auto"/>
              <w:rPr>
                <w:rFonts w:eastAsia="MS Mincho"/>
              </w:rPr>
            </w:pPr>
            <w:r>
              <w:rPr>
                <w:rFonts w:eastAsia="MS Mincho"/>
              </w:rPr>
              <w:t>4.</w:t>
            </w:r>
          </w:p>
        </w:tc>
        <w:tc>
          <w:tcPr>
            <w:tcW w:w="3408" w:type="dxa"/>
            <w:vAlign w:val="center"/>
          </w:tcPr>
          <w:p w14:paraId="7C719E36" w14:textId="77777777" w:rsidR="00B04CBE" w:rsidRDefault="00000000">
            <w:pPr>
              <w:spacing w:after="0" w:line="240" w:lineRule="auto"/>
              <w:rPr>
                <w:rFonts w:eastAsia="MS Mincho"/>
              </w:rPr>
            </w:pPr>
            <w:r>
              <w:rPr>
                <w:rFonts w:eastAsia="MS Mincho"/>
              </w:rPr>
              <w:t>Social Impact / Customer Satisfaction</w:t>
            </w:r>
          </w:p>
        </w:tc>
        <w:tc>
          <w:tcPr>
            <w:tcW w:w="3408" w:type="dxa"/>
            <w:vAlign w:val="center"/>
          </w:tcPr>
          <w:p w14:paraId="2DCF83BE" w14:textId="77777777" w:rsidR="00B04CBE" w:rsidRDefault="00000000">
            <w:pPr>
              <w:spacing w:after="0" w:line="240" w:lineRule="auto"/>
              <w:rPr>
                <w:rFonts w:eastAsia="MS Mincho"/>
              </w:rPr>
            </w:pPr>
            <w:r>
              <w:rPr>
                <w:rFonts w:eastAsia="MS Mincho"/>
              </w:rPr>
              <w:t xml:space="preserve">The solution supports more consistent Incident records and reduces incomplete data entry. Better data quality can support </w:t>
            </w:r>
            <w:r>
              <w:rPr>
                <w:rFonts w:eastAsia="MS Mincho"/>
              </w:rPr>
              <w:lastRenderedPageBreak/>
              <w:t>effective triage, routing, resolution, reporting, and SLA-related processes. Users receive immediate field behavior and validation feedback instead of relying only on manual checking.</w:t>
            </w:r>
          </w:p>
        </w:tc>
      </w:tr>
      <w:tr w:rsidR="00B04CBE" w14:paraId="6268DCA2" w14:textId="77777777">
        <w:trPr>
          <w:jc w:val="center"/>
        </w:trPr>
        <w:tc>
          <w:tcPr>
            <w:tcW w:w="3408" w:type="dxa"/>
            <w:vAlign w:val="center"/>
          </w:tcPr>
          <w:p w14:paraId="7F10CDDB" w14:textId="77777777" w:rsidR="00B04CBE" w:rsidRDefault="00000000">
            <w:pPr>
              <w:spacing w:after="0" w:line="240" w:lineRule="auto"/>
              <w:rPr>
                <w:rFonts w:eastAsia="MS Mincho"/>
              </w:rPr>
            </w:pPr>
            <w:r>
              <w:rPr>
                <w:rFonts w:eastAsia="MS Mincho"/>
              </w:rPr>
              <w:lastRenderedPageBreak/>
              <w:t>5.</w:t>
            </w:r>
          </w:p>
        </w:tc>
        <w:tc>
          <w:tcPr>
            <w:tcW w:w="3408" w:type="dxa"/>
            <w:vAlign w:val="center"/>
          </w:tcPr>
          <w:p w14:paraId="42B65480" w14:textId="77777777" w:rsidR="00B04CBE" w:rsidRDefault="00000000">
            <w:pPr>
              <w:spacing w:after="0" w:line="240" w:lineRule="auto"/>
              <w:rPr>
                <w:rFonts w:eastAsia="MS Mincho"/>
              </w:rPr>
            </w:pPr>
            <w:r>
              <w:rPr>
                <w:rFonts w:eastAsia="MS Mincho"/>
              </w:rPr>
              <w:t>Business Model (Revenue Model)</w:t>
            </w:r>
          </w:p>
        </w:tc>
        <w:tc>
          <w:tcPr>
            <w:tcW w:w="3408" w:type="dxa"/>
            <w:vAlign w:val="center"/>
          </w:tcPr>
          <w:p w14:paraId="67D49BC6" w14:textId="77777777" w:rsidR="00B04CBE" w:rsidRDefault="00000000">
            <w:pPr>
              <w:spacing w:after="0" w:line="240" w:lineRule="auto"/>
              <w:rPr>
                <w:rFonts w:eastAsia="MS Mincho"/>
              </w:rPr>
            </w:pPr>
            <w:r>
              <w:rPr>
                <w:rFonts w:eastAsia="MS Mincho"/>
              </w:rPr>
              <w:t>This is a ServiceNow configuration-based solution for improving Incident management within an organization. The proposed project itself does not define a separate direct revenue model; its business value is derived from improving data quality, process consistency, and operational efficiency.</w:t>
            </w:r>
          </w:p>
        </w:tc>
      </w:tr>
      <w:tr w:rsidR="00B04CBE" w14:paraId="50A35C04" w14:textId="77777777">
        <w:trPr>
          <w:jc w:val="center"/>
        </w:trPr>
        <w:tc>
          <w:tcPr>
            <w:tcW w:w="3408" w:type="dxa"/>
            <w:vAlign w:val="center"/>
          </w:tcPr>
          <w:p w14:paraId="6BE52DA8" w14:textId="77777777" w:rsidR="00B04CBE" w:rsidRDefault="00000000">
            <w:pPr>
              <w:spacing w:after="0" w:line="240" w:lineRule="auto"/>
              <w:rPr>
                <w:rFonts w:eastAsia="MS Mincho"/>
              </w:rPr>
            </w:pPr>
            <w:r>
              <w:rPr>
                <w:rFonts w:eastAsia="MS Mincho"/>
              </w:rPr>
              <w:t>6.</w:t>
            </w:r>
          </w:p>
        </w:tc>
        <w:tc>
          <w:tcPr>
            <w:tcW w:w="3408" w:type="dxa"/>
            <w:vAlign w:val="center"/>
          </w:tcPr>
          <w:p w14:paraId="52157B12" w14:textId="77777777" w:rsidR="00B04CBE" w:rsidRDefault="00000000">
            <w:pPr>
              <w:spacing w:after="0" w:line="240" w:lineRule="auto"/>
              <w:rPr>
                <w:rFonts w:eastAsia="MS Mincho"/>
              </w:rPr>
            </w:pPr>
            <w:r>
              <w:rPr>
                <w:rFonts w:eastAsia="MS Mincho"/>
              </w:rPr>
              <w:t>Scalability of the Solution</w:t>
            </w:r>
          </w:p>
        </w:tc>
        <w:tc>
          <w:tcPr>
            <w:tcW w:w="3408" w:type="dxa"/>
            <w:vAlign w:val="center"/>
          </w:tcPr>
          <w:p w14:paraId="1D1F30E4" w14:textId="77777777" w:rsidR="00B04CBE" w:rsidRDefault="00000000">
            <w:pPr>
              <w:spacing w:after="0" w:line="240" w:lineRule="auto"/>
              <w:rPr>
                <w:rFonts w:eastAsia="MS Mincho"/>
              </w:rPr>
            </w:pPr>
            <w:r>
              <w:rPr>
                <w:rFonts w:eastAsia="MS Mincho"/>
              </w:rPr>
              <w:t>The configuration can be extended to additional Incident business rules, fields, and conditions. Similar UI Policies and Client Scripts can be added for other validation or automation requirements. The approach can therefore be expanded as Incident-management requirements grow while keeping the solution focused on user-interface controls.</w:t>
            </w:r>
          </w:p>
        </w:tc>
      </w:tr>
    </w:tbl>
    <w:p w14:paraId="260DE058" w14:textId="77777777" w:rsidR="00B04CBE" w:rsidRDefault="00B04CBE"/>
    <w:p w14:paraId="7D64501B" w14:textId="77777777" w:rsidR="00B04CBE" w:rsidRDefault="00000000">
      <w:pPr>
        <w:jc w:val="center"/>
      </w:pPr>
      <w:r>
        <w:rPr>
          <w:i/>
        </w:rPr>
        <w:t>Project: Implement Client Script &amp; UI Policy (Incident)</w:t>
      </w:r>
    </w:p>
    <w:sectPr w:rsidR="00B04CBE">
      <w:pgSz w:w="12240" w:h="15840"/>
      <w:pgMar w:top="936" w:right="1008" w:bottom="936" w:left="100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F48"/>
    <w:multiLevelType w:val="multilevel"/>
    <w:tmpl w:val="EE3289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DE17B4C"/>
    <w:multiLevelType w:val="multilevel"/>
    <w:tmpl w:val="BB40354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085790"/>
    <w:multiLevelType w:val="multilevel"/>
    <w:tmpl w:val="EA44D19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D4E3D97"/>
    <w:multiLevelType w:val="multilevel"/>
    <w:tmpl w:val="FC38B4E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37F5742"/>
    <w:multiLevelType w:val="multilevel"/>
    <w:tmpl w:val="374226C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BE433D8"/>
    <w:multiLevelType w:val="multilevel"/>
    <w:tmpl w:val="4660370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37F7696"/>
    <w:multiLevelType w:val="multilevel"/>
    <w:tmpl w:val="74FC7E2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2165531">
    <w:abstractNumId w:val="4"/>
  </w:num>
  <w:num w:numId="2" w16cid:durableId="1506507081">
    <w:abstractNumId w:val="5"/>
  </w:num>
  <w:num w:numId="3" w16cid:durableId="1324700876">
    <w:abstractNumId w:val="6"/>
  </w:num>
  <w:num w:numId="4" w16cid:durableId="594691">
    <w:abstractNumId w:val="3"/>
  </w:num>
  <w:num w:numId="5" w16cid:durableId="272634141">
    <w:abstractNumId w:val="2"/>
  </w:num>
  <w:num w:numId="6" w16cid:durableId="1206412606">
    <w:abstractNumId w:val="1"/>
  </w:num>
  <w:num w:numId="7" w16cid:durableId="98304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4CBE"/>
    <w:rsid w:val="002A1659"/>
    <w:rsid w:val="003126C4"/>
    <w:rsid w:val="0038067D"/>
    <w:rsid w:val="00B04CBE"/>
    <w:rsid w:val="00E3289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EFDB"/>
  <w15:docId w15:val="{92AD2095-2469-48A6-BBF0-715C7F66A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sethupathy baskar</cp:lastModifiedBy>
  <cp:revision>4</cp:revision>
  <dcterms:created xsi:type="dcterms:W3CDTF">2013-12-23T23:15:00Z</dcterms:created>
  <dcterms:modified xsi:type="dcterms:W3CDTF">2026-09-28T08:50:00Z</dcterms:modified>
  <dc:language>en-IN</dc:language>
</cp:coreProperties>
</file>