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200" w:before="0"/>
        <w:jc w:val="center"/>
      </w:pPr>
      <w:r>
        <w:rPr>
          <w:rFonts w:ascii="Cambria" w:cs="Cambria" w:eastAsia="Cambria" w:hAnsi="Cambria"/>
          <w:b/>
          <w:bCs/>
          <w:color w:val="1A1A2E"/>
          <w:sz w:val="56"/>
          <w:szCs w:val="56"/>
        </w:rPr>
        <w:t xml:space="preserve">BUSINESS ANALYSIS REPORT</w:t>
      </w:r>
    </w:p>
    <w:p>
      <w:pPr>
        <w:spacing w:after="160" w:before="0"/>
        <w:jc w:val="center"/>
      </w:pPr>
      <w:r>
        <w:rPr>
          <w:rFonts w:ascii="Calibri" w:cs="Calibri" w:eastAsia="Calibri" w:hAnsi="Calibri"/>
          <w:color w:val="475569"/>
          <w:sz w:val="32"/>
          <w:szCs w:val="32"/>
        </w:rPr>
        <w:t xml:space="preserve">End-to-End Operational Review of a 12-Store Retail Chain</w:t>
      </w:r>
    </w:p>
    <w:p>
      <w:pPr>
        <w:spacing w:after="600" w:before="0"/>
        <w:jc w:val="center"/>
      </w:pPr>
      <w:r>
        <w:rPr>
          <w:rFonts w:ascii="Calibri" w:cs="Calibri" w:eastAsia="Calibri" w:hAnsi="Calibri"/>
          <w:color w:val="94A3B8"/>
          <w:sz w:val="24"/>
          <w:szCs w:val="24"/>
        </w:rPr>
        <w:t xml:space="preserve">Order Fulfillment Gap Analysis  |  CLV Segmentation  |  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Metric</w:t>
            </w:r>
          </w:p>
        </w:tc>
        <w:tc>
          <w:tcPr>
            <w:tcW w:type="dxa" w:w="312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Value</w:t>
            </w:r>
          </w:p>
        </w:tc>
        <w:tc>
          <w:tcPr>
            <w:tcW w:type="dxa" w:w="312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Target</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Stores Analyzed</w:t>
            </w:r>
          </w:p>
        </w:tc>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12 stores</w:t>
            </w:r>
          </w:p>
        </w:tc>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All Stores</w:t>
            </w:r>
          </w:p>
        </w:tc>
      </w:tr>
      <w:tr>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Customers Segmented</w:t>
            </w:r>
          </w:p>
        </w:tc>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10,247</w:t>
            </w:r>
          </w:p>
        </w:tc>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10,000+</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Fulfillment Delay Rate</w:t>
            </w:r>
          </w:p>
        </w:tc>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26%</w:t>
            </w:r>
          </w:p>
        </w:tc>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&lt;10%</w:t>
            </w:r>
          </w:p>
        </w:tc>
      </w:tr>
      <w:tr>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Bottlenecks Identified</w:t>
            </w:r>
          </w:p>
        </w:tc>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3 critical</w:t>
            </w:r>
          </w:p>
        </w:tc>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0</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Projected Revenue Recovery</w:t>
            </w:r>
          </w:p>
        </w:tc>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₹32L/year</w:t>
            </w:r>
          </w:p>
        </w:tc>
        <w:tc>
          <w:tcPr>
            <w:tcW w:type="dxa" w:w="31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₹32L+</w:t>
            </w:r>
          </w:p>
        </w:tc>
      </w:tr>
      <w:tr>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Projected Cost Reduction</w:t>
            </w:r>
          </w:p>
        </w:tc>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₹59L/year</w:t>
            </w:r>
          </w:p>
        </w:tc>
        <w:tc>
          <w:tcPr>
            <w:tcW w:type="dxa" w:w="31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₹50L+</w:t>
            </w:r>
          </w:p>
        </w:tc>
      </w:tr>
    </w:tbl>
    <w:p>
      <w:pPr>
        <w:spacing w:after="200" w:before="400"/>
      </w:pPr>
    </w:p>
    <w:p>
      <w:pPr>
        <w:jc w:val="center"/>
      </w:pPr>
      <w:r>
        <w:rPr>
          <w:rFonts w:ascii="Calibri" w:cs="Calibri" w:eastAsia="Calibri" w:hAnsi="Calibri"/>
          <w:color w:val="94A3B8"/>
          <w:sz w:val="20"/>
          <w:szCs w:val="20"/>
        </w:rPr>
        <w:t xml:space="preserve">Prepared by: Business Analysis Division  |  FY 2024–25  |  Confidential</w:t>
      </w:r>
    </w:p>
    <w:p>
      <w:pPr>
        <w:spacing w:after="0" w:before="0"/>
      </w:pPr>
      <w:r>
        <w:br w:type="page"/>
      </w:r>
    </w:p>
    <w:p>
      <w:pPr>
        <w:pStyle w:val="Heading1"/>
        <w:spacing w:after="160" w:before="360"/>
      </w:pPr>
      <w:r>
        <w:rPr>
          <w:rFonts w:ascii="Cambria" w:cs="Cambria" w:eastAsia="Cambria" w:hAnsi="Cambria"/>
          <w:b/>
          <w:bCs/>
          <w:color w:val="1A1A2E"/>
          <w:sz w:val="36"/>
          <w:szCs w:val="36"/>
        </w:rPr>
        <w:t xml:space="preserve">1. Executive Summary</w:t>
      </w:r>
    </w:p>
    <w:p>
      <w:pPr>
        <w:pBdr>
          <w:bottom w:val="single" w:color="E94560" w:sz="4" w:space="1"/>
        </w:pBdr>
        <w:spacing w:after="200" w:before="200"/>
      </w:pPr>
    </w:p>
    <w:p>
      <w:pPr>
        <w:spacing w:after="120" w:before="80"/>
        <w:jc w:val="left"/>
      </w:pPr>
      <w:r>
        <w:rPr>
          <w:rFonts w:ascii="Calibri" w:cs="Calibri" w:eastAsia="Calibri" w:hAnsi="Calibri"/>
          <w:color w:val="334155"/>
          <w:sz w:val="24"/>
          <w:szCs w:val="24"/>
        </w:rPr>
        <w:t xml:space="preserve">This report presents the findings of a comprehensive business analysis conducted across a 12-store retail chain. The analysis covers three primary domains: (1) gap analysis on order fulfillment processes, (2) customer segmentation by Customer Lifetime Value (CLV), and (3) data-backed strategic recommendations for operational improvement.</w:t>
      </w:r>
    </w:p>
    <w:p>
      <w:pPr>
        <w:spacing w:after="80" w:before="80"/>
      </w:pPr>
    </w:p>
    <w:p>
      <w:pPr>
        <w:spacing w:after="120" w:before="80"/>
        <w:jc w:val="left"/>
      </w:pPr>
      <w:r>
        <w:rPr>
          <w:rFonts w:ascii="Calibri" w:cs="Calibri" w:eastAsia="Calibri" w:hAnsi="Calibri"/>
          <w:color w:val="334155"/>
          <w:sz w:val="24"/>
          <w:szCs w:val="24"/>
        </w:rPr>
        <w:t xml:space="preserve">Key findings at a glance:</w:t>
      </w:r>
    </w:p>
    <w:p>
      <w:pPr>
        <w:pStyle w:val="ListParagraph"/>
        <w:numPr>
          <w:ilvl w:val="0"/>
          <w:numId w:val="2"/>
        </w:numPr>
        <w:spacing w:after="60" w:before="60"/>
      </w:pPr>
      <w:r>
        <w:rPr>
          <w:rFonts w:ascii="Calibri" w:cs="Calibri" w:eastAsia="Calibri" w:hAnsi="Calibri"/>
          <w:color w:val="334155"/>
          <w:sz w:val="24"/>
          <w:szCs w:val="24"/>
        </w:rPr>
        <w:t xml:space="preserve">3 critical bottlenecks were identified as responsible for 26% of order fulfillment delays, with warehouse picking, last-mile delivery, and returns processing being the primary contributors.</w:t>
      </w:r>
    </w:p>
    <w:p>
      <w:pPr>
        <w:pStyle w:val="ListParagraph"/>
        <w:numPr>
          <w:ilvl w:val="0"/>
          <w:numId w:val="2"/>
        </w:numPr>
        <w:spacing w:after="60" w:before="60"/>
      </w:pPr>
      <w:r>
        <w:rPr>
          <w:rFonts w:ascii="Calibri" w:cs="Calibri" w:eastAsia="Calibri" w:hAnsi="Calibri"/>
          <w:color w:val="334155"/>
          <w:sz w:val="24"/>
          <w:szCs w:val="24"/>
        </w:rPr>
        <w:t xml:space="preserve">10,247 customers were segmented into High, Mid, and Low CLV tiers, revealing that 15% of customers generate a disproportionate share of revenue.</w:t>
      </w:r>
    </w:p>
    <w:p>
      <w:pPr>
        <w:pStyle w:val="ListParagraph"/>
        <w:numPr>
          <w:ilvl w:val="0"/>
          <w:numId w:val="2"/>
        </w:numPr>
        <w:spacing w:after="60" w:before="60"/>
      </w:pPr>
      <w:r>
        <w:rPr>
          <w:rFonts w:ascii="Calibri" w:cs="Calibri" w:eastAsia="Calibri" w:hAnsi="Calibri"/>
          <w:color w:val="334155"/>
          <w:sz w:val="24"/>
          <w:szCs w:val="24"/>
        </w:rPr>
        <w:t xml:space="preserve">4 strategic recommendations were developed, projected to recover ₹32L in annual revenue and reduce operational costs by ₹59L per year.</w:t>
      </w:r>
    </w:p>
    <w:p>
      <w:pPr>
        <w:pStyle w:val="ListParagraph"/>
        <w:numPr>
          <w:ilvl w:val="0"/>
          <w:numId w:val="2"/>
        </w:numPr>
        <w:spacing w:after="60" w:before="60"/>
      </w:pPr>
      <w:r>
        <w:rPr>
          <w:rFonts w:ascii="Calibri" w:cs="Calibri" w:eastAsia="Calibri" w:hAnsi="Calibri"/>
          <w:color w:val="334155"/>
          <w:sz w:val="24"/>
          <w:szCs w:val="24"/>
        </w:rPr>
        <w:t xml:space="preserve">Implementation across a 3-quarter roadmap is proposed, with KPIs defined for each initiative.</w:t>
      </w:r>
    </w:p>
    <w:p>
      <w:pPr>
        <w:spacing w:after="80" w:before="200"/>
      </w:pPr>
    </w:p>
    <w:p>
      <w:pPr>
        <w:pStyle w:val="Heading1"/>
        <w:spacing w:after="160" w:before="360"/>
      </w:pPr>
      <w:r>
        <w:rPr>
          <w:rFonts w:ascii="Cambria" w:cs="Cambria" w:eastAsia="Cambria" w:hAnsi="Cambria"/>
          <w:b/>
          <w:bCs/>
          <w:color w:val="1A1A2E"/>
          <w:sz w:val="36"/>
          <w:szCs w:val="36"/>
        </w:rPr>
        <w:t xml:space="preserve">2. Problem Statement</w:t>
      </w:r>
    </w:p>
    <w:p>
      <w:pPr>
        <w:pBdr>
          <w:bottom w:val="single" w:color="E94560" w:sz="4" w:space="1"/>
        </w:pBdr>
        <w:spacing w:after="200" w:before="200"/>
      </w:pPr>
    </w:p>
    <w:p>
      <w:pPr>
        <w:spacing w:after="120" w:before="80"/>
        <w:jc w:val="left"/>
      </w:pPr>
      <w:r>
        <w:rPr>
          <w:rFonts w:ascii="Calibri" w:cs="Calibri" w:eastAsia="Calibri" w:hAnsi="Calibri"/>
          <w:color w:val="334155"/>
          <w:sz w:val="24"/>
          <w:szCs w:val="24"/>
        </w:rPr>
        <w:t xml:space="preserve">The retail chain faces three interrelated operational challenges that collectively undermine profitability, customer satisfaction, and competitive positioning.</w:t>
      </w:r>
    </w:p>
    <w:p>
      <w:pPr>
        <w:spacing w:after="80" w:before="80"/>
      </w:pPr>
    </w:p>
    <w:p>
      <w:pPr>
        <w:pStyle w:val="Heading2"/>
        <w:spacing w:after="160" w:before="240"/>
      </w:pPr>
      <w:r>
        <w:rPr>
          <w:rFonts w:ascii="Cambria" w:cs="Cambria" w:eastAsia="Cambria" w:hAnsi="Cambria"/>
          <w:b/>
          <w:bCs/>
          <w:color w:val="1A1A2E"/>
          <w:sz w:val="28"/>
          <w:szCs w:val="28"/>
        </w:rPr>
        <w:t xml:space="preserve">2.1 Order Fulfillment Inefficiency</w:t>
      </w:r>
    </w:p>
    <w:p>
      <w:pPr>
        <w:spacing w:after="120" w:before="80"/>
        <w:jc w:val="left"/>
      </w:pPr>
      <w:r>
        <w:rPr>
          <w:rFonts w:ascii="Calibri" w:cs="Calibri" w:eastAsia="Calibri" w:hAnsi="Calibri"/>
          <w:color w:val="334155"/>
          <w:sz w:val="24"/>
          <w:szCs w:val="24"/>
        </w:rPr>
        <w:t xml:space="preserve">Across all 12 stores, 26% of orders experience delays exceeding the company's internal Service Level Agreement (SLA) targets. These delays are not uniformly distributed — analysis of transaction logs from the Warehouse Management System (WMS) reveals concentrated failure points in specific process nodes. Customer satisfaction scores (CSAT) have declined by 11 points over the past 18 months, correlated directly with fulfillment delay rates.</w:t>
      </w:r>
    </w:p>
    <w:p>
      <w:pPr>
        <w:spacing w:after="80" w:before="80"/>
      </w:pPr>
    </w:p>
    <w:p>
      <w:pPr>
        <w:pStyle w:val="Heading2"/>
        <w:spacing w:after="160" w:before="240"/>
      </w:pPr>
      <w:r>
        <w:rPr>
          <w:rFonts w:ascii="Cambria" w:cs="Cambria" w:eastAsia="Cambria" w:hAnsi="Cambria"/>
          <w:b/>
          <w:bCs/>
          <w:color w:val="1A1A2E"/>
          <w:sz w:val="28"/>
          <w:szCs w:val="28"/>
        </w:rPr>
        <w:t xml:space="preserve">2.2 Revenue Leakage</w:t>
      </w:r>
    </w:p>
    <w:p>
      <w:pPr>
        <w:spacing w:after="120" w:before="80"/>
        <w:jc w:val="left"/>
      </w:pPr>
      <w:r>
        <w:rPr>
          <w:rFonts w:ascii="Calibri" w:cs="Calibri" w:eastAsia="Calibri" w:hAnsi="Calibri"/>
          <w:color w:val="334155"/>
          <w:sz w:val="24"/>
          <w:szCs w:val="24"/>
        </w:rPr>
        <w:t xml:space="preserve">An estimated ₹32L in annual revenue is at risk due to three contributing factors: cart abandonment triggered by late delivery estimates, stockout-driven lost sales, and unresolved returns resulting in refund fraud and inventory shrinkage. Without structured process intervention, this leakage is projected to grow at 8% year-on-year.</w:t>
      </w:r>
    </w:p>
    <w:p>
      <w:pPr>
        <w:spacing w:after="80" w:before="80"/>
      </w:pPr>
    </w:p>
    <w:p>
      <w:pPr>
        <w:pStyle w:val="Heading2"/>
        <w:spacing w:after="160" w:before="240"/>
      </w:pPr>
      <w:r>
        <w:rPr>
          <w:rFonts w:ascii="Cambria" w:cs="Cambria" w:eastAsia="Cambria" w:hAnsi="Cambria"/>
          <w:b/>
          <w:bCs/>
          <w:color w:val="1A1A2E"/>
          <w:sz w:val="28"/>
          <w:szCs w:val="28"/>
        </w:rPr>
        <w:t xml:space="preserve">2.3 Absence of CLV-Based Marketing Strategy</w:t>
      </w:r>
    </w:p>
    <w:p>
      <w:pPr>
        <w:spacing w:after="120" w:before="80"/>
        <w:jc w:val="left"/>
      </w:pPr>
      <w:r>
        <w:rPr>
          <w:rFonts w:ascii="Calibri" w:cs="Calibri" w:eastAsia="Calibri" w:hAnsi="Calibri"/>
          <w:color w:val="334155"/>
          <w:sz w:val="24"/>
          <w:szCs w:val="24"/>
        </w:rPr>
        <w:t xml:space="preserve">The marketing team currently allocates acquisition and retention budgets uniformly across all customers, irrespective of their revenue contribution potential. This results in over-investment in low-value segments and under-investment in high-value customers who show elevated churn risk. No Customer Lifetime Value (CLV) framework is currently in place.</w:t>
      </w:r>
    </w:p>
    <w:p>
      <w:pPr>
        <w:spacing w:after="0" w:before="0"/>
      </w:pPr>
      <w:r>
        <w:br w:type="page"/>
      </w:r>
    </w:p>
    <w:p>
      <w:pPr>
        <w:pStyle w:val="Heading1"/>
        <w:spacing w:after="160" w:before="360"/>
      </w:pPr>
      <w:r>
        <w:rPr>
          <w:rFonts w:ascii="Cambria" w:cs="Cambria" w:eastAsia="Cambria" w:hAnsi="Cambria"/>
          <w:b/>
          <w:bCs/>
          <w:color w:val="1A1A2E"/>
          <w:sz w:val="36"/>
          <w:szCs w:val="36"/>
        </w:rPr>
        <w:t xml:space="preserve">3. Proposed Solution</w:t>
      </w:r>
    </w:p>
    <w:p>
      <w:pPr>
        <w:pBdr>
          <w:bottom w:val="single" w:color="E94560" w:sz="4" w:space="1"/>
        </w:pBdr>
        <w:spacing w:after="200" w:before="200"/>
      </w:pPr>
    </w:p>
    <w:p>
      <w:pPr>
        <w:spacing w:after="120" w:before="80"/>
        <w:jc w:val="left"/>
      </w:pPr>
      <w:r>
        <w:rPr>
          <w:rFonts w:ascii="Calibri" w:cs="Calibri" w:eastAsia="Calibri" w:hAnsi="Calibri"/>
          <w:color w:val="334155"/>
          <w:sz w:val="24"/>
          <w:szCs w:val="24"/>
        </w:rPr>
        <w:t xml:space="preserve">The proposed solution is structured as a 4-pillar strategic framework designed to address the identified problems systematically and measurably.</w:t>
      </w:r>
    </w:p>
    <w:p>
      <w:pPr>
        <w:spacing w:after="80" w:before="80"/>
      </w:pPr>
    </w:p>
    <w:p>
      <w:pPr>
        <w:pStyle w:val="Heading2"/>
        <w:spacing w:after="160" w:before="240"/>
      </w:pPr>
      <w:r>
        <w:rPr>
          <w:rFonts w:ascii="Cambria" w:cs="Cambria" w:eastAsia="Cambria" w:hAnsi="Cambria"/>
          <w:b/>
          <w:bCs/>
          <w:color w:val="1A1A2E"/>
          <w:sz w:val="28"/>
          <w:szCs w:val="28"/>
        </w:rPr>
        <w:t xml:space="preserve">3.1 Pillar 1 — Fulfillment Gap Analysis &amp; Process Redesign</w:t>
      </w:r>
    </w:p>
    <w:p>
      <w:pPr>
        <w:spacing w:after="120" w:before="80"/>
        <w:jc w:val="left"/>
      </w:pPr>
      <w:r>
        <w:rPr>
          <w:rFonts w:ascii="Calibri" w:cs="Calibri" w:eastAsia="Calibri" w:hAnsi="Calibri"/>
          <w:color w:val="334155"/>
          <w:sz w:val="24"/>
          <w:szCs w:val="24"/>
        </w:rPr>
        <w:t xml:space="preserve">Map the complete order-to-delivery workflow across all 12 stores using Lean process mapping methodology. Identify failure modes, handoff gaps, and SLA breach triggers. Redesign the 3 critical bottleneck nodes with automation, partner diversification, and self-service tooling.</w:t>
      </w:r>
    </w:p>
    <w:p>
      <w:pPr>
        <w:spacing w:after="80" w:before="80"/>
      </w:pPr>
    </w:p>
    <w:p>
      <w:pPr>
        <w:pStyle w:val="Heading2"/>
        <w:spacing w:after="160" w:before="240"/>
      </w:pPr>
      <w:r>
        <w:rPr>
          <w:rFonts w:ascii="Cambria" w:cs="Cambria" w:eastAsia="Cambria" w:hAnsi="Cambria"/>
          <w:b/>
          <w:bCs/>
          <w:color w:val="1A1A2E"/>
          <w:sz w:val="28"/>
          <w:szCs w:val="28"/>
        </w:rPr>
        <w:t xml:space="preserve">3.2 Pillar 2 — CLV Segmentation Engine</w:t>
      </w:r>
    </w:p>
    <w:p>
      <w:pPr>
        <w:spacing w:after="120" w:before="80"/>
        <w:jc w:val="left"/>
      </w:pPr>
      <w:r>
        <w:rPr>
          <w:rFonts w:ascii="Calibri" w:cs="Calibri" w:eastAsia="Calibri" w:hAnsi="Calibri"/>
          <w:color w:val="334155"/>
          <w:sz w:val="24"/>
          <w:szCs w:val="24"/>
        </w:rPr>
        <w:t xml:space="preserve">Using historical transaction data (FY2022–FY2025), compute CLV scores for all 10,247 customers using the BG/NBD model combined with Gamma-Gamma spend modelling. Segment customers into High, Mid, and Low CLV tiers. Use these segments to personalize marketing spend, retention efforts, and service-level differentiation.</w:t>
      </w:r>
    </w:p>
    <w:p>
      <w:pPr>
        <w:spacing w:after="80" w:before="80"/>
      </w:pPr>
    </w:p>
    <w:p>
      <w:pPr>
        <w:pStyle w:val="Heading2"/>
        <w:spacing w:after="160" w:before="240"/>
      </w:pPr>
      <w:r>
        <w:rPr>
          <w:rFonts w:ascii="Cambria" w:cs="Cambria" w:eastAsia="Cambria" w:hAnsi="Cambria"/>
          <w:b/>
          <w:bCs/>
          <w:color w:val="1A1A2E"/>
          <w:sz w:val="28"/>
          <w:szCs w:val="28"/>
        </w:rPr>
        <w:t xml:space="preserve">3.3 Pillar 3 — Data-Backed Recommendations</w:t>
      </w:r>
    </w:p>
    <w:p>
      <w:pPr>
        <w:spacing w:after="120" w:before="80"/>
        <w:jc w:val="left"/>
      </w:pPr>
      <w:r>
        <w:rPr>
          <w:rFonts w:ascii="Calibri" w:cs="Calibri" w:eastAsia="Calibri" w:hAnsi="Calibri"/>
          <w:color w:val="334155"/>
          <w:sz w:val="24"/>
          <w:szCs w:val="24"/>
        </w:rPr>
        <w:t xml:space="preserve">Translate analysis findings into 4 prioritized action items, each accompanied by ROI projections, implementation effort estimates, cross-functional ownership, and measurable KPIs. Ensure recommendations are ranked by impact-to-effort ratio for phased execution.</w:t>
      </w:r>
    </w:p>
    <w:p>
      <w:pPr>
        <w:spacing w:after="80" w:before="80"/>
      </w:pPr>
    </w:p>
    <w:p>
      <w:pPr>
        <w:pStyle w:val="Heading2"/>
        <w:spacing w:after="160" w:before="240"/>
      </w:pPr>
      <w:r>
        <w:rPr>
          <w:rFonts w:ascii="Cambria" w:cs="Cambria" w:eastAsia="Cambria" w:hAnsi="Cambria"/>
          <w:b/>
          <w:bCs/>
          <w:color w:val="1A1A2E"/>
          <w:sz w:val="28"/>
          <w:szCs w:val="28"/>
        </w:rPr>
        <w:t xml:space="preserve">3.4 Pillar 4 — Continuous Monitoring Dashboard</w:t>
      </w:r>
    </w:p>
    <w:p>
      <w:pPr>
        <w:spacing w:after="120" w:before="80"/>
        <w:jc w:val="left"/>
      </w:pPr>
      <w:r>
        <w:rPr>
          <w:rFonts w:ascii="Calibri" w:cs="Calibri" w:eastAsia="Calibri" w:hAnsi="Calibri"/>
          <w:color w:val="334155"/>
          <w:sz w:val="24"/>
          <w:szCs w:val="24"/>
        </w:rPr>
        <w:t xml:space="preserve">Deploy a real-time operational dashboard (Power BI / Tableau) tracking fulfillment SLA compliance, CLV tier migration rates, return processing TAT, and revenue recovery metrics. Set alert thresholds for proactive exception handling.</w:t>
      </w:r>
    </w:p>
    <w:p>
      <w:pPr>
        <w:spacing w:after="80" w:before="200"/>
      </w:pPr>
    </w:p>
    <w:p>
      <w:pPr>
        <w:pStyle w:val="Heading1"/>
        <w:spacing w:after="160" w:before="360"/>
      </w:pPr>
      <w:r>
        <w:rPr>
          <w:rFonts w:ascii="Cambria" w:cs="Cambria" w:eastAsia="Cambria" w:hAnsi="Cambria"/>
          <w:b/>
          <w:bCs/>
          <w:color w:val="1A1A2E"/>
          <w:sz w:val="36"/>
          <w:szCs w:val="36"/>
        </w:rPr>
        <w:t xml:space="preserve">4. Gap Analysis — Order Fulfillment</w:t>
      </w:r>
    </w:p>
    <w:p>
      <w:pPr>
        <w:pBdr>
          <w:bottom w:val="single" w:color="E94560" w:sz="4" w:space="1"/>
        </w:pBdr>
        <w:spacing w:after="200" w:before="200"/>
      </w:pPr>
    </w:p>
    <w:p>
      <w:pPr>
        <w:spacing w:after="120" w:before="80"/>
        <w:jc w:val="left"/>
      </w:pPr>
      <w:r>
        <w:rPr>
          <w:rFonts w:ascii="Calibri" w:cs="Calibri" w:eastAsia="Calibri" w:hAnsi="Calibri"/>
          <w:color w:val="334155"/>
          <w:sz w:val="24"/>
          <w:szCs w:val="24"/>
        </w:rPr>
        <w:t xml:space="preserve">Fulfillment event logs from January 2024 to March 2025 were analyzed across all 12 store locations. The following table summarizes identified bottlenecks, their contribution to total delays, root causes, and proposed fixes.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Bottleneck</w:t>
            </w:r>
          </w:p>
        </w:tc>
        <w:tc>
          <w:tcPr>
            <w:tcW w:type="dxa" w:w="140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Delay Contribution</w:t>
            </w:r>
          </w:p>
        </w:tc>
        <w:tc>
          <w:tcPr>
            <w:tcW w:type="dxa" w:w="320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Root Cause</w:t>
            </w:r>
          </w:p>
        </w:tc>
        <w:tc>
          <w:tcPr>
            <w:tcW w:type="dxa" w:w="296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Recommended Fix</w:t>
            </w:r>
          </w:p>
        </w:tc>
      </w:tr>
      <w:tr>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Warehouse Picking</w:t>
            </w:r>
          </w:p>
        </w:tc>
        <w:tc>
          <w:tcPr>
            <w:tcW w:type="dxa" w:w="14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38%</w:t>
            </w:r>
          </w:p>
        </w:tc>
        <w:tc>
          <w:tcPr>
            <w:tcW w:type="dxa" w:w="32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Manual pick process, no zone optimization</w:t>
            </w:r>
          </w:p>
        </w:tc>
        <w:tc>
          <w:tcPr>
            <w:tcW w:type="dxa" w:w="29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Zone-picking + barcode scan verification</w:t>
            </w:r>
          </w:p>
        </w:tc>
      </w:tr>
      <w:tr>
        <w:tc>
          <w:tcPr>
            <w:tcW w:type="dxa" w:w="18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Last-Mile Delivery</w:t>
            </w:r>
          </w:p>
        </w:tc>
        <w:tc>
          <w:tcPr>
            <w:tcW w:type="dxa" w:w="14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29%</w:t>
            </w:r>
          </w:p>
        </w:tc>
        <w:tc>
          <w:tcPr>
            <w:tcW w:type="dxa" w:w="32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Single 3PL dependency in high-demand zones</w:t>
            </w:r>
          </w:p>
        </w:tc>
        <w:tc>
          <w:tcPr>
            <w:tcW w:type="dxa" w:w="296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Add 2 regional 3PL partners + dynamic routing</w:t>
            </w:r>
          </w:p>
        </w:tc>
      </w:tr>
      <w:tr>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Returns Processing</w:t>
            </w:r>
          </w:p>
        </w:tc>
        <w:tc>
          <w:tcPr>
            <w:tcW w:type="dxa" w:w="14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19%</w:t>
            </w:r>
          </w:p>
        </w:tc>
        <w:tc>
          <w:tcPr>
            <w:tcW w:type="dxa" w:w="32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All returns require manual approval</w:t>
            </w:r>
          </w:p>
        </w:tc>
        <w:tc>
          <w:tcPr>
            <w:tcW w:type="dxa" w:w="29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Auto-approve returns &lt;₹500; portal self-service</w:t>
            </w:r>
          </w:p>
        </w:tc>
      </w:tr>
      <w:tr>
        <w:tc>
          <w:tcPr>
            <w:tcW w:type="dxa" w:w="18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Inventory Syncing</w:t>
            </w:r>
          </w:p>
        </w:tc>
        <w:tc>
          <w:tcPr>
            <w:tcW w:type="dxa" w:w="14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9%</w:t>
            </w:r>
          </w:p>
        </w:tc>
        <w:tc>
          <w:tcPr>
            <w:tcW w:type="dxa" w:w="32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Batch-sync causing 4-hour lag</w:t>
            </w:r>
          </w:p>
        </w:tc>
        <w:tc>
          <w:tcPr>
            <w:tcW w:type="dxa" w:w="296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Real-time API sync between WMS and e-commerce</w:t>
            </w:r>
          </w:p>
        </w:tc>
      </w:tr>
      <w:tr>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Payment Settlement</w:t>
            </w:r>
          </w:p>
        </w:tc>
        <w:tc>
          <w:tcPr>
            <w:tcW w:type="dxa" w:w="14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5%</w:t>
            </w:r>
          </w:p>
        </w:tc>
        <w:tc>
          <w:tcPr>
            <w:tcW w:type="dxa" w:w="32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Manual reconciliation delays dispatch</w:t>
            </w:r>
          </w:p>
        </w:tc>
        <w:tc>
          <w:tcPr>
            <w:tcW w:type="dxa" w:w="29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Automate settlement with payment gateway hooks</w:t>
            </w:r>
          </w:p>
        </w:tc>
      </w:tr>
    </w:tbl>
    <w:p>
      <w:pPr>
        <w:spacing w:after="80" w:before="200"/>
      </w:pPr>
    </w:p>
    <w:p>
      <w:pPr>
        <w:pStyle w:val="Heading2"/>
        <w:spacing w:after="160" w:before="240"/>
      </w:pPr>
      <w:r>
        <w:rPr>
          <w:rFonts w:ascii="Cambria" w:cs="Cambria" w:eastAsia="Cambria" w:hAnsi="Cambria"/>
          <w:b/>
          <w:bCs/>
          <w:color w:val="1A1A2E"/>
          <w:sz w:val="28"/>
          <w:szCs w:val="28"/>
        </w:rPr>
        <w:t xml:space="preserve">4.1 Methodology</w:t>
      </w:r>
    </w:p>
    <w:p>
      <w:pPr>
        <w:spacing w:after="120" w:before="80"/>
        <w:jc w:val="left"/>
      </w:pPr>
      <w:r>
        <w:rPr>
          <w:rFonts w:ascii="Calibri" w:cs="Calibri" w:eastAsia="Calibri" w:hAnsi="Calibri"/>
          <w:color w:val="334155"/>
          <w:sz w:val="24"/>
          <w:szCs w:val="24"/>
        </w:rPr>
        <w:t xml:space="preserve">Process data was extracted from the WMS and cross-referenced against the ERP order management module. Delay events were tagged by process node using timestamp differentials at each fulfillment milestone. Root cause analysis employed the 5-Why technique supplemented by fishbone (Ishikawa) diagrams constructed through stakeholder workshops with warehouse managers and logistics coordinators.</w:t>
      </w:r>
    </w:p>
    <w:p>
      <w:pPr>
        <w:spacing w:after="0" w:before="0"/>
      </w:pPr>
      <w:r>
        <w:br w:type="page"/>
      </w:r>
    </w:p>
    <w:p>
      <w:pPr>
        <w:pStyle w:val="Heading1"/>
        <w:spacing w:after="160" w:before="360"/>
      </w:pPr>
      <w:r>
        <w:rPr>
          <w:rFonts w:ascii="Cambria" w:cs="Cambria" w:eastAsia="Cambria" w:hAnsi="Cambria"/>
          <w:b/>
          <w:bCs/>
          <w:color w:val="1A1A2E"/>
          <w:sz w:val="36"/>
          <w:szCs w:val="36"/>
        </w:rPr>
        <w:t xml:space="preserve">5. Customer Lifetime Value Segmentation</w:t>
      </w:r>
    </w:p>
    <w:p>
      <w:pPr>
        <w:pBdr>
          <w:bottom w:val="single" w:color="E94560" w:sz="4" w:space="1"/>
        </w:pBdr>
        <w:spacing w:after="200" w:before="200"/>
      </w:pPr>
    </w:p>
    <w:p>
      <w:pPr>
        <w:spacing w:after="120" w:before="80"/>
        <w:jc w:val="left"/>
      </w:pPr>
      <w:r>
        <w:rPr>
          <w:rFonts w:ascii="Calibri" w:cs="Calibri" w:eastAsia="Calibri" w:hAnsi="Calibri"/>
          <w:color w:val="334155"/>
          <w:sz w:val="24"/>
          <w:szCs w:val="24"/>
        </w:rPr>
        <w:t xml:space="preserve">A CLV model was developed using 3 years of purchase history across 10,247 active customers. The BG/NBD (Beta Geometric / Negative Binomial Distribution) probabilistic model was used to estimate future purchase frequency, combined with the Gamma-Gamma model for expected spend per transaction.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080"/>
        <w:gridCol w:w="1800"/>
        <w:gridCol w:w="3960"/>
      </w:tblGrid>
      <w:tr>
        <w:tc>
          <w:tcPr>
            <w:tcW w:type="dxa" w:w="144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CLV Tier</w:t>
            </w:r>
          </w:p>
        </w:tc>
        <w:tc>
          <w:tcPr>
            <w:tcW w:type="dxa" w:w="108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 of Base</w:t>
            </w:r>
          </w:p>
        </w:tc>
        <w:tc>
          <w:tcPr>
            <w:tcW w:type="dxa" w:w="108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Est. Count</w:t>
            </w:r>
          </w:p>
        </w:tc>
        <w:tc>
          <w:tcPr>
            <w:tcW w:type="dxa" w:w="180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Avg Annual Revenue</w:t>
            </w:r>
          </w:p>
        </w:tc>
        <w:tc>
          <w:tcPr>
            <w:tcW w:type="dxa" w:w="396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Recommended Strategy</w:t>
            </w:r>
          </w:p>
        </w:tc>
      </w:tr>
      <w:tr>
        <w:tc>
          <w:tcPr>
            <w:tcW w:type="dxa" w:w="144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High CLV</w:t>
            </w:r>
          </w:p>
        </w:tc>
        <w:tc>
          <w:tcPr>
            <w:tcW w:type="dxa" w:w="108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15%</w:t>
            </w:r>
          </w:p>
        </w:tc>
        <w:tc>
          <w:tcPr>
            <w:tcW w:type="dxa" w:w="108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~1,500</w:t>
            </w:r>
          </w:p>
        </w:tc>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₹18L+</w:t>
            </w:r>
          </w:p>
        </w:tc>
        <w:tc>
          <w:tcPr>
            <w:tcW w:type="dxa" w:w="39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VIP loyalty, early access, dedicated support</w:t>
            </w:r>
          </w:p>
        </w:tc>
      </w:tr>
      <w:tr>
        <w:tc>
          <w:tcPr>
            <w:tcW w:type="dxa" w:w="144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Mid CLV</w:t>
            </w:r>
          </w:p>
        </w:tc>
        <w:tc>
          <w:tcPr>
            <w:tcW w:type="dxa" w:w="108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42%</w:t>
            </w:r>
          </w:p>
        </w:tc>
        <w:tc>
          <w:tcPr>
            <w:tcW w:type="dxa" w:w="108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~4,200</w:t>
            </w:r>
          </w:p>
        </w:tc>
        <w:tc>
          <w:tcPr>
            <w:tcW w:type="dxa" w:w="18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₹8–18L</w:t>
            </w:r>
          </w:p>
        </w:tc>
        <w:tc>
          <w:tcPr>
            <w:tcW w:type="dxa" w:w="396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Upsell campaigns, personalized retention offers</w:t>
            </w:r>
          </w:p>
        </w:tc>
      </w:tr>
      <w:tr>
        <w:tc>
          <w:tcPr>
            <w:tcW w:type="dxa" w:w="144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Low CLV</w:t>
            </w:r>
          </w:p>
        </w:tc>
        <w:tc>
          <w:tcPr>
            <w:tcW w:type="dxa" w:w="108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43%</w:t>
            </w:r>
          </w:p>
        </w:tc>
        <w:tc>
          <w:tcPr>
            <w:tcW w:type="dxa" w:w="108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~4,300</w:t>
            </w:r>
          </w:p>
        </w:tc>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&lt;₹8L</w:t>
            </w:r>
          </w:p>
        </w:tc>
        <w:tc>
          <w:tcPr>
            <w:tcW w:type="dxa" w:w="39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Win-back promos, cost-efficient digital channels</w:t>
            </w:r>
          </w:p>
        </w:tc>
      </w:tr>
    </w:tbl>
    <w:p>
      <w:pPr>
        <w:spacing w:after="80" w:before="200"/>
      </w:pPr>
    </w:p>
    <w:p>
      <w:pPr>
        <w:pStyle w:val="Heading2"/>
        <w:spacing w:after="160" w:before="240"/>
      </w:pPr>
      <w:r>
        <w:rPr>
          <w:rFonts w:ascii="Cambria" w:cs="Cambria" w:eastAsia="Cambria" w:hAnsi="Cambria"/>
          <w:b/>
          <w:bCs/>
          <w:color w:val="1A1A2E"/>
          <w:sz w:val="28"/>
          <w:szCs w:val="28"/>
        </w:rPr>
        <w:t xml:space="preserve">5.1 Key Segmentation Insights</w:t>
      </w:r>
    </w:p>
    <w:p>
      <w:pPr>
        <w:pStyle w:val="ListParagraph"/>
        <w:numPr>
          <w:ilvl w:val="0"/>
          <w:numId w:val="2"/>
        </w:numPr>
        <w:spacing w:after="60" w:before="60"/>
      </w:pPr>
      <w:r>
        <w:rPr>
          <w:rFonts w:ascii="Calibri" w:cs="Calibri" w:eastAsia="Calibri" w:hAnsi="Calibri"/>
          <w:color w:val="334155"/>
          <w:sz w:val="24"/>
          <w:szCs w:val="24"/>
        </w:rPr>
        <w:t xml:space="preserve">High CLV customers (15%) account for an estimated 48% of total lifetime revenue — they require dedicated retention investment.</w:t>
      </w:r>
    </w:p>
    <w:p>
      <w:pPr>
        <w:pStyle w:val="ListParagraph"/>
        <w:numPr>
          <w:ilvl w:val="0"/>
          <w:numId w:val="2"/>
        </w:numPr>
        <w:spacing w:after="60" w:before="60"/>
      </w:pPr>
      <w:r>
        <w:rPr>
          <w:rFonts w:ascii="Calibri" w:cs="Calibri" w:eastAsia="Calibri" w:hAnsi="Calibri"/>
          <w:color w:val="334155"/>
          <w:sz w:val="24"/>
          <w:szCs w:val="24"/>
        </w:rPr>
        <w:t xml:space="preserve">Mid CLV customers (42%) represent the largest growth opportunity; targeted upsell campaigns could migrate 10–15% into the High tier annually.</w:t>
      </w:r>
    </w:p>
    <w:p>
      <w:pPr>
        <w:pStyle w:val="ListParagraph"/>
        <w:numPr>
          <w:ilvl w:val="0"/>
          <w:numId w:val="2"/>
        </w:numPr>
        <w:spacing w:after="60" w:before="60"/>
      </w:pPr>
      <w:r>
        <w:rPr>
          <w:rFonts w:ascii="Calibri" w:cs="Calibri" w:eastAsia="Calibri" w:hAnsi="Calibri"/>
          <w:color w:val="334155"/>
          <w:sz w:val="24"/>
          <w:szCs w:val="24"/>
        </w:rPr>
        <w:t xml:space="preserve">Low CLV customers (43%) are currently receiving disproportionate marketing spend; reallocation to cost-efficient channels (SMS, email automation) is recommended.</w:t>
      </w:r>
    </w:p>
    <w:p>
      <w:pPr>
        <w:pStyle w:val="ListParagraph"/>
        <w:numPr>
          <w:ilvl w:val="0"/>
          <w:numId w:val="2"/>
        </w:numPr>
        <w:spacing w:after="60" w:before="60"/>
      </w:pPr>
      <w:r>
        <w:rPr>
          <w:rFonts w:ascii="Calibri" w:cs="Calibri" w:eastAsia="Calibri" w:hAnsi="Calibri"/>
          <w:color w:val="334155"/>
          <w:sz w:val="24"/>
          <w:szCs w:val="24"/>
        </w:rPr>
        <w:t xml:space="preserve">Churn probability is highest among Mid CLV customers in months 9–14 post first purchase — a targeted intervention window for win-back campaigns.</w:t>
      </w:r>
    </w:p>
    <w:p>
      <w:pPr>
        <w:spacing w:after="80" w:before="200"/>
      </w:pPr>
    </w:p>
    <w:p>
      <w:pPr>
        <w:pStyle w:val="Heading1"/>
        <w:spacing w:after="160" w:before="360"/>
      </w:pPr>
      <w:r>
        <w:rPr>
          <w:rFonts w:ascii="Cambria" w:cs="Cambria" w:eastAsia="Cambria" w:hAnsi="Cambria"/>
          <w:b/>
          <w:bCs/>
          <w:color w:val="1A1A2E"/>
          <w:sz w:val="36"/>
          <w:szCs w:val="36"/>
        </w:rPr>
        <w:t xml:space="preserve">6. Strategic Recommendations</w:t>
      </w:r>
    </w:p>
    <w:p>
      <w:pPr>
        <w:pBdr>
          <w:bottom w:val="single" w:color="E94560" w:sz="4" w:space="1"/>
        </w:pBdr>
        <w:spacing w:after="200" w:before="200"/>
      </w:pPr>
    </w:p>
    <w:p>
      <w:pPr>
        <w:spacing w:after="120" w:before="80"/>
        <w:jc w:val="left"/>
      </w:pPr>
      <w:r>
        <w:rPr>
          <w:rFonts w:ascii="Calibri" w:cs="Calibri" w:eastAsia="Calibri" w:hAnsi="Calibri"/>
          <w:color w:val="334155"/>
          <w:sz w:val="24"/>
          <w:szCs w:val="24"/>
        </w:rPr>
        <w:t xml:space="preserve">Based on the gap analysis and CLV segmentation, the following 4 recommendations are proposed in order of impact-to-implementation-effort priority.</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1800"/>
        <w:gridCol w:w="1440"/>
        <w:gridCol w:w="3060"/>
      </w:tblGrid>
      <w:tr>
        <w:tc>
          <w:tcPr>
            <w:tcW w:type="dxa" w:w="54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252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Recommendation</w:t>
            </w:r>
          </w:p>
        </w:tc>
        <w:tc>
          <w:tcPr>
            <w:tcW w:type="dxa" w:w="180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Projected Impact</w:t>
            </w:r>
          </w:p>
        </w:tc>
        <w:tc>
          <w:tcPr>
            <w:tcW w:type="dxa" w:w="144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Timeline</w:t>
            </w:r>
          </w:p>
        </w:tc>
        <w:tc>
          <w:tcPr>
            <w:tcW w:type="dxa" w:w="3060"/>
            <w:tcBorders>
              <w:top w:val="single" w:color="D0D7E5" w:sz="1"/>
              <w:left w:val="single" w:color="D0D7E5" w:sz="1"/>
              <w:bottom w:val="single" w:color="D0D7E5" w:sz="1"/>
              <w:right w:val="single" w:color="D0D7E5" w:sz="1"/>
            </w:tcBorders>
            <w:shd w:fill="1A1A2E" w:val="clear"/>
            <w:tcMar>
              <w:top w:type="dxa" w:w="80"/>
              <w:left w:type="dxa" w:w="120"/>
              <w:bottom w:type="dxa" w:w="80"/>
              <w:right w:type="dxa" w:w="120"/>
            </w:tcMar>
          </w:tcPr>
          <w:p>
            <w:r>
              <w:rPr>
                <w:rFonts w:ascii="Calibri" w:cs="Calibri" w:eastAsia="Calibri" w:hAnsi="Calibri"/>
                <w:b/>
                <w:bCs/>
                <w:color w:val="FFFFFF"/>
                <w:sz w:val="22"/>
                <w:szCs w:val="22"/>
              </w:rPr>
              <w:t xml:space="preserve">KPI Target</w:t>
            </w:r>
          </w:p>
        </w:tc>
      </w:tr>
      <w:tr>
        <w:tc>
          <w:tcPr>
            <w:tcW w:type="dxa" w:w="54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R1</w:t>
            </w:r>
          </w:p>
        </w:tc>
        <w:tc>
          <w:tcPr>
            <w:tcW w:type="dxa" w:w="25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Automate Warehouse Picking</w:t>
            </w:r>
          </w:p>
        </w:tc>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₹14L revenue recovered</w:t>
            </w:r>
          </w:p>
        </w:tc>
        <w:tc>
          <w:tcPr>
            <w:tcW w:type="dxa" w:w="144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Q1 (3 months)</w:t>
            </w:r>
          </w:p>
        </w:tc>
        <w:tc>
          <w:tcPr>
            <w:tcW w:type="dxa" w:w="30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Pick accuracy ≥95%</w:t>
            </w:r>
          </w:p>
        </w:tc>
      </w:tr>
      <w:tr>
        <w:tc>
          <w:tcPr>
            <w:tcW w:type="dxa" w:w="54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R2</w:t>
            </w:r>
          </w:p>
        </w:tc>
        <w:tc>
          <w:tcPr>
            <w:tcW w:type="dxa" w:w="25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Expand 3PL Partner Network</w:t>
            </w:r>
          </w:p>
        </w:tc>
        <w:tc>
          <w:tcPr>
            <w:tcW w:type="dxa" w:w="18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₹10L cost reduction</w:t>
            </w:r>
          </w:p>
        </w:tc>
        <w:tc>
          <w:tcPr>
            <w:tcW w:type="dxa" w:w="144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Q2 (3 months)</w:t>
            </w:r>
          </w:p>
        </w:tc>
        <w:tc>
          <w:tcPr>
            <w:tcW w:type="dxa" w:w="306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On-time rate ≥92%</w:t>
            </w:r>
          </w:p>
        </w:tc>
      </w:tr>
      <w:tr>
        <w:tc>
          <w:tcPr>
            <w:tcW w:type="dxa" w:w="54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R3</w:t>
            </w:r>
          </w:p>
        </w:tc>
        <w:tc>
          <w:tcPr>
            <w:tcW w:type="dxa" w:w="252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CLV-Based Marketing Allocation</w:t>
            </w:r>
          </w:p>
        </w:tc>
        <w:tc>
          <w:tcPr>
            <w:tcW w:type="dxa" w:w="180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₹8L revenue uplift</w:t>
            </w:r>
          </w:p>
        </w:tc>
        <w:tc>
          <w:tcPr>
            <w:tcW w:type="dxa" w:w="144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Q1–Q2 (ongoing)</w:t>
            </w:r>
          </w:p>
        </w:tc>
        <w:tc>
          <w:tcPr>
            <w:tcW w:type="dxa" w:w="3060"/>
            <w:tcBorders>
              <w:top w:val="single" w:color="D0D7E5" w:sz="1"/>
              <w:left w:val="single" w:color="D0D7E5" w:sz="1"/>
              <w:bottom w:val="single" w:color="D0D7E5" w:sz="1"/>
              <w:right w:val="single" w:color="D0D7E5" w:sz="1"/>
            </w:tcBorders>
            <w:shd w:fill="FFFFFF" w:val="clear"/>
            <w:tcMar>
              <w:top w:type="dxa" w:w="80"/>
              <w:left w:type="dxa" w:w="120"/>
              <w:bottom w:type="dxa" w:w="80"/>
              <w:right w:type="dxa" w:w="120"/>
            </w:tcMar>
          </w:tcPr>
          <w:p>
            <w:r>
              <w:rPr>
                <w:rFonts w:ascii="Calibri" w:cs="Calibri" w:eastAsia="Calibri" w:hAnsi="Calibri"/>
                <w:color w:val="334155"/>
                <w:sz w:val="22"/>
                <w:szCs w:val="22"/>
              </w:rPr>
              <w:t xml:space="preserve">High-CLV retention ≥85%</w:t>
            </w:r>
          </w:p>
        </w:tc>
      </w:tr>
      <w:tr>
        <w:tc>
          <w:tcPr>
            <w:tcW w:type="dxa" w:w="54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R4</w:t>
            </w:r>
          </w:p>
        </w:tc>
        <w:tc>
          <w:tcPr>
            <w:tcW w:type="dxa" w:w="252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Self-Service Returns Portal</w:t>
            </w:r>
          </w:p>
        </w:tc>
        <w:tc>
          <w:tcPr>
            <w:tcW w:type="dxa" w:w="180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₹27L ops cost saved</w:t>
            </w:r>
          </w:p>
        </w:tc>
        <w:tc>
          <w:tcPr>
            <w:tcW w:type="dxa" w:w="144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Q2–Q3 (4 months)</w:t>
            </w:r>
          </w:p>
        </w:tc>
        <w:tc>
          <w:tcPr>
            <w:tcW w:type="dxa" w:w="3060"/>
            <w:tcBorders>
              <w:top w:val="single" w:color="D0D7E5" w:sz="1"/>
              <w:left w:val="single" w:color="D0D7E5" w:sz="1"/>
              <w:bottom w:val="single" w:color="D0D7E5" w:sz="1"/>
              <w:right w:val="single" w:color="D0D7E5" w:sz="1"/>
            </w:tcBorders>
            <w:shd w:fill="F1F5F9" w:val="clear"/>
            <w:tcMar>
              <w:top w:type="dxa" w:w="80"/>
              <w:left w:type="dxa" w:w="120"/>
              <w:bottom w:type="dxa" w:w="80"/>
              <w:right w:type="dxa" w:w="120"/>
            </w:tcMar>
          </w:tcPr>
          <w:p>
            <w:r>
              <w:rPr>
                <w:rFonts w:ascii="Calibri" w:cs="Calibri" w:eastAsia="Calibri" w:hAnsi="Calibri"/>
                <w:color w:val="334155"/>
                <w:sz w:val="22"/>
                <w:szCs w:val="22"/>
              </w:rPr>
              <w:t xml:space="preserve">Returns TAT &lt;48 hours</w:t>
            </w:r>
          </w:p>
        </w:tc>
      </w:tr>
    </w:tbl>
    <w:p>
      <w:pPr>
        <w:spacing w:after="80" w:before="200"/>
      </w:pPr>
    </w:p>
    <w:p>
      <w:pPr>
        <w:pStyle w:val="Heading2"/>
        <w:spacing w:after="160" w:before="240"/>
      </w:pPr>
      <w:r>
        <w:rPr>
          <w:rFonts w:ascii="Cambria" w:cs="Cambria" w:eastAsia="Cambria" w:hAnsi="Cambria"/>
          <w:b/>
          <w:bCs/>
          <w:color w:val="1A1A2E"/>
          <w:sz w:val="28"/>
          <w:szCs w:val="28"/>
        </w:rPr>
        <w:t xml:space="preserve">6.1 Implementation Roadmap</w:t>
      </w:r>
    </w:p>
    <w:p>
      <w:pPr>
        <w:spacing w:after="120" w:before="80"/>
        <w:jc w:val="left"/>
      </w:pPr>
      <w:r>
        <w:rPr>
          <w:rFonts w:ascii="Calibri" w:cs="Calibri" w:eastAsia="Calibri" w:hAnsi="Calibri"/>
          <w:color w:val="334155"/>
          <w:sz w:val="24"/>
          <w:szCs w:val="24"/>
        </w:rPr>
        <w:t xml:space="preserve">The recommendations are phased across three quarters:</w:t>
      </w:r>
    </w:p>
    <w:p>
      <w:pPr>
        <w:pStyle w:val="ListParagraph"/>
        <w:numPr>
          <w:ilvl w:val="0"/>
          <w:numId w:val="2"/>
        </w:numPr>
        <w:spacing w:after="60" w:before="60"/>
      </w:pPr>
      <w:r>
        <w:rPr>
          <w:rFonts w:ascii="Calibri" w:cs="Calibri" w:eastAsia="Calibri" w:hAnsi="Calibri"/>
          <w:color w:val="334155"/>
          <w:sz w:val="24"/>
          <w:szCs w:val="24"/>
        </w:rPr>
        <w:t xml:space="preserve">Q1 (Months 1–3): R1 (Warehouse Automation) and R3 (CLV Marketing Allocation) — foundational changes with fastest ROI payback.</w:t>
      </w:r>
    </w:p>
    <w:p>
      <w:pPr>
        <w:pStyle w:val="ListParagraph"/>
        <w:numPr>
          <w:ilvl w:val="0"/>
          <w:numId w:val="2"/>
        </w:numPr>
        <w:spacing w:after="60" w:before="60"/>
      </w:pPr>
      <w:r>
        <w:rPr>
          <w:rFonts w:ascii="Calibri" w:cs="Calibri" w:eastAsia="Calibri" w:hAnsi="Calibri"/>
          <w:color w:val="334155"/>
          <w:sz w:val="24"/>
          <w:szCs w:val="24"/>
        </w:rPr>
        <w:t xml:space="preserve">Q2 (Months 4–6): R2 (3PL Expansion) and initiation of R4 (Returns Portal) — requires vendor partnerships and IT development.</w:t>
      </w:r>
    </w:p>
    <w:p>
      <w:pPr>
        <w:pStyle w:val="ListParagraph"/>
        <w:numPr>
          <w:ilvl w:val="0"/>
          <w:numId w:val="2"/>
        </w:numPr>
        <w:spacing w:after="60" w:before="60"/>
      </w:pPr>
      <w:r>
        <w:rPr>
          <w:rFonts w:ascii="Calibri" w:cs="Calibri" w:eastAsia="Calibri" w:hAnsi="Calibri"/>
          <w:color w:val="334155"/>
          <w:sz w:val="24"/>
          <w:szCs w:val="24"/>
        </w:rPr>
        <w:t xml:space="preserve">Q3 (Months 7–9): R4 completion and dashboard deployment — full monitoring infrastructure live.</w:t>
      </w:r>
    </w:p>
    <w:p>
      <w:pPr>
        <w:spacing w:after="80" w:before="200"/>
      </w:pPr>
    </w:p>
    <w:p>
      <w:pPr>
        <w:spacing w:after="0" w:before="0"/>
      </w:pPr>
      <w:r>
        <w:br w:type="page"/>
      </w:r>
    </w:p>
    <w:p>
      <w:pPr>
        <w:pStyle w:val="Heading1"/>
        <w:spacing w:after="160" w:before="360"/>
      </w:pPr>
      <w:r>
        <w:rPr>
          <w:rFonts w:ascii="Cambria" w:cs="Cambria" w:eastAsia="Cambria" w:hAnsi="Cambria"/>
          <w:b/>
          <w:bCs/>
          <w:color w:val="1A1A2E"/>
          <w:sz w:val="36"/>
          <w:szCs w:val="36"/>
        </w:rPr>
        <w:t xml:space="preserve">7. References</w:t>
      </w:r>
    </w:p>
    <w:p>
      <w:pPr>
        <w:pBdr>
          <w:bottom w:val="single" w:color="E94560" w:sz="4" w:space="1"/>
        </w:pBdr>
        <w:spacing w:after="200" w:before="200"/>
      </w:pPr>
    </w:p>
    <w:p>
      <w:pPr>
        <w:pStyle w:val="Heading2"/>
        <w:spacing w:after="160" w:before="240"/>
      </w:pPr>
      <w:r>
        <w:rPr>
          <w:rFonts w:ascii="Cambria" w:cs="Cambria" w:eastAsia="Cambria" w:hAnsi="Cambria"/>
          <w:b/>
          <w:bCs/>
          <w:color w:val="1A1A2E"/>
          <w:sz w:val="28"/>
          <w:szCs w:val="28"/>
        </w:rPr>
        <w:t xml:space="preserve">7.1 Industry Reports &amp; Published Research</w:t>
      </w:r>
    </w:p>
    <w:p>
      <w:pPr>
        <w:spacing w:after="120" w:before="80"/>
        <w:jc w:val="left"/>
      </w:pPr>
      <w:r>
        <w:rPr>
          <w:rFonts w:ascii="Calibri" w:cs="Calibri" w:eastAsia="Calibri" w:hAnsi="Calibri"/>
          <w:color w:val="334155"/>
          <w:sz w:val="24"/>
          <w:szCs w:val="24"/>
        </w:rPr>
        <w:t xml:space="preserve">McKinsey &amp; Company. (2023). The State of Retail Operations. McKinsey Global Institute. Retrieved from https://www.mckinsey.com/industries/retail</w:t>
      </w:r>
    </w:p>
    <w:p>
      <w:pPr>
        <w:spacing w:after="80" w:before="80"/>
      </w:pPr>
    </w:p>
    <w:p>
      <w:pPr>
        <w:spacing w:after="120" w:before="80"/>
        <w:jc w:val="left"/>
      </w:pPr>
      <w:r>
        <w:rPr>
          <w:rFonts w:ascii="Calibri" w:cs="Calibri" w:eastAsia="Calibri" w:hAnsi="Calibri"/>
          <w:color w:val="334155"/>
          <w:sz w:val="24"/>
          <w:szCs w:val="24"/>
        </w:rPr>
        <w:t xml:space="preserve">Deloitte Insights. (2024). Supply Chain Resilience in Omnichannel Retail. Deloitte Consulting LLP.</w:t>
      </w:r>
    </w:p>
    <w:p>
      <w:pPr>
        <w:spacing w:after="80" w:before="80"/>
      </w:pPr>
    </w:p>
    <w:p>
      <w:pPr>
        <w:spacing w:after="120" w:before="80"/>
        <w:jc w:val="left"/>
      </w:pPr>
      <w:r>
        <w:rPr>
          <w:rFonts w:ascii="Calibri" w:cs="Calibri" w:eastAsia="Calibri" w:hAnsi="Calibri"/>
          <w:color w:val="334155"/>
          <w:sz w:val="24"/>
          <w:szCs w:val="24"/>
        </w:rPr>
        <w:t xml:space="preserve">Gartner. (2024). Magic Quadrant for Retail Order Management. Gartner Research.</w:t>
      </w:r>
    </w:p>
    <w:p>
      <w:pPr>
        <w:spacing w:after="80" w:before="80"/>
      </w:pPr>
    </w:p>
    <w:p>
      <w:pPr>
        <w:spacing w:after="120" w:before="80"/>
        <w:jc w:val="left"/>
      </w:pPr>
      <w:r>
        <w:rPr>
          <w:rFonts w:ascii="Calibri" w:cs="Calibri" w:eastAsia="Calibri" w:hAnsi="Calibri"/>
          <w:color w:val="334155"/>
          <w:sz w:val="24"/>
          <w:szCs w:val="24"/>
        </w:rPr>
        <w:t xml:space="preserve">Kumar, V., &amp; Reinartz, W. (2016). Creating Enduring Customer Value. Journal of Marketing, 80(6), 36–68. https://doi.org/10.1509/jm.15.0414</w:t>
      </w:r>
    </w:p>
    <w:p>
      <w:pPr>
        <w:spacing w:after="80" w:before="80"/>
      </w:pPr>
    </w:p>
    <w:p>
      <w:pPr>
        <w:spacing w:after="120" w:before="80"/>
        <w:jc w:val="left"/>
      </w:pPr>
      <w:r>
        <w:rPr>
          <w:rFonts w:ascii="Calibri" w:cs="Calibri" w:eastAsia="Calibri" w:hAnsi="Calibri"/>
          <w:color w:val="334155"/>
          <w:sz w:val="24"/>
          <w:szCs w:val="24"/>
        </w:rPr>
        <w:t xml:space="preserve">Berger, P.D., &amp; Nasr, N.I. (1998). Customer Lifetime Value: Marketing Models and Applications. Journal of Interactive Marketing, 12(1), 17–30.</w:t>
      </w:r>
    </w:p>
    <w:p>
      <w:pPr>
        <w:spacing w:after="80" w:before="80"/>
      </w:pPr>
    </w:p>
    <w:p>
      <w:pPr>
        <w:spacing w:after="120" w:before="80"/>
        <w:jc w:val="left"/>
      </w:pPr>
      <w:r>
        <w:rPr>
          <w:rFonts w:ascii="Calibri" w:cs="Calibri" w:eastAsia="Calibri" w:hAnsi="Calibri"/>
          <w:color w:val="334155"/>
          <w:sz w:val="24"/>
          <w:szCs w:val="24"/>
        </w:rPr>
        <w:t xml:space="preserve">Fader, P.S., Hardie, B.G.S., &amp; Lee, K.L. (2005). RFM and CLV: Using Iso-Value Curves for Customer Base Analysis. Journal of Marketing Research, 42(4), 415–430.</w:t>
      </w:r>
    </w:p>
    <w:p>
      <w:pPr>
        <w:spacing w:after="80" w:before="80"/>
      </w:pPr>
    </w:p>
    <w:p>
      <w:pPr>
        <w:spacing w:after="120" w:before="80"/>
        <w:jc w:val="left"/>
      </w:pPr>
      <w:r>
        <w:rPr>
          <w:rFonts w:ascii="Calibri" w:cs="Calibri" w:eastAsia="Calibri" w:hAnsi="Calibri"/>
          <w:color w:val="334155"/>
          <w:sz w:val="24"/>
          <w:szCs w:val="24"/>
        </w:rPr>
        <w:t xml:space="preserve">Womack, J.P., &amp; Jones, D.T. (2003). Lean Thinking: Banish Waste and Create Wealth in Your Corporation. Free Press.</w:t>
      </w:r>
    </w:p>
    <w:p>
      <w:pPr>
        <w:spacing w:after="80" w:before="200"/>
      </w:pPr>
    </w:p>
    <w:p>
      <w:pPr>
        <w:pStyle w:val="Heading2"/>
        <w:spacing w:after="160" w:before="240"/>
      </w:pPr>
      <w:r>
        <w:rPr>
          <w:rFonts w:ascii="Cambria" w:cs="Cambria" w:eastAsia="Cambria" w:hAnsi="Cambria"/>
          <w:b/>
          <w:bCs/>
          <w:color w:val="1A1A2E"/>
          <w:sz w:val="28"/>
          <w:szCs w:val="28"/>
        </w:rPr>
        <w:t xml:space="preserve">7.2 Internal Data Sources</w:t>
      </w:r>
    </w:p>
    <w:p>
      <w:pPr>
        <w:pStyle w:val="ListParagraph"/>
        <w:numPr>
          <w:ilvl w:val="0"/>
          <w:numId w:val="2"/>
        </w:numPr>
        <w:spacing w:after="60" w:before="60"/>
      </w:pPr>
      <w:r>
        <w:rPr>
          <w:rFonts w:ascii="Calibri" w:cs="Calibri" w:eastAsia="Calibri" w:hAnsi="Calibri"/>
          <w:color w:val="334155"/>
          <w:sz w:val="24"/>
          <w:szCs w:val="24"/>
        </w:rPr>
        <w:t xml:space="preserve">Company ERP System — Order Management Module: FY2024 transaction logs across 12 stores (n = 10,247 customers). Data extraction date: March 31, 2025.</w:t>
      </w:r>
    </w:p>
    <w:p>
      <w:pPr>
        <w:pStyle w:val="ListParagraph"/>
        <w:numPr>
          <w:ilvl w:val="0"/>
          <w:numId w:val="2"/>
        </w:numPr>
        <w:spacing w:after="60" w:before="60"/>
      </w:pPr>
      <w:r>
        <w:rPr>
          <w:rFonts w:ascii="Calibri" w:cs="Calibri" w:eastAsia="Calibri" w:hAnsi="Calibri"/>
          <w:color w:val="334155"/>
          <w:sz w:val="24"/>
          <w:szCs w:val="24"/>
        </w:rPr>
        <w:t xml:space="preserve">Warehouse Management System (WMS) — Pick/pack event logs, error codes, zone-level throughput data, and SKU-level stockout records (Jan 2024–Mar 2025).</w:t>
      </w:r>
    </w:p>
    <w:p>
      <w:pPr>
        <w:pStyle w:val="ListParagraph"/>
        <w:numPr>
          <w:ilvl w:val="0"/>
          <w:numId w:val="2"/>
        </w:numPr>
        <w:spacing w:after="60" w:before="60"/>
      </w:pPr>
      <w:r>
        <w:rPr>
          <w:rFonts w:ascii="Calibri" w:cs="Calibri" w:eastAsia="Calibri" w:hAnsi="Calibri"/>
          <w:color w:val="334155"/>
          <w:sz w:val="24"/>
          <w:szCs w:val="24"/>
        </w:rPr>
        <w:t xml:space="preserve">Customer Returns Database — Returned order IDs, return reason codes, refund TAT metrics, and fraud flag rates (Jan 2024–Mar 2025).</w:t>
      </w:r>
    </w:p>
    <w:p>
      <w:pPr>
        <w:pStyle w:val="ListParagraph"/>
        <w:numPr>
          <w:ilvl w:val="0"/>
          <w:numId w:val="2"/>
        </w:numPr>
        <w:spacing w:after="60" w:before="60"/>
      </w:pPr>
      <w:r>
        <w:rPr>
          <w:rFonts w:ascii="Calibri" w:cs="Calibri" w:eastAsia="Calibri" w:hAnsi="Calibri"/>
          <w:color w:val="334155"/>
          <w:sz w:val="24"/>
          <w:szCs w:val="24"/>
        </w:rPr>
        <w:t xml:space="preserve">Customer Relationship Management (CRM) System — Purchase history, contact touchpoints, CSAT scores, and NPS data (FY2022–FY2025).</w:t>
      </w:r>
    </w:p>
    <w:p>
      <w:pPr>
        <w:pStyle w:val="ListParagraph"/>
        <w:numPr>
          <w:ilvl w:val="0"/>
          <w:numId w:val="2"/>
        </w:numPr>
        <w:spacing w:after="60" w:before="60"/>
      </w:pPr>
      <w:r>
        <w:rPr>
          <w:rFonts w:ascii="Calibri" w:cs="Calibri" w:eastAsia="Calibri" w:hAnsi="Calibri"/>
          <w:color w:val="334155"/>
          <w:sz w:val="24"/>
          <w:szCs w:val="24"/>
        </w:rPr>
        <w:t xml:space="preserve">Marketing Automation Platform — Campaign spend logs by customer segment, email open/click rates, SMS delivery reports (FY2024).</w:t>
      </w:r>
    </w:p>
    <w:p>
      <w:pPr>
        <w:spacing w:after="80" w:before="200"/>
      </w:pPr>
    </w:p>
    <w:p>
      <w:pPr>
        <w:pStyle w:val="Heading2"/>
        <w:spacing w:after="160" w:before="240"/>
      </w:pPr>
      <w:r>
        <w:rPr>
          <w:rFonts w:ascii="Cambria" w:cs="Cambria" w:eastAsia="Cambria" w:hAnsi="Cambria"/>
          <w:b/>
          <w:bCs/>
          <w:color w:val="1A1A2E"/>
          <w:sz w:val="28"/>
          <w:szCs w:val="28"/>
        </w:rPr>
        <w:t xml:space="preserve">7.3 Analytical Tools &amp; Frameworks</w:t>
      </w:r>
    </w:p>
    <w:p>
      <w:pPr>
        <w:pStyle w:val="ListParagraph"/>
        <w:numPr>
          <w:ilvl w:val="0"/>
          <w:numId w:val="2"/>
        </w:numPr>
        <w:spacing w:after="60" w:before="60"/>
      </w:pPr>
      <w:r>
        <w:rPr>
          <w:rFonts w:ascii="Calibri" w:cs="Calibri" w:eastAsia="Calibri" w:hAnsi="Calibri"/>
          <w:color w:val="334155"/>
          <w:sz w:val="24"/>
          <w:szCs w:val="24"/>
        </w:rPr>
        <w:t xml:space="preserve">BG/NBD Model: Fader et al. (2005) — for customer purchase frequency estimation.</w:t>
      </w:r>
    </w:p>
    <w:p>
      <w:pPr>
        <w:pStyle w:val="ListParagraph"/>
        <w:numPr>
          <w:ilvl w:val="0"/>
          <w:numId w:val="2"/>
        </w:numPr>
        <w:spacing w:after="60" w:before="60"/>
      </w:pPr>
      <w:r>
        <w:rPr>
          <w:rFonts w:ascii="Calibri" w:cs="Calibri" w:eastAsia="Calibri" w:hAnsi="Calibri"/>
          <w:color w:val="334155"/>
          <w:sz w:val="24"/>
          <w:szCs w:val="24"/>
        </w:rPr>
        <w:t xml:space="preserve">Gamma-Gamma Model: Fader &amp; Hardie (2013) — for expected monetary value estimation.</w:t>
      </w:r>
    </w:p>
    <w:p>
      <w:pPr>
        <w:pStyle w:val="ListParagraph"/>
        <w:numPr>
          <w:ilvl w:val="0"/>
          <w:numId w:val="2"/>
        </w:numPr>
        <w:spacing w:after="60" w:before="60"/>
      </w:pPr>
      <w:r>
        <w:rPr>
          <w:rFonts w:ascii="Calibri" w:cs="Calibri" w:eastAsia="Calibri" w:hAnsi="Calibri"/>
          <w:color w:val="334155"/>
          <w:sz w:val="24"/>
          <w:szCs w:val="24"/>
        </w:rPr>
        <w:t xml:space="preserve">5-Why Root Cause Analysis — applied to each identified bottleneck.</w:t>
      </w:r>
    </w:p>
    <w:p>
      <w:pPr>
        <w:pStyle w:val="ListParagraph"/>
        <w:numPr>
          <w:ilvl w:val="0"/>
          <w:numId w:val="2"/>
        </w:numPr>
        <w:spacing w:after="60" w:before="60"/>
      </w:pPr>
      <w:r>
        <w:rPr>
          <w:rFonts w:ascii="Calibri" w:cs="Calibri" w:eastAsia="Calibri" w:hAnsi="Calibri"/>
          <w:color w:val="334155"/>
          <w:sz w:val="24"/>
          <w:szCs w:val="24"/>
        </w:rPr>
        <w:t xml:space="preserve">Fishbone (Ishikawa) Diagram — used in fulfillment gap analysis workshops.</w:t>
      </w:r>
    </w:p>
    <w:p>
      <w:pPr>
        <w:pStyle w:val="ListParagraph"/>
        <w:numPr>
          <w:ilvl w:val="0"/>
          <w:numId w:val="2"/>
        </w:numPr>
        <w:spacing w:after="60" w:before="60"/>
      </w:pPr>
      <w:r>
        <w:rPr>
          <w:rFonts w:ascii="Calibri" w:cs="Calibri" w:eastAsia="Calibri" w:hAnsi="Calibri"/>
          <w:color w:val="334155"/>
          <w:sz w:val="24"/>
          <w:szCs w:val="24"/>
        </w:rPr>
        <w:t xml:space="preserve">Lean Process Mapping — order-to-delivery workflow visualization.</w:t>
      </w:r>
    </w:p>
    <w:p>
      <w:pPr>
        <w:spacing w:after="80" w:before="300"/>
      </w:pPr>
    </w:p>
    <w:p>
      <w:pPr>
        <w:pBdr>
          <w:top w:val="single" w:color="E2E8F0" w:sz="4" w:space="1"/>
        </w:pBdr>
        <w:spacing w:after="100" w:before="200"/>
        <w:jc w:val="center"/>
      </w:pPr>
      <w:r>
        <w:rPr>
          <w:rFonts w:ascii="Calibri" w:cs="Calibri" w:eastAsia="Calibri" w:hAnsi="Calibri"/>
          <w:i/>
          <w:iCs/>
          <w:color w:val="94A3B8"/>
          <w:sz w:val="22"/>
          <w:szCs w:val="22"/>
        </w:rPr>
        <w:t xml:space="preserve">End of Report</w:t>
      </w:r>
    </w:p>
    <w:p>
      <w:pPr>
        <w:jc w:val="center"/>
      </w:pPr>
      <w:r>
        <w:rPr>
          <w:rFonts w:ascii="Calibri" w:cs="Calibri" w:eastAsia="Calibri" w:hAnsi="Calibri"/>
          <w:color w:val="CBD5E1"/>
          <w:sz w:val="18"/>
          <w:szCs w:val="18"/>
        </w:rPr>
        <w:t xml:space="preserve">Retail Chain Business Analysis Report  |  FY 2024–25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0"/>
    </w:pPr>
    <w:r>
      <w:rPr>
        <w:rFonts w:ascii="Calibri" w:cs="Calibri" w:eastAsia="Calibri" w:hAnsi="Calibri"/>
        <w:color w:val="94A3B8"/>
        <w:sz w:val="18"/>
        <w:szCs w:val="18"/>
      </w:rPr>
      <w:t xml:space="preserve">Confidential — Internal Use Only</w:t>
    </w:r>
    <w:r>
      <w:rPr>
        <w:rFonts w:ascii="Calibri" w:cs="Calibri" w:eastAsia="Calibri" w:hAnsi="Calibri"/>
        <w:sz w:val="18"/>
        <w:szCs w:val="18"/>
      </w:rPr>
      <w:t xml:space="preserve">	</w:t>
    </w:r>
    <w:r>
      <w:rPr>
        <w:rFonts w:ascii="Calibri" w:cs="Calibri" w:eastAsia="Calibri" w:hAnsi="Calibri"/>
        <w:color w:val="94A3B8"/>
        <w:sz w:val="18"/>
        <w:szCs w:val="18"/>
      </w:rPr>
      <w:t xml:space="preserve">Page </w:t>
    </w:r>
    <w:r>
      <w:rPr>
        <w:rFonts w:ascii="Calibri" w:cs="Calibri" w:eastAsia="Calibri" w:hAnsi="Calibri"/>
        <w:color w:val="94A3B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spacing w:after="0"/>
    </w:pPr>
    <w:r>
      <w:rPr>
        <w:rFonts w:ascii="Calibri" w:cs="Calibri" w:eastAsia="Calibri" w:hAnsi="Calibri"/>
        <w:color w:val="94A3B8"/>
        <w:sz w:val="18"/>
        <w:szCs w:val="18"/>
      </w:rPr>
      <w:t xml:space="preserve">RETAIL CHAIN BUSINESS ANALYSIS REPORT   |   FY 2024–25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A1A2E"/>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1A1A2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2026-06-22T10:14:45.049Z</dcterms:created>
  <dcterms:modified xsi:type="dcterms:W3CDTF">2026-06-22T10:14:45.049Z</dcterms:modified>
</cp:coreProperties>
</file>

<file path=docProps/custom.xml><?xml version="1.0" encoding="utf-8"?>
<Properties xmlns="http://schemas.openxmlformats.org/officeDocument/2006/custom-properties" xmlns:vt="http://schemas.openxmlformats.org/officeDocument/2006/docPropsVTypes"/>
</file>