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82ccf62d7b56e46e7d05523d1d8d4873b56b0e0"/>
    <w:p>
      <w:pPr>
        <w:pStyle w:val="Heading1"/>
      </w:pPr>
      <w:r>
        <w:t xml:space="preserve">Your coding agent spends 85 percent of its time waiting on the model. Here is what the sandbox costs, and what more cores do not buy.</w:t>
      </w:r>
    </w:p>
    <w:p>
      <w:pPr>
        <w:pStyle w:val="FirstParagraph"/>
      </w:pPr>
      <w:r>
        <w:rPr>
          <w:b/>
          <w:bCs/>
        </w:rPr>
        <w:t xml:space="preserve">Akshay Kumar</w:t>
      </w:r>
      <w:r>
        <w:t xml:space="preserve">, Independent Researcher, akumar8@mt.iitr.ac.in</w:t>
      </w:r>
    </w:p>
    <w:p>
      <w:pPr>
        <w:pStyle w:val="BodyText"/>
      </w:pPr>
      <w:r>
        <w:t xml:space="preserve">If you run a coding agent in production, you have a sandbox somewhere, and at some point someone will ask you three questions about it. How much of each agent step does it eat? How many steps per second can one box handle? And what happens to both numbers if you swap the container for something stronger?</w:t>
      </w:r>
    </w:p>
    <w:p>
      <w:pPr>
        <w:pStyle w:val="BodyText"/>
      </w:pPr>
      <w:r>
        <w:t xml:space="preserve">I measured all three on the same substrate, the same image, and the same command, so the answers can be compared with each other. Some of them were not what I expected, and one of them will change how you size hardware.</w:t>
      </w:r>
    </w:p>
    <w:bookmarkStart w:id="9" w:name="where-an-agent-step-goes"/>
    <w:p>
      <w:pPr>
        <w:pStyle w:val="Heading2"/>
      </w:pPr>
      <w:r>
        <w:t xml:space="preserve">Where an agent step goes</w:t>
      </w:r>
    </w:p>
    <w:p>
      <w:pPr>
        <w:pStyle w:val="FirstParagraph"/>
      </w:pPr>
      <w:r>
        <w:t xml:space="preserve">I pointed a code-generation loop at the first twenty tasks of the official HumanEval release, three times over, sixty task executions in all. For each task the model gets the signature and docstring and returns the function. The sandbox runs the prompt, the completion and the task’s published check in a fresh container, and the exit status decides. A deliberately wrong candidate exits with an</w:t>
      </w:r>
      <w:r>
        <w:t xml:space="preserve"> </w:t>
      </w:r>
      <w:r>
        <w:rPr>
          <w:rStyle w:val="VerbatimChar"/>
        </w:rPr>
        <w:t xml:space="preserve">AssertionError</w:t>
      </w:r>
      <w:r>
        <w:t xml:space="preserve">, which is the control that proves the exit codes are real.</w:t>
      </w:r>
    </w:p>
    <w:p>
      <w:pPr>
        <w:pStyle w:val="BodyText"/>
      </w:pPr>
      <w:r>
        <w:t xml:space="preserve">Sixty of sixty passed. The pass rate measures the model, not the sandbox, and I only report it so nobody asks. What I care about is the clock.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Median per task</w:t>
            </w:r>
          </w:p>
        </w:tc>
        <w:tc>
          <w:tcPr/>
          <w:p>
            <w:pPr>
              <w:pStyle w:val="Compact"/>
            </w:pPr>
            <w:r>
              <w:t xml:space="preserve">Share of wall-clock</w:t>
            </w:r>
          </w:p>
        </w:tc>
      </w:tr>
      <w:tr>
        <w:tc>
          <w:tcPr/>
          <w:p>
            <w:pPr>
              <w:pStyle w:val="Compact"/>
            </w:pPr>
            <w:r>
              <w:t xml:space="preserve">Model call (claude-opus-5, adaptive thinking)</w:t>
            </w:r>
          </w:p>
        </w:tc>
        <w:tc>
          <w:tcPr/>
          <w:p>
            <w:pPr>
              <w:pStyle w:val="Compact"/>
            </w:pPr>
            <w:r>
              <w:t xml:space="preserve">3.42 s</w:t>
            </w:r>
          </w:p>
        </w:tc>
        <w:tc>
          <w:tcPr/>
          <w:p>
            <w:pPr>
              <w:pStyle w:val="Compact"/>
            </w:pPr>
            <w:r>
              <w:t xml:space="preserve">85 percent</w:t>
            </w:r>
          </w:p>
        </w:tc>
      </w:tr>
      <w:tr>
        <w:tc>
          <w:tcPr/>
          <w:p>
            <w:pPr>
              <w:pStyle w:val="Compact"/>
            </w:pPr>
            <w:r>
              <w:t xml:space="preserve">Sandbox create, exec, destroy</w:t>
            </w:r>
          </w:p>
        </w:tc>
        <w:tc>
          <w:tcPr/>
          <w:p>
            <w:pPr>
              <w:pStyle w:val="Compact"/>
            </w:pPr>
            <w:r>
              <w:t xml:space="preserve">453 ms</w:t>
            </w:r>
          </w:p>
        </w:tc>
        <w:tc>
          <w:tcPr/>
          <w:p>
            <w:pPr>
              <w:pStyle w:val="Compact"/>
            </w:pPr>
            <w:r>
              <w:t xml:space="preserve">15 percent</w:t>
            </w:r>
          </w:p>
        </w:tc>
      </w:tr>
      <w:tr>
        <w:tc>
          <w:tcPr/>
          <w:p>
            <w:pPr>
              <w:pStyle w:val="Compact"/>
            </w:pPr>
            <w:r>
              <w:t xml:space="preserve">End to end</w:t>
            </w:r>
          </w:p>
        </w:tc>
        <w:tc>
          <w:tcPr/>
          <w:p>
            <w:pPr>
              <w:pStyle w:val="Compact"/>
            </w:pPr>
            <w:r>
              <w:t xml:space="preserve">3.95 s</w:t>
            </w:r>
          </w:p>
        </w:tc>
        <w:tc>
          <w:tcPr/>
          <w:p>
            <w:pPr>
              <w:pStyle w:val="Compact"/>
            </w:pPr>
          </w:p>
        </w:tc>
      </w:tr>
    </w:tbl>
    <w:p>
      <w:pPr>
        <w:pStyle w:val="BodyText"/>
      </w:pPr>
      <w:r>
        <w:t xml:space="preserve">On a quieter native Linux host the model’s share rises to 89 percent. On a busier one it would fall. Either way, for a frontier model on a real task, the sandbox is a minority of every iteration, and the model call is where the seconds live.</w:t>
      </w:r>
    </w:p>
    <w:p>
      <w:pPr>
        <w:pStyle w:val="BodyText"/>
      </w:pPr>
      <w:r>
        <w:t xml:space="preserve">That has a practical consequence. Shaving 50 ms off sandbox creation buys you about one percent of an agent step. If your sandbox is already in the low hundreds of milliseconds, further tuning is a rounding error against inference. Spend the engineering somewhere else. The exception is if your sandbox is not in the low hundreds of milliseconds, which brings me to the runtimes.</w:t>
      </w:r>
    </w:p>
    <w:p>
      <w:pPr>
        <w:pStyle w:val="BodyText"/>
      </w:pPr>
      <w:r>
        <w:t xml:space="preserve">One clarification first. My substrate is a Go control plane over the Docker Engine API and a small Rust agent inside the container that streams stdout, stderr and produced files back over JSON-RPC. Against raw Docker with the identical hardened configuration on the same host, that layer costs 25 ms per lifecycle, or sixteen percent of a raw lifecycle. I say so because the rest of this article is about the boundary underneath, and I do not want the substrate’s cost confused with the boundary’s.</w:t>
      </w:r>
    </w:p>
    <w:bookmarkEnd w:id="9"/>
    <w:bookmarkStart w:id="10" w:name="throughput-on-one-host-and-what-caps-it"/>
    <w:p>
      <w:pPr>
        <w:pStyle w:val="Heading2"/>
      </w:pPr>
      <w:r>
        <w:t xml:space="preserve">Throughput on one host, and what caps it</w:t>
      </w:r>
    </w:p>
    <w:p>
      <w:pPr>
        <w:pStyle w:val="FirstParagraph"/>
      </w:pPr>
      <w:r>
        <w:t xml:space="preserve">I swept client concurrency from one to thirty-two, eighty create-destroy lifecycles per level, and repeated the entire sweep ten times.</w:t>
      </w:r>
    </w:p>
    <w:p>
      <w:pPr>
        <w:pStyle w:val="BodyText"/>
      </w:pPr>
      <w:r>
        <w:t xml:space="preserve">On the laptop, throughput rises from 7.0 sandboxes per second at one client to a plateau of 17.2 at sixteen clients, and 17.1 at thirty-two. The last three levels sit inside one another’s confidence intervals. On a four-vCPU native Linux host the plateau is 12.3 at eight clients.</w:t>
      </w:r>
    </w:p>
    <w:p>
      <w:pPr>
        <w:pStyle w:val="BodyText"/>
      </w:pPr>
      <w:r>
        <w:t xml:space="preserve">One thing about that sweep: a single pass at four or eight clients can land anywhere in a two-to-one band. A throughput curve drawn from one sweep per level, which is how such curves are usually drawn, is mostly noise. Ten sweeps and a confidence interval are the minimum for the shape to mean anything.</w:t>
      </w:r>
    </w:p>
    <w:p>
      <w:pPr>
        <w:pStyle w:val="BodyText"/>
      </w:pPr>
      <w:r>
        <w:t xml:space="preserve">So what is the plateau? Either four cores or one Docker daemon. To tell them apart I repeated the ten sweeps on eight- and sixteen-vCPU hosts of the same family, same image, same harness.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Peak sandboxes per second</w:t>
            </w:r>
          </w:p>
        </w:tc>
        <w:tc>
          <w:tcPr/>
          <w:p>
            <w:pPr>
              <w:pStyle w:val="Compact"/>
            </w:pPr>
            <w:r>
              <w:t xml:space="preserve">Single-client rate</w:t>
            </w:r>
          </w:p>
        </w:tc>
      </w:tr>
      <w:tr>
        <w:tc>
          <w:tcPr/>
          <w:p>
            <w:pPr>
              <w:pStyle w:val="Compact"/>
            </w:pPr>
            <w:r>
              <w:t xml:space="preserve">4 vCPU</w:t>
            </w:r>
          </w:p>
        </w:tc>
        <w:tc>
          <w:tcPr/>
          <w:p>
            <w:pPr>
              <w:pStyle w:val="Compact"/>
            </w:pPr>
            <w:r>
              <w:t xml:space="preserve">12.3</w:t>
            </w:r>
          </w:p>
        </w:tc>
        <w:tc>
          <w:tcPr/>
          <w:p>
            <w:pPr>
              <w:pStyle w:val="Compact"/>
            </w:pPr>
            <w:r>
              <w:t xml:space="preserve">3.8</w:t>
            </w:r>
          </w:p>
        </w:tc>
      </w:tr>
      <w:tr>
        <w:tc>
          <w:tcPr/>
          <w:p>
            <w:pPr>
              <w:pStyle w:val="Compact"/>
            </w:pPr>
            <w:r>
              <w:t xml:space="preserve">8 vCPU</w:t>
            </w:r>
          </w:p>
        </w:tc>
        <w:tc>
          <w:tcPr/>
          <w:p>
            <w:pPr>
              <w:pStyle w:val="Compact"/>
            </w:pPr>
            <w:r>
              <w:t xml:space="preserve">13.6</w:t>
            </w:r>
          </w:p>
        </w:tc>
        <w:tc>
          <w:tcPr/>
          <w:p>
            <w:pPr>
              <w:pStyle w:val="Compact"/>
            </w:pPr>
            <w:r>
              <w:t xml:space="preserve">4.3</w:t>
            </w:r>
          </w:p>
        </w:tc>
      </w:tr>
      <w:tr>
        <w:tc>
          <w:tcPr/>
          <w:p>
            <w:pPr>
              <w:pStyle w:val="Compact"/>
            </w:pPr>
            <w:r>
              <w:t xml:space="preserve">16 vCPU</w:t>
            </w:r>
          </w:p>
        </w:tc>
        <w:tc>
          <w:tcPr/>
          <w:p>
            <w:pPr>
              <w:pStyle w:val="Compact"/>
            </w:pPr>
            <w:r>
              <w:t xml:space="preserve">15.2</w:t>
            </w:r>
          </w:p>
        </w:tc>
        <w:tc>
          <w:tcPr/>
          <w:p>
            <w:pPr>
              <w:pStyle w:val="Compact"/>
            </w:pPr>
            <w:r>
              <w:t xml:space="preserve">4.4</w:t>
            </w:r>
          </w:p>
        </w:tc>
      </w:tr>
    </w:tbl>
    <w:p>
      <w:pPr>
        <w:pStyle w:val="BodyText"/>
      </w:pPr>
      <w:r>
        <w:rPr>
          <w:b/>
          <w:bCs/>
        </w:rPr>
        <w:t xml:space="preserve">Four times the cores bought 1.2 times the throughput.</w:t>
      </w:r>
      <w:r>
        <w:t xml:space="preserve"> </w:t>
      </w:r>
      <w:r>
        <w:t xml:space="preserve">The single-client rate barely moved. On sixteen vCPUs the peak arrives at four clients and falls back to roughly the four-vCPU level by thirty-two.</w:t>
      </w:r>
    </w:p>
    <w:p>
      <w:pPr>
        <w:pStyle w:val="BodyText"/>
      </w:pPr>
      <w:r>
        <w:t xml:space="preserve">Container churn on one host is bounded by the daemon’s serialization of create and destroy, and adding cores does not change that. If you need more sandboxes per second, you need more daemons, which means more hosts. Buying a bigger box for this workload is close to buying nothing. That is the sizing result I would want someone to have told me a year ago.</w:t>
      </w:r>
    </w:p>
    <w:bookmarkEnd w:id="10"/>
    <w:bookmarkStart w:id="11" w:name="swapping-the-boundary"/>
    <w:p>
      <w:pPr>
        <w:pStyle w:val="Heading2"/>
      </w:pPr>
      <w:r>
        <w:t xml:space="preserve">Swapping the boundary</w:t>
      </w:r>
    </w:p>
    <w:p>
      <w:pPr>
        <w:pStyle w:val="FirstParagraph"/>
      </w:pPr>
      <w:r>
        <w:t xml:space="preserve">Docker accepts an alternative OCI runtime per container. Nothing else in the stack changes. I ran the same control plane, agent, image and harness under</w:t>
      </w:r>
      <w:r>
        <w:t xml:space="preserve"> </w:t>
      </w:r>
      <w:r>
        <w:rPr>
          <w:rStyle w:val="VerbatimChar"/>
        </w:rPr>
        <w:t xml:space="preserve">runc</w:t>
      </w:r>
      <w:r>
        <w:t xml:space="preserve">, under gVisor’s</w:t>
      </w:r>
      <w:r>
        <w:t xml:space="preserve"> </w:t>
      </w:r>
      <w:r>
        <w:rPr>
          <w:rStyle w:val="VerbatimChar"/>
        </w:rPr>
        <w:t xml:space="preserve">runsc</w:t>
      </w:r>
      <w:r>
        <w:t xml:space="preserve">, and under Kata Containers, which boots a QEMU microVM per sandbox, on one host with nested virtualization.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Runtime</w:t>
            </w:r>
          </w:p>
        </w:tc>
        <w:tc>
          <w:tcPr/>
          <w:p>
            <w:pPr>
              <w:pStyle w:val="Compact"/>
            </w:pPr>
            <w:r>
              <w:t xml:space="preserve">Lifecycle median</w:t>
            </w:r>
          </w:p>
        </w:tc>
        <w:tc>
          <w:tcPr/>
          <w:p>
            <w:pPr>
              <w:pStyle w:val="Compact"/>
            </w:pPr>
            <w:r>
              <w:t xml:space="preserve">Substrate cost</w:t>
            </w:r>
          </w:p>
        </w:tc>
        <w:tc>
          <w:tcPr/>
          <w:p>
            <w:pPr>
              <w:pStyle w:val="Compact"/>
            </w:pPr>
            <w:r>
              <w:t xml:space="preserve">Substrate share</w:t>
            </w:r>
          </w:p>
        </w:tc>
        <w:tc>
          <w:tcPr/>
          <w:p>
            <w:pPr>
              <w:pStyle w:val="Compact"/>
            </w:pPr>
            <w:r>
              <w:t xml:space="preserve">Peak throughput</w:t>
            </w:r>
          </w:p>
        </w:tc>
      </w:tr>
      <w:tr>
        <w:tc>
          <w:tcPr/>
          <w:p>
            <w:pPr>
              <w:pStyle w:val="Compact"/>
            </w:pPr>
            <w:r>
              <w:t xml:space="preserve">runc</w:t>
            </w:r>
          </w:p>
        </w:tc>
        <w:tc>
          <w:tcPr/>
          <w:p>
            <w:pPr>
              <w:pStyle w:val="Compact"/>
            </w:pPr>
            <w:r>
              <w:t xml:space="preserve">354 ms</w:t>
            </w:r>
          </w:p>
        </w:tc>
        <w:tc>
          <w:tcPr/>
          <w:p>
            <w:pPr>
              <w:pStyle w:val="Compact"/>
            </w:pPr>
            <w:r>
              <w:t xml:space="preserve">50 ms</w:t>
            </w:r>
          </w:p>
        </w:tc>
        <w:tc>
          <w:tcPr/>
          <w:p>
            <w:pPr>
              <w:pStyle w:val="Compact"/>
            </w:pPr>
            <w:r>
              <w:t xml:space="preserve">14 percent</w:t>
            </w:r>
          </w:p>
        </w:tc>
        <w:tc>
          <w:tcPr/>
          <w:p>
            <w:pPr>
              <w:pStyle w:val="Compact"/>
            </w:pPr>
            <w:r>
              <w:t xml:space="preserve">12.5 per second</w:t>
            </w:r>
          </w:p>
        </w:tc>
      </w:tr>
      <w:tr>
        <w:tc>
          <w:tcPr/>
          <w:p>
            <w:pPr>
              <w:pStyle w:val="Compact"/>
            </w:pPr>
            <w:r>
              <w:t xml:space="preserve">gVisor</w:t>
            </w:r>
          </w:p>
        </w:tc>
        <w:tc>
          <w:tcPr/>
          <w:p>
            <w:pPr>
              <w:pStyle w:val="Compact"/>
            </w:pPr>
            <w:r>
              <w:t xml:space="preserve">405 ms</w:t>
            </w:r>
          </w:p>
        </w:tc>
        <w:tc>
          <w:tcPr/>
          <w:p>
            <w:pPr>
              <w:pStyle w:val="Compact"/>
            </w:pPr>
            <w:r>
              <w:t xml:space="preserve">64 ms</w:t>
            </w:r>
          </w:p>
        </w:tc>
        <w:tc>
          <w:tcPr/>
          <w:p>
            <w:pPr>
              <w:pStyle w:val="Compact"/>
            </w:pPr>
            <w:r>
              <w:t xml:space="preserve">16 percent</w:t>
            </w:r>
          </w:p>
        </w:tc>
        <w:tc>
          <w:tcPr/>
          <w:p>
            <w:pPr>
              <w:pStyle w:val="Compact"/>
            </w:pPr>
            <w:r>
              <w:t xml:space="preserve">9.5 per second</w:t>
            </w:r>
          </w:p>
        </w:tc>
      </w:tr>
      <w:tr>
        <w:tc>
          <w:tcPr/>
          <w:p>
            <w:pPr>
              <w:pStyle w:val="Compact"/>
            </w:pPr>
            <w:r>
              <w:t xml:space="preserve">Kata</w:t>
            </w:r>
          </w:p>
        </w:tc>
        <w:tc>
          <w:tcPr/>
          <w:p>
            <w:pPr>
              <w:pStyle w:val="Compact"/>
            </w:pPr>
            <w:r>
              <w:t xml:space="preserve">7,824 ms</w:t>
            </w:r>
          </w:p>
        </w:tc>
        <w:tc>
          <w:tcPr/>
          <w:p>
            <w:pPr>
              <w:pStyle w:val="Compact"/>
            </w:pPr>
            <w:r>
              <w:t xml:space="preserve">75 ms</w:t>
            </w:r>
          </w:p>
        </w:tc>
        <w:tc>
          <w:tcPr/>
          <w:p>
            <w:pPr>
              <w:pStyle w:val="Compact"/>
            </w:pPr>
            <w:r>
              <w:t xml:space="preserve">1 percent</w:t>
            </w:r>
          </w:p>
        </w:tc>
        <w:tc>
          <w:tcPr/>
          <w:p>
            <w:pPr>
              <w:pStyle w:val="Compact"/>
            </w:pPr>
            <w:r>
              <w:t xml:space="preserve">0.5 per second</w:t>
            </w:r>
          </w:p>
        </w:tc>
      </w:tr>
    </w:tbl>
    <w:p>
      <w:pPr>
        <w:pStyle w:val="BodyText"/>
      </w:pPr>
      <w:r>
        <w:t xml:space="preserve">Two things to read off that table. First, the substrate cost is close to a constant: fifty, sixty-four, seventy-five milliseconds. It does not scale with the boundary, so it is 14 percent of a container lifecycle and one percent of a microVM lifecycle. Second, Kata is twenty-two times slower than runc, and at that price it also failed to create 23 of 72 sandboxes once concurrency reached sixteen, where the other two runtimes had no errors.</w:t>
      </w:r>
    </w:p>
    <w:bookmarkEnd w:id="11"/>
    <w:bookmarkStart w:id="12" w:name="the-two-flags-that-tripled-the-microvm"/>
    <w:p>
      <w:pPr>
        <w:pStyle w:val="Heading2"/>
      </w:pPr>
      <w:r>
        <w:t xml:space="preserve">The two flags that tripled the microVM</w:t>
      </w:r>
    </w:p>
    <w:p>
      <w:pPr>
        <w:pStyle w:val="FirstParagraph"/>
      </w:pPr>
      <w:r>
        <w:t xml:space="preserve">Here is the part I did not see coming. Kata’s stock lifecycle on this host is about 2.8 seconds. Its lifecycle with my hardened configuration is 7.75 seconds. The hardening, which was free under runc, cost five seconds under a microVM. I isolated the flags one at a time, three runs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Kata lifecycle</w:t>
            </w:r>
          </w:p>
        </w:tc>
      </w:tr>
      <w:tr>
        <w:tc>
          <w:tcPr/>
          <w:p>
            <w:pPr>
              <w:pStyle w:val="Compact"/>
            </w:pPr>
            <w:r>
              <w:t xml:space="preserve">Bare Kata boot, stock</w:t>
            </w:r>
          </w:p>
        </w:tc>
        <w:tc>
          <w:tcPr/>
          <w:p>
            <w:pPr>
              <w:pStyle w:val="Compact"/>
            </w:pPr>
            <w:r>
              <w:t xml:space="preserve">2.8 s</w:t>
            </w:r>
          </w:p>
        </w:tc>
      </w:tr>
      <w:tr>
        <w:tc>
          <w:tcPr/>
          <w:p>
            <w:pPr>
              <w:pStyle w:val="Compact"/>
            </w:pPr>
            <w:r>
              <w:t xml:space="preserve">plus network</w:t>
            </w:r>
            <w:r>
              <w:t xml:space="preserve"> </w:t>
            </w:r>
            <w:r>
              <w:rPr>
                <w:rStyle w:val="VerbatimChar"/>
              </w:rPr>
              <w:t xml:space="preserve">none</w:t>
            </w:r>
          </w:p>
        </w:tc>
        <w:tc>
          <w:tcPr/>
          <w:p>
            <w:pPr>
              <w:pStyle w:val="Compact"/>
            </w:pPr>
            <w:r>
              <w:t xml:space="preserve">7.7 s</w:t>
            </w:r>
          </w:p>
        </w:tc>
      </w:tr>
      <w:tr>
        <w:tc>
          <w:tcPr/>
          <w:p>
            <w:pPr>
              <w:pStyle w:val="Compact"/>
            </w:pPr>
            <w:r>
              <w:t xml:space="preserve">plus one-CPU quota</w:t>
            </w:r>
          </w:p>
        </w:tc>
        <w:tc>
          <w:tcPr/>
          <w:p>
            <w:pPr>
              <w:pStyle w:val="Compact"/>
            </w:pPr>
            <w:r>
              <w:t xml:space="preserve">10.7 s</w:t>
            </w:r>
          </w:p>
        </w:tc>
      </w:tr>
    </w:tbl>
    <w:p>
      <w:pPr>
        <w:pStyle w:val="BodyText"/>
      </w:pPr>
      <w:r>
        <w:t xml:space="preserve">Network</w:t>
      </w:r>
      <w:r>
        <w:t xml:space="preserve"> </w:t>
      </w:r>
      <w:r>
        <w:rPr>
          <w:rStyle w:val="VerbatimChar"/>
        </w:rPr>
        <w:t xml:space="preserve">none</w:t>
      </w:r>
      <w:r>
        <w:t xml:space="preserve"> </w:t>
      </w:r>
      <w:r>
        <w:t xml:space="preserve">takes a bare Kata boot from 2.8 to 7.7 seconds. On runc that same flag was the fastest option, because it skips bridge setup. On Kata the runtime still has to bring up a guest network stack and then tear the sandbox’s networking down, and the</w:t>
      </w:r>
      <w:r>
        <w:t xml:space="preserve"> </w:t>
      </w:r>
      <w:r>
        <w:rPr>
          <w:rStyle w:val="VerbatimChar"/>
        </w:rPr>
        <w:t xml:space="preserve">none</w:t>
      </w:r>
      <w:r>
        <w:t xml:space="preserve"> </w:t>
      </w:r>
      <w:r>
        <w:t xml:space="preserve">path turns out to be the slow one. The one-CPU quota takes it to 10.7 seconds, because the cgroup quota throttles the QEMU process while the guest kernel is booting. A limit meant for the workload is throttling the hypervisor.</w:t>
      </w:r>
    </w:p>
    <w:p>
      <w:pPr>
        <w:pStyle w:val="BodyText"/>
      </w:pPr>
      <w:r>
        <w:t xml:space="preserve">So the driver grew two runtime-aware settings: an operator-created internal Docker network with inter-container traffic disabled, used instead of</w:t>
      </w:r>
      <w:r>
        <w:t xml:space="preserve"> </w:t>
      </w:r>
      <w:r>
        <w:rPr>
          <w:rStyle w:val="VerbatimChar"/>
        </w:rPr>
        <w:t xml:space="preserve">none</w:t>
      </w:r>
      <w:r>
        <w:t xml:space="preserve">, and a switch that drops the CPU quota while keeping the memory and PID limits. With both, the Kata lifecycle falls from 7,824 ms to 2,856 ms, 8.1 times runc rather than 22, and throughput rises from 0.5 to 1.2 sandboxes per second. The escape probe still denies twelve of twelve. The security posture did not move. The boot time did.</w:t>
      </w:r>
    </w:p>
    <w:p>
      <w:pPr>
        <w:pStyle w:val="BodyText"/>
      </w:pPr>
      <w:r>
        <w:t xml:space="preserve">The general lesson: a hardening flag is a request to the runtime, and different runtimes pay for the same request in different currency. The only way to know which flags travel is to measure them under the second runtime.</w:t>
      </w:r>
    </w:p>
    <w:bookmarkEnd w:id="12"/>
    <w:bookmarkStart w:id="13" w:name="what-this-means-for-sizing"/>
    <w:p>
      <w:pPr>
        <w:pStyle w:val="Heading2"/>
      </w:pPr>
      <w:r>
        <w:t xml:space="preserve">What this means for sizing</w:t>
      </w:r>
    </w:p>
    <w:p>
      <w:pPr>
        <w:pStyle w:val="FirstParagraph"/>
      </w:pPr>
      <w:r>
        <w:t xml:space="preserve">For an agent doing a fresh sandbox per step:</w:t>
      </w:r>
    </w:p>
    <w:p>
      <w:pPr>
        <w:pStyle w:val="BodyText"/>
      </w:pPr>
      <w:r>
        <w:t xml:space="preserve">Under runc, a lifecycle is a few hundred milliseconds and about 15 percent of an agent step with a frontier model. One four-core host sustains around twelve sandboxes per second, and cores beyond four buy almost nothing. Scale horizontally.</w:t>
      </w:r>
    </w:p>
    <w:p>
      <w:pPr>
        <w:pStyle w:val="BodyText"/>
      </w:pPr>
      <w:r>
        <w:t xml:space="preserve">Under gVisor, add roughly 15 percent to the lifecycle and lose about a quarter of peak throughput. The sizing does not otherwise change.</w:t>
      </w:r>
    </w:p>
    <w:p>
      <w:pPr>
        <w:pStyle w:val="BodyText"/>
      </w:pPr>
      <w:r>
        <w:t xml:space="preserve">Under Kata, with the runtime-aware settings, a lifecycle is around three seconds, comparable to the model call itself, and one host sustains about one sandbox per second. A fresh microVM per agent step is affordable for low-volume, high-assurance work and not otherwise. Reusing a warmed sandbox across compatible steps would spread that cost, but what reuse costs in isolation has to be measured first, and I have not measured it.</w:t>
      </w:r>
    </w:p>
    <w:p>
      <w:pPr>
        <w:pStyle w:val="BodyText"/>
      </w:pPr>
      <w:r>
        <w:t xml:space="preserve">And under any of them, if the question is</w:t>
      </w:r>
      <w:r>
        <w:t xml:space="preserve"> </w:t>
      </w:r>
      <w:r>
        <w:t xml:space="preserve">“how do I get more sandboxes per second,”</w:t>
      </w:r>
      <w:r>
        <w:t xml:space="preserve"> </w:t>
      </w:r>
      <w:r>
        <w:t xml:space="preserve">the answer is more daemons, not more cores.</w:t>
      </w:r>
    </w:p>
    <w:p>
      <w:pPr>
        <w:pStyle w:val="BodyText"/>
      </w:pPr>
      <w:r>
        <w:t xml:space="preserve">Everything here was measured on the same open-source substrate: a MacBook Pro with an M1 Pro running Docker in a four-vCPU Colima VM for the laptop figures, and Compute Engine</w:t>
      </w:r>
      <w:r>
        <w:t xml:space="preserve"> </w:t>
      </w:r>
      <w:r>
        <w:rPr>
          <w:rStyle w:val="VerbatimChar"/>
        </w:rPr>
        <w:t xml:space="preserve">n2-standard-4</w:t>
      </w:r>
      <w:r>
        <w:t xml:space="preserve">,</w:t>
      </w:r>
      <w:r>
        <w:t xml:space="preserve"> </w:t>
      </w:r>
      <w:r>
        <w:rPr>
          <w:rStyle w:val="VerbatimChar"/>
        </w:rPr>
        <w:t xml:space="preserve">-8</w:t>
      </w:r>
      <w:r>
        <w:t xml:space="preserve"> </w:t>
      </w:r>
      <w:r>
        <w:t xml:space="preserve">and</w:t>
      </w:r>
      <w:r>
        <w:t xml:space="preserve"> </w:t>
      </w:r>
      <w:r>
        <w:rPr>
          <w:rStyle w:val="VerbatimChar"/>
        </w:rPr>
        <w:t xml:space="preserve">-16</w:t>
      </w:r>
      <w:r>
        <w:t xml:space="preserve"> </w:t>
      </w:r>
      <w:r>
        <w:t xml:space="preserve">instances for the native and scaling figures. Five runs of 200 lifecycles for latency, ten sweeps per concurrency level for throughput, three repetitions of the agent trace, with host load recorded next to every trace. The substrate, harness, campaign runner and raw traces are MIT-licensed at github.com/akshayaggarwal99/boxed, tagged v0.3.2-paper.</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2026-09-11T02:12:17Z</dcterms:created>
  <dcterms:modified xsi:type="dcterms:W3CDTF">2026-09-11T02:12:17Z</dcterms:modified>
</cp:coreProperties>
</file>

<file path=docProps/custom.xml><?xml version="1.0" encoding="utf-8"?>
<Properties xmlns="http://schemas.openxmlformats.org/officeDocument/2006/custom-properties" xmlns:vt="http://schemas.openxmlformats.org/officeDocument/2006/docPropsVTypes"/>
</file>