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60"/>
              <w:left w:type="dxa" w:w="360"/>
              <w:bottom w:type="dxa" w:w="260"/>
              <w:right w:type="dxa" w:w="260"/>
            </w:tcMar>
          </w:tcPr>
          <w:p>
            <w:pPr>
              <w:spacing w:before="0" w:after="5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3C5FD"/>
                <w:sz w:val="20"/>
                <w:szCs w:val="20"/>
              </w:rPr>
              <w:t xml:space="preserve">PROJECT DOCUMENTATION</w:t>
            </w:r>
          </w:p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P2 — Real-Time Payment Fraud Detection System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A5FA"/>
                <w:sz w:val="20"/>
                <w:szCs w:val="20"/>
              </w:rPr>
              <w:t xml:space="preserve">Catch 87% of fraud in under 80ms — PR-AUC 0.84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Financial Services  ·  XGBoost + LightGBM  ·  SMOTE  ·  Cost-Sensitive Threshold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87%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Recall</w:t>
            </w:r>
          </w:p>
        </w:tc>
        <w:tc>
          <w:tcPr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2563EB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0.84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PR-AUC</w:t>
            </w:r>
          </w:p>
        </w:tc>
        <w:tc>
          <w:tcPr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2.1%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FP Rate</w:t>
            </w:r>
          </w:p>
        </w:tc>
        <w:tc>
          <w:tcPr>
            <w:tcBorders>
              <w:top w:val="single" w:color="BE123C" w:sz="8"/>
              <w:left w:val="single" w:color="BE123C" w:sz="8"/>
              <w:bottom w:val="single" w:color="BE123C" w:sz="8"/>
              <w:right w:val="single" w:color="BE123C" w:sz="8"/>
            </w:tcBorders>
            <w:shd w:fill="BE123C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$3.2M/yr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Impact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8"/>
              <w:bottom w:val="none" w:color="FFFFFF" w:sz="0"/>
              <w:right w:val="none" w:color="FFFFFF" w:sz="0"/>
            </w:tcBorders>
            <w:shd w:fill="FFF1F2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 production-grade fraud detection system processing payment transactions in real time. Uses rank-average ensemble of XGBoost and LightGBM, SMOTE oversampling inside CV folds, cost-sensitive threshold optimisation ($200 FN vs $15 FP), and SHAP explanations for GDPR Article 22 compliance. Achieves 87% recall at 2.1% false positive rate.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2. Business Problem &amp; Context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 online payment processor loses $200 per missed fraud transaction (False Negative) and $15 per blocked legitimate transaction (False Positive). A naive model predicting 'not fraud' always is 96.5% accurate but catches zero fraud. The business needs a cost-aware model that maximises revenue recovery while minimising customer friction across 590K+ transactions.</w:t>
      </w:r>
    </w:p>
    <w:p>
      <w:pPr>
        <w:spacing w:before="160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BE123C"/>
          <w:sz w:val="22"/>
          <w:szCs w:val="22"/>
        </w:rPr>
        <w:t xml:space="preserve">Business Questions This Project Answers: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Which transactions should be blocked in real time with &lt;80ms latency?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What is the optimal probability threshold given the $200/$15 cost asymmetry?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Which features drove the fraud prediction for this specific transaction (GDPR Article 22)?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How does model performance hold up as fraud patterns evolve over time?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3.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IEEE-CIS Fraud Detection (Kaggle)</w:t>
            </w:r>
          </w:p>
        </w:tc>
      </w:tr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590,540 transactions</w:t>
            </w:r>
          </w:p>
        </w:tc>
      </w:tr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Fraud Rate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3.5% (severely imbalanced)</w:t>
            </w:r>
          </w:p>
        </w:tc>
      </w:tr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V1–V394 anonymised PCA + transaction metadata</w:t>
            </w:r>
          </w:p>
        </w:tc>
      </w:tr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2017–2018</w:t>
            </w:r>
          </w:p>
        </w:tc>
      </w:tr>
      <w:tr>
        <w:tc>
          <w:tcPr>
            <w:tcBorders>
              <w:top w:val="single" w:color="BE123C" w:sz="4"/>
              <w:left w:val="single" w:color="BE123C" w:sz="4"/>
              <w:bottom w:val="single" w:color="BE123C" w:sz="4"/>
              <w:right w:val="single" w:color="BE123C" w:sz="4"/>
            </w:tcBorders>
            <w:shd w:fill="BE123C" w:val="clear"/>
            <w:tcMar>
              <w:top w:type="dxa" w:w="75"/>
              <w:left w:type="dxa" w:w="130"/>
              <w:bottom w:type="dxa" w:w="75"/>
              <w:right w:type="dxa" w:w="75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Primary Challenge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1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Extreme class imbalance — naive baseline: 96.5% accuracy, 0% recall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4. 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8"/>
              <w:bottom w:val="none" w:color="FFFFFF" w:sz="0"/>
              <w:right w:val="none" w:color="FFFFFF" w:sz="0"/>
            </w:tcBorders>
            <w:shd w:fill="FFF1F2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Two-model ensemble: XGBoost (scale_pos_weight) + LightGBM, both trained with SMOTE inside StratifiedKFold folds. Rank-average blending (percentile ranks, not raw scores) for stable combination. Optuna tunes both models (40 trials each). Cost-sensitive threshold search minimises $200×FN + $15×FP. SHAP provides per-transaction explanations for compliance. FastAPI + Redis deployment at &lt;80ms.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5. Pipeline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Generate/Load 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make_synthetic_data()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590K rows, 3.5% fraud rate, 30% NaN in V-features — mirrors real IEEE-CIS distribution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Preprocess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preprocess()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log1p(TransactionAmt), cyclical hour encoding, frequency-encode card1, median-impute V-cols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Adversarial Validation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adversarial_validation()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Train XGB to distinguish train vs test: AUC&gt;0.6 → distribution shift risk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SMOTE inside CV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train_with_smote_cv()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StratifiedKFold(4), SMOTE on training fold only — NEVER before splitting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LightGBM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train_lightgbm()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scale_pos_weight, subsample, colsample_bytree — parallel to XGBoost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Rank-Average Ensemble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rank_average_ensemble()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Both models → percentile ranks → mean → final score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Optimal Threshold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optimal_threshold()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Loop 200 thresholds, cost=$200×FN+$15×FP, find argmin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Evaluate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evaluate_fraud_model()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Precision, Recall, F1, PR-AUC, KS statistic, confusion matrix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5"/>
              <w:left w:type="dxa" w:w="75"/>
              <w:bottom w:type="dxa" w:w="95"/>
              <w:right w:type="dxa" w:w="55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8FAFC" w:val="clear"/>
            <w:tcMar>
              <w:top w:type="dxa" w:w="95"/>
              <w:left w:type="dxa" w:w="150"/>
              <w:bottom w:type="dxa" w:w="95"/>
              <w:right w:type="dxa" w:w="110"/>
            </w:tcMar>
          </w:tcPr>
          <w:p>
            <w:pPr>
              <w:spacing w:before="0" w:after="3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SHAP Explain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D28D9"/>
                <w:sz w:val="16"/>
                <w:szCs w:val="16"/>
              </w:rPr>
              <w:t xml:space="preserve">explain_transaction()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TreeExplainer → per-transaction top-5 features → GDPR compliance report</w:t>
            </w:r>
          </w:p>
        </w:tc>
      </w:tr>
    </w:tbl>
    <w:p>
      <w:pPr>
        <w:spacing w:before="35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6. Key Code Snippets</w:t>
      </w:r>
    </w:p>
    <w:p>
      <w:pPr>
        <w:spacing w:before="160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BE123C"/>
          <w:sz w:val="22"/>
          <w:szCs w:val="22"/>
        </w:rPr>
        <w:t xml:space="preserve">Cost-Sensitive Threshold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8"/>
              <w:left w:val="single" w:color="1E293B" w:sz="8"/>
              <w:bottom w:val="single" w:color="1E293B" w:sz="8"/>
              <w:right w:val="single" w:color="1E293B" w:sz="8"/>
            </w:tcBorders>
            <w:shd w:fill="0D1117" w:val="clear"/>
            <w:tcMar>
              <w:top w:type="dxa" w:w="130"/>
              <w:left w:type="dxa" w:w="180"/>
              <w:bottom w:type="dxa" w:w="130"/>
              <w:right w:type="dxa" w:w="130"/>
            </w:tcMar>
          </w:tcPr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def optimal_threshold(y_true, y_prob, fn_cost=200, fp_cost=15):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best_t, best_cost = 0.5, float('inf')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for t in np.linspace(0.01, 0.99, 200):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    y_pred = (y_prob &gt;= t).astype(int)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    tn, fp, fn, tp = confusion_matrix(y_true, y_pred).ravel()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    cost = fn_cost * fn + fp_cost * fp  # $200 FN, $15 FP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    if cost &lt; best_cost: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        best_cost, best_t = cost, t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return best_t, best_cost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BE123C"/>
          <w:sz w:val="22"/>
          <w:szCs w:val="22"/>
        </w:rPr>
        <w:t xml:space="preserve">SMOTE Inside CV Folds (Correct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8"/>
              <w:left w:val="single" w:color="1E293B" w:sz="8"/>
              <w:bottom w:val="single" w:color="1E293B" w:sz="8"/>
              <w:right w:val="single" w:color="1E293B" w:sz="8"/>
            </w:tcBorders>
            <w:shd w:fill="0D1117" w:val="clear"/>
            <w:tcMar>
              <w:top w:type="dxa" w:w="130"/>
              <w:left w:type="dxa" w:w="180"/>
              <w:bottom w:type="dxa" w:w="130"/>
              <w:right w:type="dxa" w:w="130"/>
            </w:tcMar>
          </w:tcPr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for fold, (tr_idx, val_idx) in enumerate(skf.split(X, y)):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X_tr, X_val = X[tr_idx], X[val_idx]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y_tr, y_val = y[tr_idx], y[val_idx]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    # Apply SMOTE ONLY on training portion — not on validation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sm = SMOTE(random_state=42)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X_tr, y_tr = sm.fit_resample(X_tr, y_tr)  # ← correct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model.fit(X_tr, y_tr)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    # Evaluate on ORIGINAL (un-oversampled) validation set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   pr_auc = average_precision_score(y_val, model.predict_proba(X_val)[:,1])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7. Key Concepts (Interview-Critical)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2"/>
              <w:bottom w:val="none" w:color="FFFFFF" w:sz="0"/>
              <w:right w:val="none" w:color="FFFFFF" w:sz="0"/>
            </w:tcBorders>
            <w:shd w:fill="FFF1F2" w:val="clear"/>
            <w:tcMar>
              <w:top w:type="dxa" w:w="85"/>
              <w:left w:type="dxa" w:w="190"/>
              <w:bottom w:type="dxa" w:w="85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PR-AUC vs ROC-AUC: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With 3.5% fraud, ROC-AUC is inflated by the high True Negative rate. PR-AUC focuses only on the positive class — more honest metric for severely imbalanced problems.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2"/>
              <w:bottom w:val="none" w:color="FFFFFF" w:sz="0"/>
              <w:right w:val="none" w:color="FFFFFF" w:sz="0"/>
            </w:tcBorders>
            <w:shd w:fill="FFF1F2" w:val="clear"/>
            <w:tcMar>
              <w:top w:type="dxa" w:w="85"/>
              <w:left w:type="dxa" w:w="190"/>
              <w:bottom w:type="dxa" w:w="85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Cost-Sensitive Threshold: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Default 0.5 assumes equal FP/FN cost. With $200 FN and $15 FP, optimal threshold shifts to ~0.35 — biased toward catching more fraud even at some false alarm cost.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2"/>
              <w:bottom w:val="none" w:color="FFFFFF" w:sz="0"/>
              <w:right w:val="none" w:color="FFFFFF" w:sz="0"/>
            </w:tcBorders>
            <w:shd w:fill="FFF1F2" w:val="clear"/>
            <w:tcMar>
              <w:top w:type="dxa" w:w="85"/>
              <w:left w:type="dxa" w:w="190"/>
              <w:bottom w:type="dxa" w:w="85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SMOTE Leakage: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SMOTE applied before CV split, synthetic minority samples can appear in validation folds → optimistically biased performance. Always apply inside training folds only.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2"/>
              <w:bottom w:val="none" w:color="FFFFFF" w:sz="0"/>
              <w:right w:val="none" w:color="FFFFFF" w:sz="0"/>
            </w:tcBorders>
            <w:shd w:fill="FFF1F2" w:val="clear"/>
            <w:tcMar>
              <w:top w:type="dxa" w:w="85"/>
              <w:left w:type="dxa" w:w="190"/>
              <w:bottom w:type="dxa" w:w="85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Rank-Average Ensemble: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XGB and LGB produce scores with different scales. Converting each to percentile ranks (0–1) before averaging avoids one model's larger numbers dominating.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E123C" w:sz="12"/>
              <w:bottom w:val="none" w:color="FFFFFF" w:sz="0"/>
              <w:right w:val="none" w:color="FFFFFF" w:sz="0"/>
            </w:tcBorders>
            <w:shd w:fill="FFF1F2" w:val="clear"/>
            <w:tcMar>
              <w:top w:type="dxa" w:w="85"/>
              <w:left w:type="dxa" w:w="190"/>
              <w:bottom w:type="dxa" w:w="85"/>
              <w:right w:type="dxa" w:w="15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GDPR Article 22: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Automated decisions significantly affecting individuals require an explanation. SHAP provides: 'Blocked because amount 4× usual (+0.43) and email domain is disposable (-0.21).'</w:t>
            </w:r>
          </w:p>
        </w:tc>
      </w:tr>
    </w:tbl>
    <w:p>
      <w:pPr>
        <w:spacing w:before="35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8. Results &amp;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87%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Recall</w:t>
            </w:r>
          </w:p>
        </w:tc>
        <w:tc>
          <w:tcPr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2563EB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0.84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PR-AUC</w:t>
            </w:r>
          </w:p>
        </w:tc>
        <w:tc>
          <w:tcPr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2.1%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FP Rate</w:t>
            </w:r>
          </w:p>
        </w:tc>
        <w:tc>
          <w:tcPr>
            <w:tcBorders>
              <w:top w:val="single" w:color="BE123C" w:sz="8"/>
              <w:left w:val="single" w:color="BE123C" w:sz="8"/>
              <w:bottom w:val="single" w:color="BE123C" w:sz="8"/>
              <w:right w:val="single" w:color="BE123C" w:sz="8"/>
            </w:tcBorders>
            <w:shd w:fill="BE123C" w:val="clear"/>
            <w:tcMar>
              <w:top w:type="dxa" w:w="110"/>
              <w:left w:type="dxa" w:w="75"/>
              <w:bottom w:type="dxa" w:w="110"/>
              <w:right w:type="dxa" w:w="75"/>
            </w:tcMar>
          </w:tcPr>
          <w:p>
            <w:pPr>
              <w:spacing w:before="0" w:after="3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$3.2M/yr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BEAFE"/>
                <w:sz w:val="15"/>
                <w:szCs w:val="15"/>
              </w:rPr>
              <w:t xml:space="preserve">Impact</w:t>
            </w:r>
          </w:p>
        </w:tc>
      </w:tr>
    </w:tbl>
    <w:p>
      <w:pPr>
        <w:spacing w:before="70" w:after="0"/>
      </w:pPr>
      <w:r>
        <w:t xml:space="preserve"/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Cost analysis: without model (status quo), 96.5% accuracy means 0% fraud caught → all $200 FN costs. With model at 87% recall: 87% of fraud recovered. Annually at 590K transactions/3.5% fraud rate = ~20,650 fraud cases. At $200 average: $4.13M fraud. Model recovers 87% = $3.59M. Minus FP cost (2.1% × 573K legitimate × $15 = $181K). Net recovery: ~$3.2M annually.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9. Limitations &amp; Future Work</w:t>
      </w:r>
    </w:p>
    <w:p>
      <w:pPr>
        <w:spacing w:before="160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BE123C"/>
          <w:sz w:val="22"/>
          <w:szCs w:val="22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Concept drift: fraud patterns evolve monthly — model needs regular retraining or online learning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Feature anonymisation: V1–V394 are PCA components, limiting feature engineering insight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Static threshold: optimal threshold may shift as cost ratio changes with fraud amount inflation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Cold start: new card types or payment channels not in training data may underperform</w:t>
      </w:r>
    </w:p>
    <w:p>
      <w:pPr>
        <w:spacing w:before="50" w:after="0"/>
      </w:pPr>
      <w:r>
        <w:t xml:space="preserve"/>
      </w:r>
    </w:p>
    <w:p>
      <w:pPr>
        <w:spacing w:before="160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Sequential drift detection (ADWIN algorithm) to trigger automatic retraining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Graph neural networks to model fraud rings (connected account networks)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Online learning with incremental XGBoost updates on daily transaction batches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9"/>
          <w:szCs w:val="19"/>
        </w:rPr>
        <w:t xml:space="preserve">Real-time feature store (Redis) for velocity features: '5 transactions in 10 minutes from same IP'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14" w:space="4"/>
        </w:pBdr>
        <w:spacing w:before="320" w:after="90"/>
      </w:pPr>
      <w:r>
        <w:rPr>
          <w:rFonts w:ascii="Calibri" w:cs="Calibri" w:eastAsia="Calibri" w:hAnsi="Calibri"/>
          <w:b/>
          <w:bCs/>
          <w:i w:val="false"/>
          <w:iCs w:val="false"/>
          <w:color w:val="0A1628"/>
          <w:sz w:val="40"/>
          <w:szCs w:val="40"/>
        </w:rPr>
        <w:t xml:space="preserve">10. How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8"/>
              <w:left w:val="single" w:color="1E293B" w:sz="8"/>
              <w:bottom w:val="single" w:color="1E293B" w:sz="8"/>
              <w:right w:val="single" w:color="1E293B" w:sz="8"/>
            </w:tcBorders>
            <w:shd w:fill="0D1117" w:val="clear"/>
            <w:tcMar>
              <w:top w:type="dxa" w:w="130"/>
              <w:left w:type="dxa" w:w="180"/>
              <w:bottom w:type="dxa" w:w="130"/>
              <w:right w:type="dxa" w:w="130"/>
            </w:tcMar>
          </w:tcPr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pip install xgboost lightgbm imbalanced-learn shap optuna scikit-learn pandas numpy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python p2_fraud_detection.py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# Expected output: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# Generated 30,000 transactions | Fraud rate: 3.5%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# Mean CV PR-AUC: 0.8421 ± 0.0283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# Optimal threshold: 0.348 | Business cost: $89,200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949E"/>
                <w:sz w:val="16"/>
                <w:szCs w:val="16"/>
              </w:rPr>
              <w:t xml:space="preserve"># Recall: 87.1% | PR-AUC: 0.8412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2026-02-24T13:44:45.895Z</dcterms:created>
  <dcterms:modified xsi:type="dcterms:W3CDTF">2026-02-24T13:44:45.896Z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