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b w:val="1"/>
          <w:bCs w:val="1"/>
          <w:color w:val="1f4e79"/>
          <w:sz w:val="40"/>
          <w:szCs w:val="40"/>
          <w:rtl w:val="0"/>
        </w:rPr>
        <w:t xml:space="preserve">Incident Management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rial" w:cs="Arial" w:eastAsia="Arial" w:hAnsi="Arial"/>
          <w:color w:val="555555"/>
          <w:sz w:val="22"/>
          <w:szCs w:val="22"/>
          <w:rtl w:val="0"/>
        </w:rPr>
        <w:t xml:space="preserve">Solsphere AI Inc. | Regodit</w:t>
      </w:r>
      <w:r w:rsidDel="00000000" w:rsidR="00000000" w:rsidRPr="00000000">
        <w:rPr>
          <w:rtl w:val="0"/>
        </w:rPr>
      </w:r>
    </w:p>
    <w:p w:rsidR="00000000" w:rsidDel="00000000" w:rsidP="00000000" w:rsidRDefault="00000000" w:rsidRPr="00000000" w14:paraId="00000003">
      <w:pPr>
        <w:pBdr>
          <w:bottom w:color="999999" w:space="1" w:sz="6" w:val="single"/>
        </w:pBdr>
        <w:spacing w:after="2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500"/>
        <w:tblGridChange w:id="0">
          <w:tblGrid>
            <w:gridCol w:w="2500"/>
            <w:gridCol w:w="6500"/>
          </w:tblGrid>
        </w:tblGridChange>
      </w:tblGrid>
      <w:tr>
        <w:trPr>
          <w:cantSplit w:val="0"/>
          <w:tblHeader w:val="0"/>
        </w:trPr>
        <w:tc>
          <w:tcPr>
            <w:shd w:fill="f2f2f2" w:val="clear"/>
          </w:tcPr>
          <w:p w:rsidR="00000000" w:rsidDel="00000000" w:rsidP="00000000" w:rsidRDefault="00000000" w:rsidRPr="00000000" w14:paraId="00000004">
            <w:pPr>
              <w:rPr/>
            </w:pPr>
            <w:r w:rsidDel="00000000" w:rsidR="00000000" w:rsidRPr="00000000">
              <w:rPr>
                <w:b w:val="1"/>
                <w:bCs w:val="1"/>
                <w:sz w:val="22"/>
                <w:szCs w:val="22"/>
                <w:rtl w:val="0"/>
              </w:rPr>
              <w:t xml:space="preserve">Document Title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sz w:val="22"/>
                <w:szCs w:val="22"/>
                <w:rtl w:val="0"/>
              </w:rPr>
              <w:t xml:space="preserve">Incident Management Policy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6">
            <w:pPr>
              <w:rPr/>
            </w:pPr>
            <w:r w:rsidDel="00000000" w:rsidR="00000000" w:rsidRPr="00000000">
              <w:rPr>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7">
            <w:pPr>
              <w:rPr/>
            </w:pPr>
            <w:r w:rsidDel="00000000" w:rsidR="00000000" w:rsidRPr="00000000">
              <w:rPr>
                <w:sz w:val="22"/>
                <w:szCs w:val="22"/>
                <w:rtl w:val="0"/>
              </w:rPr>
              <w:t xml:space="preserve">[MODIFY: Insert owner name/role]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8">
            <w:pPr>
              <w:rPr/>
            </w:pPr>
            <w:r w:rsidDel="00000000" w:rsidR="00000000" w:rsidRPr="00000000">
              <w:rPr>
                <w:b w:val="1"/>
                <w:bCs w:val="1"/>
                <w:sz w:val="22"/>
                <w:szCs w:val="22"/>
                <w:rtl w:val="0"/>
              </w:rPr>
              <w:t xml:space="preserve">Approved By</w:t>
            </w:r>
            <w:r w:rsidDel="00000000" w:rsidR="00000000" w:rsidRPr="00000000">
              <w:rPr>
                <w:rtl w:val="0"/>
              </w:rPr>
            </w:r>
          </w:p>
        </w:tc>
        <w:tc>
          <w:tcPr/>
          <w:p w:rsidR="00000000" w:rsidDel="00000000" w:rsidP="00000000" w:rsidRDefault="00000000" w:rsidRPr="00000000" w14:paraId="00000009">
            <w:pPr>
              <w:rPr/>
            </w:pPr>
            <w:r w:rsidDel="00000000" w:rsidR="00000000" w:rsidRPr="00000000">
              <w:rPr>
                <w:sz w:val="22"/>
                <w:szCs w:val="22"/>
                <w:rtl w:val="0"/>
              </w:rPr>
              <w:t xml:space="preserve">[MODIFY: Insert approver name/role]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A">
            <w:pPr>
              <w:rPr/>
            </w:pPr>
            <w:r w:rsidDel="00000000" w:rsidR="00000000" w:rsidRPr="00000000">
              <w:rPr>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sz w:val="22"/>
                <w:szCs w:val="22"/>
                <w:rtl w:val="0"/>
              </w:rPr>
              <w:t xml:space="preserve">Internal / Confidential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C">
            <w:pPr>
              <w:rPr/>
            </w:pPr>
            <w:r w:rsidDel="00000000" w:rsidR="00000000" w:rsidRPr="00000000">
              <w:rPr>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E">
            <w:pPr>
              <w:rPr/>
            </w:pPr>
            <w:r w:rsidDel="00000000" w:rsidR="00000000" w:rsidRPr="00000000">
              <w:rPr>
                <w:b w:val="1"/>
                <w:bCs w:val="1"/>
                <w:sz w:val="22"/>
                <w:szCs w:val="22"/>
                <w:rtl w:val="0"/>
              </w:rPr>
              <w:t xml:space="preserve">Review Cycle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22"/>
                <w:szCs w:val="22"/>
                <w:rtl w:val="0"/>
              </w:rPr>
              <w:t xml:space="preserve">Annual, or upon material change to systems, regulations, or organizational structure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0">
            <w:pPr>
              <w:rPr/>
            </w:pPr>
            <w:r w:rsidDel="00000000" w:rsidR="00000000" w:rsidRPr="00000000">
              <w:rPr>
                <w:b w:val="1"/>
                <w:bCs w:val="1"/>
                <w:sz w:val="22"/>
                <w:szCs w:val="22"/>
                <w:rtl w:val="0"/>
              </w:rPr>
              <w:t xml:space="preserve">Applies To</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22"/>
                <w:szCs w:val="22"/>
                <w:rtl w:val="0"/>
              </w:rPr>
              <w:t xml:space="preserve">All employees, contractors, and third parties with access to company or client systems/data</w:t>
            </w:r>
            <w:r w:rsidDel="00000000" w:rsidR="00000000" w:rsidRPr="00000000">
              <w:rPr>
                <w:rtl w:val="0"/>
              </w:rPr>
            </w:r>
          </w:p>
        </w:tc>
      </w:tr>
    </w:tbl>
    <w:p w:rsidR="00000000" w:rsidDel="00000000" w:rsidP="00000000" w:rsidRDefault="00000000" w:rsidRPr="00000000" w14:paraId="00000012">
      <w:pPr>
        <w:pBdr>
          <w:bottom w:color="999999" w:space="1" w:sz="6" w:val="single"/>
        </w:pBdr>
        <w:spacing w:after="200" w:lineRule="auto"/>
        <w:rPr/>
      </w:pPr>
      <w:r w:rsidDel="00000000" w:rsidR="00000000" w:rsidRPr="00000000">
        <w:rPr>
          <w:rtl w:val="0"/>
        </w:rPr>
      </w:r>
    </w:p>
    <w:p w:rsidR="00000000" w:rsidDel="00000000" w:rsidP="00000000" w:rsidRDefault="00000000" w:rsidRPr="00000000" w14:paraId="00000013">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1. Purpose</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rial" w:cs="Arial" w:eastAsia="Arial" w:hAnsi="Arial"/>
          <w:sz w:val="22"/>
          <w:szCs w:val="22"/>
          <w:rtl w:val="0"/>
        </w:rPr>
        <w:t xml:space="preserve">This policy establishes the framework by which Solsphere identifies, classifies, responds to, communicates about, and learns from information security and availability incidents. It is designed to ensure a consistent, timely, and effective response that limits impact to Solsphere, its clients, and its data, and to satisfy the incident management requirements of SOC 2 (Security and Availability Trust Services Criteria) </w:t>
      </w:r>
      <w:r w:rsidDel="00000000" w:rsidR="00000000" w:rsidRPr="00000000">
        <w:rPr>
          <w:rtl w:val="0"/>
        </w:rPr>
      </w:r>
    </w:p>
    <w:p w:rsidR="00000000" w:rsidDel="00000000" w:rsidP="00000000" w:rsidRDefault="00000000" w:rsidRPr="00000000" w14:paraId="00000015">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2. Scope</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sz w:val="22"/>
          <w:szCs w:val="22"/>
          <w:rtl w:val="0"/>
        </w:rPr>
        <w:t xml:space="preserve">This policy applies to all incidents that affect the confidentiality, integrity, or availability of Solsphere systems, data, or the systems/data of clients processed on Solsphere's behalf. It applies to all employees, contractors, and third parties with access to Solsphere or client environments.</w:t>
      </w:r>
      <w:r w:rsidDel="00000000" w:rsidR="00000000" w:rsidRPr="00000000">
        <w:rPr>
          <w:rtl w:val="0"/>
        </w:rPr>
      </w:r>
    </w:p>
    <w:p w:rsidR="00000000" w:rsidDel="00000000" w:rsidP="00000000" w:rsidRDefault="00000000" w:rsidRPr="00000000" w14:paraId="00000017">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3. Definitions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Any observable occurrence in a system or network (e.g., a login, a failed process, a firewall alert).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An event, or series of events, that compromises the confidentiality, integrity, or availability of information or systems, or that violates policy.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Breach: An incident confirmed to have resulted in unauthorized access to, acquisition of, or disclosure of confidential, personal, or regulated data.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Response Team (IRT): The designated group of individuals responsible for managing the response to an incident.</w:t>
      </w:r>
      <w:r w:rsidDel="00000000" w:rsidR="00000000" w:rsidRPr="00000000">
        <w:rPr>
          <w:rtl w:val="0"/>
        </w:rPr>
      </w:r>
    </w:p>
    <w:p w:rsidR="00000000" w:rsidDel="00000000" w:rsidP="00000000" w:rsidRDefault="00000000" w:rsidRPr="00000000" w14:paraId="0000001C">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4. Roles and Responsibilities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IRT Lead / Information Security Officer: Owns the incident end-to-end, coordinates the response, and has authority to declare an incident and its severity. Also manages internal updates and drafts external/client/regulator communications for approval.</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Management: Informed for SEV-1/SEV-2 incidents; approves external communications and any regulatory filings.</w:t>
      </w:r>
      <w:r w:rsidDel="00000000" w:rsidR="00000000" w:rsidRPr="00000000">
        <w:rPr>
          <w:rtl w:val="0"/>
        </w:rPr>
      </w:r>
    </w:p>
    <w:p w:rsidR="00000000" w:rsidDel="00000000" w:rsidP="00000000" w:rsidRDefault="00000000" w:rsidRPr="00000000" w14:paraId="00000020">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5. Incident Classification</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sz w:val="22"/>
          <w:szCs w:val="22"/>
          <w:rtl w:val="0"/>
        </w:rPr>
        <w:t xml:space="preserve">Incidents are classified by severity to ensure response effort and escalation are proportionate to impact. The criteria and response times below are illustrative starting points and must be tuned to Solsphere's actual SLAs and client commitments.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7"/>
        <w:gridCol w:w="4120"/>
        <w:gridCol w:w="1328"/>
        <w:gridCol w:w="2485"/>
        <w:tblGridChange w:id="0">
          <w:tblGrid>
            <w:gridCol w:w="1067"/>
            <w:gridCol w:w="4120"/>
            <w:gridCol w:w="1328"/>
            <w:gridCol w:w="2485"/>
          </w:tblGrid>
        </w:tblGridChange>
      </w:tblGrid>
      <w:tr>
        <w:trPr>
          <w:cantSplit w:val="0"/>
          <w:tblHeader w:val="0"/>
        </w:trPr>
        <w:tc>
          <w:tcPr>
            <w:shd w:fill="1f4e79" w:val="cle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rtl w:val="0"/>
              </w:rPr>
              <w:t xml:space="preserve">Severity</w:t>
            </w:r>
            <w:r w:rsidDel="00000000" w:rsidR="00000000" w:rsidRPr="00000000">
              <w:rPr>
                <w:rtl w:val="0"/>
              </w:rPr>
            </w:r>
          </w:p>
        </w:tc>
        <w:tc>
          <w:tcPr>
            <w:shd w:fill="1f4e79" w:val="cle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rtl w:val="0"/>
              </w:rPr>
              <w:t xml:space="preserve">Criteria (example)</w:t>
            </w:r>
            <w:r w:rsidDel="00000000" w:rsidR="00000000" w:rsidRPr="00000000">
              <w:rPr>
                <w:rtl w:val="0"/>
              </w:rPr>
            </w:r>
          </w:p>
        </w:tc>
        <w:tc>
          <w:tcPr>
            <w:shd w:fill="1f4e79" w:val="cle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rtl w:val="0"/>
              </w:rPr>
              <w:t xml:space="preserve">Initial Response Time</w:t>
            </w:r>
            <w:r w:rsidDel="00000000" w:rsidR="00000000" w:rsidRPr="00000000">
              <w:rPr>
                <w:rtl w:val="0"/>
              </w:rPr>
            </w:r>
          </w:p>
        </w:tc>
        <w:tc>
          <w:tcPr>
            <w:shd w:fill="1f4e79" w:val="cle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Arial" w:cs="Arial" w:eastAsia="Arial" w:hAnsi="Arial"/>
                <w:rtl w:val="0"/>
              </w:rPr>
              <w:t xml:space="preserve">SEV-0 (Critical)</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rial" w:cs="Arial" w:eastAsia="Arial" w:hAnsi="Arial"/>
                <w:rtl w:val="0"/>
              </w:rPr>
              <w:t xml:space="preserve">Confirmed data breach involving client or regulated data; full service outage; active exploitation</w:t>
            </w:r>
            <w:r w:rsidDel="00000000" w:rsidR="00000000" w:rsidRPr="00000000">
              <w:rPr>
                <w:rtl w:val="0"/>
              </w:rPr>
            </w:r>
          </w:p>
        </w:tc>
        <w:tc>
          <w:tcPr/>
          <w:p w:rsidR="00000000" w:rsidDel="00000000" w:rsidP="00000000" w:rsidRDefault="00000000" w:rsidRPr="00000000" w14:paraId="00000028">
            <w:pPr>
              <w:rPr>
                <w:color w:val="000000"/>
              </w:rPr>
            </w:pPr>
            <w:r w:rsidDel="00000000" w:rsidR="00000000" w:rsidRPr="00000000">
              <w:rPr>
                <w:rFonts w:ascii="Arial" w:cs="Arial" w:eastAsia="Arial" w:hAnsi="Arial"/>
                <w:color w:val="000000"/>
                <w:rtl w:val="0"/>
              </w:rPr>
              <w:t xml:space="preserve">1 hour</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Arial" w:cs="Arial" w:eastAsia="Arial" w:hAnsi="Arial"/>
                <w:rtl w:val="0"/>
              </w:rPr>
              <w:t xml:space="preserve">Immediate notification to IRT lead and Senior Management </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Arial" w:cs="Arial" w:eastAsia="Arial" w:hAnsi="Arial"/>
                <w:rtl w:val="0"/>
              </w:rPr>
              <w:t xml:space="preserve">SEV-1 (High)</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rial" w:cs="Arial" w:eastAsia="Arial" w:hAnsi="Arial"/>
                <w:rtl w:val="0"/>
              </w:rPr>
              <w:t xml:space="preserve">Significant degradation of a core service; suspected but unconfirmed breach; malware detected on production systems</w:t>
            </w:r>
            <w:r w:rsidDel="00000000" w:rsidR="00000000" w:rsidRPr="00000000">
              <w:rPr>
                <w:rtl w:val="0"/>
              </w:rPr>
            </w:r>
          </w:p>
        </w:tc>
        <w:tc>
          <w:tcPr/>
          <w:p w:rsidR="00000000" w:rsidDel="00000000" w:rsidP="00000000" w:rsidRDefault="00000000" w:rsidRPr="00000000" w14:paraId="0000002C">
            <w:pPr>
              <w:rPr>
                <w:color w:val="000000"/>
              </w:rPr>
            </w:pPr>
            <w:r w:rsidDel="00000000" w:rsidR="00000000" w:rsidRPr="00000000">
              <w:rPr>
                <w:rFonts w:ascii="Arial" w:cs="Arial" w:eastAsia="Arial" w:hAnsi="Arial"/>
                <w:color w:val="000000"/>
                <w:rtl w:val="0"/>
              </w:rPr>
              <w:t xml:space="preserve">4 hours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Arial" w:cs="Arial" w:eastAsia="Arial" w:hAnsi="Arial"/>
                <w:rtl w:val="0"/>
              </w:rPr>
              <w:t xml:space="preserve">IRT lead and Senior Management</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Arial" w:cs="Arial" w:eastAsia="Arial" w:hAnsi="Arial"/>
                <w:rtl w:val="0"/>
              </w:rPr>
              <w:t xml:space="preserve">SEV-2 (Medium)</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rial" w:cs="Arial" w:eastAsia="Arial" w:hAnsi="Arial"/>
                <w:rtl w:val="0"/>
              </w:rPr>
              <w:t xml:space="preserve">Isolated, contained security event with no confirmed data exposure; policy violation</w:t>
            </w:r>
            <w:r w:rsidDel="00000000" w:rsidR="00000000" w:rsidRPr="00000000">
              <w:rPr>
                <w:rtl w:val="0"/>
              </w:rPr>
            </w:r>
          </w:p>
        </w:tc>
        <w:tc>
          <w:tcPr/>
          <w:p w:rsidR="00000000" w:rsidDel="00000000" w:rsidP="00000000" w:rsidRDefault="00000000" w:rsidRPr="00000000" w14:paraId="00000030">
            <w:pPr>
              <w:rPr>
                <w:color w:val="000000"/>
              </w:rPr>
            </w:pPr>
            <w:r w:rsidDel="00000000" w:rsidR="00000000" w:rsidRPr="00000000">
              <w:rPr>
                <w:rFonts w:ascii="Arial" w:cs="Arial" w:eastAsia="Arial" w:hAnsi="Arial"/>
                <w:color w:val="000000"/>
                <w:rtl w:val="0"/>
              </w:rPr>
              <w:t xml:space="preserve">8 hours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rial" w:cs="Arial" w:eastAsia="Arial" w:hAnsi="Arial"/>
                <w:rtl w:val="0"/>
              </w:rPr>
              <w:t xml:space="preserve">IRT lead</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Arial" w:cs="Arial" w:eastAsia="Arial" w:hAnsi="Arial"/>
                <w:rtl w:val="0"/>
              </w:rPr>
              <w:t xml:space="preserve">SEV-3 (Low)</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rial" w:cs="Arial" w:eastAsia="Arial" w:hAnsi="Arial"/>
                <w:rtl w:val="0"/>
              </w:rPr>
              <w:t xml:space="preserve">Minor anomaly requiring monitoring only; no client or business impact</w:t>
            </w:r>
            <w:r w:rsidDel="00000000" w:rsidR="00000000" w:rsidRPr="00000000">
              <w:rPr>
                <w:rtl w:val="0"/>
              </w:rPr>
            </w:r>
          </w:p>
        </w:tc>
        <w:tc>
          <w:tcPr/>
          <w:p w:rsidR="00000000" w:rsidDel="00000000" w:rsidP="00000000" w:rsidRDefault="00000000" w:rsidRPr="00000000" w14:paraId="00000034">
            <w:pPr>
              <w:rPr>
                <w:color w:val="000000"/>
              </w:rPr>
            </w:pPr>
            <w:r w:rsidDel="00000000" w:rsidR="00000000" w:rsidRPr="00000000">
              <w:rPr>
                <w:rFonts w:ascii="Arial" w:cs="Arial" w:eastAsia="Arial" w:hAnsi="Arial"/>
                <w:color w:val="000000"/>
                <w:rtl w:val="0"/>
              </w:rPr>
              <w:t xml:space="preserve">1 business day</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rial" w:cs="Arial" w:eastAsia="Arial" w:hAnsi="Arial"/>
                <w:rtl w:val="0"/>
              </w:rPr>
              <w:t xml:space="preserve">Logged for trend analysis</w:t>
            </w:r>
            <w:r w:rsidDel="00000000" w:rsidR="00000000" w:rsidRPr="00000000">
              <w:rPr>
                <w:rtl w:val="0"/>
              </w:rPr>
            </w:r>
          </w:p>
        </w:tc>
      </w:tr>
    </w:tbl>
    <w:p w:rsidR="00000000" w:rsidDel="00000000" w:rsidP="00000000" w:rsidRDefault="00000000" w:rsidRPr="00000000" w14:paraId="00000036">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6. Detection and Reporting</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Arial" w:cs="Arial" w:eastAsia="Arial" w:hAnsi="Arial"/>
          <w:sz w:val="22"/>
          <w:szCs w:val="22"/>
          <w:rtl w:val="0"/>
        </w:rPr>
        <w:t xml:space="preserve">Incidents may be identified through automated monitoring and alerting, employee or contractor reports, client reports, or third-party notifications (e.g., vendor breach disclosures).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employees and contractors must report a suspected incident to the IRT lead as soon as possible and no later than 1 hour after discovery.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IRT Lead validates the report, opens a formal incident record, and assigns an initial severity classification within 30 minutes of report.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incident log (timeline, actions taken, decisions, evidence references) is maintained for every SEV-0/SEV-1 incident.</w:t>
      </w:r>
      <w:r w:rsidDel="00000000" w:rsidR="00000000" w:rsidRPr="00000000">
        <w:rPr>
          <w:rtl w:val="0"/>
        </w:rPr>
      </w:r>
    </w:p>
    <w:p w:rsidR="00000000" w:rsidDel="00000000" w:rsidP="00000000" w:rsidRDefault="00000000" w:rsidRPr="00000000" w14:paraId="0000003B">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7. Incident Response Lifecycle</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Arial" w:cs="Arial" w:eastAsia="Arial" w:hAnsi="Arial"/>
          <w:sz w:val="22"/>
          <w:szCs w:val="22"/>
          <w:rtl w:val="0"/>
        </w:rPr>
        <w:t xml:space="preserve">Once declared, an incident proceeds through the following phases. Phases may overlap or iterate depending on incident complexity.</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8"/>
        <w:gridCol w:w="7352"/>
        <w:tblGridChange w:id="0">
          <w:tblGrid>
            <w:gridCol w:w="1648"/>
            <w:gridCol w:w="7352"/>
          </w:tblGrid>
        </w:tblGridChange>
      </w:tblGrid>
      <w:tr>
        <w:trPr>
          <w:cantSplit w:val="0"/>
          <w:tblHeader w:val="0"/>
        </w:trPr>
        <w:tc>
          <w:tcPr>
            <w:shd w:fill="1f4e79" w:val="cle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rtl w:val="0"/>
              </w:rPr>
              <w:t xml:space="preserve">Phase</w:t>
            </w:r>
            <w:r w:rsidDel="00000000" w:rsidR="00000000" w:rsidRPr="00000000">
              <w:rPr>
                <w:rtl w:val="0"/>
              </w:rPr>
            </w:r>
          </w:p>
        </w:tc>
        <w:tc>
          <w:tcPr>
            <w:shd w:fill="1f4e79" w:val="cle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rtl w:val="0"/>
              </w:rPr>
              <w:t xml:space="preserve">Activities</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Arial" w:cs="Arial" w:eastAsia="Arial" w:hAnsi="Arial"/>
                <w:rtl w:val="0"/>
              </w:rPr>
              <w:t xml:space="preserve">1. Preparation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Arial" w:cs="Arial" w:eastAsia="Arial" w:hAnsi="Arial"/>
                <w:rtl w:val="0"/>
              </w:rPr>
              <w:t xml:space="preserve">Maintain IRT roster, contact lists, tooling, playbooks, and this policy; conduct periodic training.</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Arial" w:cs="Arial" w:eastAsia="Arial" w:hAnsi="Arial"/>
                <w:rtl w:val="0"/>
              </w:rPr>
              <w:t xml:space="preserve">2. Detection &amp; Analysis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Arial" w:cs="Arial" w:eastAsia="Arial" w:hAnsi="Arial"/>
                <w:rtl w:val="0"/>
              </w:rPr>
              <w:t xml:space="preserve">Identify and validate the incident via monitoring alerts, employee reports, or third-party/client reports; assign severity; open an incident ticket/record.</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Fonts w:ascii="Arial" w:cs="Arial" w:eastAsia="Arial" w:hAnsi="Arial"/>
                <w:rtl w:val="0"/>
              </w:rPr>
              <w:t xml:space="preserve">3. Containment</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Arial" w:cs="Arial" w:eastAsia="Arial" w:hAnsi="Arial"/>
                <w:rtl w:val="0"/>
              </w:rPr>
              <w:t xml:space="preserve">Short-term containment to limit damage (e.g., isolate host, revoke credentials, disable account); long-term containment while remediation is prepared.</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Arial" w:cs="Arial" w:eastAsia="Arial" w:hAnsi="Arial"/>
                <w:rtl w:val="0"/>
              </w:rPr>
              <w:t xml:space="preserve">4. Eradication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rtl w:val="0"/>
              </w:rPr>
              <w:t xml:space="preserve">Remove the root cause (malware, vulnerability, unauthorized access) from the environment.</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Arial" w:cs="Arial" w:eastAsia="Arial" w:hAnsi="Arial"/>
                <w:rtl w:val="0"/>
              </w:rPr>
              <w:t xml:space="preserve">5. Recovery</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rtl w:val="0"/>
              </w:rPr>
              <w:t xml:space="preserve">Restore affected systems to normal operation; monitor closely for recurrence before closing the incident.</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Arial" w:cs="Arial" w:eastAsia="Arial" w:hAnsi="Arial"/>
                <w:rtl w:val="0"/>
              </w:rPr>
              <w:t xml:space="preserve">6. Post-Incident Review</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rial" w:cs="Arial" w:eastAsia="Arial" w:hAnsi="Arial"/>
                <w:rtl w:val="0"/>
              </w:rPr>
              <w:t xml:space="preserve">Conduct a retrospective, document root cause and timeline, assign corrective actions, and update the risk register.</w:t>
            </w:r>
            <w:r w:rsidDel="00000000" w:rsidR="00000000" w:rsidRPr="00000000">
              <w:rPr>
                <w:rtl w:val="0"/>
              </w:rPr>
            </w:r>
          </w:p>
        </w:tc>
      </w:tr>
    </w:tbl>
    <w:p w:rsidR="00000000" w:rsidDel="00000000" w:rsidP="00000000" w:rsidRDefault="00000000" w:rsidRPr="00000000" w14:paraId="0000004B">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8. Communication Plan</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sz w:val="22"/>
          <w:szCs w:val="22"/>
          <w:rtl w:val="0"/>
        </w:rPr>
        <w:t xml:space="preserve">Internal communication: The IRT Lead provides status updates to the Senior Management and relevant stakeholders at a cadence appropriate to severity</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sz w:val="22"/>
          <w:szCs w:val="22"/>
          <w:rtl w:val="0"/>
        </w:rPr>
        <w:t xml:space="preserve">Client communication: Where an incident affects a client's data or service, Solsphere will notify the client in accordance with the notification timeline and method specified in the applicable client contract/DPA.</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Arial" w:cs="Arial" w:eastAsia="Arial" w:hAnsi="Arial"/>
          <w:sz w:val="22"/>
          <w:szCs w:val="22"/>
          <w:rtl w:val="0"/>
        </w:rPr>
        <w:t xml:space="preserve">Regulatory notification: Where an incident constitutes a reportable breach of personal data, Solsphere will assess and comply with applicable notification obligations.</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Arial" w:cs="Arial" w:eastAsia="Arial" w:hAnsi="Arial"/>
          <w:sz w:val="22"/>
          <w:szCs w:val="22"/>
          <w:rtl w:val="0"/>
        </w:rPr>
        <w:t xml:space="preserve">Spokesperson: All external and media communications are approved by and issued through Senior Management (CEO, CBO) only</w:t>
      </w:r>
      <w:r w:rsidDel="00000000" w:rsidR="00000000" w:rsidRPr="00000000">
        <w:rPr>
          <w:rtl w:val="0"/>
        </w:rPr>
      </w:r>
    </w:p>
    <w:p w:rsidR="00000000" w:rsidDel="00000000" w:rsidP="00000000" w:rsidRDefault="00000000" w:rsidRPr="00000000" w14:paraId="00000050">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9. Evidence Handling and Chain of Custody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logs, system images, and artifacts must be preserved in their original state as soon as an incident is declared, before any remediation that could alter or destroy evidence.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preserved evidence is restricted to the IRT and logged.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law enforcement or legal action is reasonably anticipated, evidence handling follows chain-of-custody practices sufficient to preserve admissibility.</w:t>
      </w:r>
      <w:r w:rsidDel="00000000" w:rsidR="00000000" w:rsidRPr="00000000">
        <w:rPr>
          <w:rtl w:val="0"/>
        </w:rPr>
      </w:r>
    </w:p>
    <w:p w:rsidR="00000000" w:rsidDel="00000000" w:rsidP="00000000" w:rsidRDefault="00000000" w:rsidRPr="00000000" w14:paraId="00000054">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10. Post-Incident Review</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Arial" w:cs="Arial" w:eastAsia="Arial" w:hAnsi="Arial"/>
          <w:color w:val="000000"/>
          <w:sz w:val="22"/>
          <w:szCs w:val="22"/>
          <w:rtl w:val="0"/>
        </w:rPr>
        <w:t xml:space="preserve">Within 5 business days </w:t>
      </w:r>
      <w:r w:rsidDel="00000000" w:rsidR="00000000" w:rsidRPr="00000000">
        <w:rPr>
          <w:rFonts w:ascii="Arial" w:cs="Arial" w:eastAsia="Arial" w:hAnsi="Arial"/>
          <w:sz w:val="22"/>
          <w:szCs w:val="22"/>
          <w:rtl w:val="0"/>
        </w:rPr>
        <w:t xml:space="preserve">of resolution of any SEV-0 or SEV-1 incident, the IRT conducts a post-incident review to document the root cause, full timeline, effectiveness of the response, and corrective actions. Corrective actions are tracked to closure and, where they indicate a gap in controls, fed back into the risk register and risk treatment plan.</w:t>
      </w:r>
      <w:r w:rsidDel="00000000" w:rsidR="00000000" w:rsidRPr="00000000">
        <w:rPr>
          <w:rtl w:val="0"/>
        </w:rPr>
      </w:r>
    </w:p>
    <w:p w:rsidR="00000000" w:rsidDel="00000000" w:rsidP="00000000" w:rsidRDefault="00000000" w:rsidRPr="00000000" w14:paraId="00000056">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11. Testing and Training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employees receive security awareness training, including how to recognize and report a suspected incident at onboarding and annually thereafter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Lessons learned from tabletop exercises and real incidents are used to update this policy and associated playbooks.</w:t>
      </w:r>
      <w:r w:rsidDel="00000000" w:rsidR="00000000" w:rsidRPr="00000000">
        <w:rPr>
          <w:rtl w:val="0"/>
        </w:rPr>
      </w:r>
    </w:p>
    <w:p w:rsidR="00000000" w:rsidDel="00000000" w:rsidP="00000000" w:rsidRDefault="00000000" w:rsidRPr="00000000" w14:paraId="00000059">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12. Metrics and Reporting</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Arial" w:cs="Arial" w:eastAsia="Arial" w:hAnsi="Arial"/>
          <w:sz w:val="22"/>
          <w:szCs w:val="22"/>
          <w:rtl w:val="0"/>
        </w:rPr>
        <w:t xml:space="preserve">The IRT Lead tracks and reports incident metrics, incident volume, and severity trends as part of periodic management review meetings</w:t>
      </w:r>
      <w:r w:rsidDel="00000000" w:rsidR="00000000" w:rsidRPr="00000000">
        <w:rPr>
          <w:rtl w:val="0"/>
        </w:rPr>
      </w:r>
    </w:p>
    <w:p w:rsidR="00000000" w:rsidDel="00000000" w:rsidP="00000000" w:rsidRDefault="00000000" w:rsidRPr="00000000" w14:paraId="0000005B">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13. Related Documents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Continuity Policy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Management Policy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Control Policy</w:t>
      </w:r>
      <w:r w:rsidDel="00000000" w:rsidR="00000000" w:rsidRPr="00000000">
        <w:rPr>
          <w:rtl w:val="0"/>
        </w:rPr>
      </w:r>
    </w:p>
    <w:p w:rsidR="00000000" w:rsidDel="00000000" w:rsidP="00000000" w:rsidRDefault="00000000" w:rsidRPr="00000000" w14:paraId="0000005F">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14. Exceptions</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sz w:val="22"/>
          <w:szCs w:val="22"/>
          <w:rtl w:val="0"/>
        </w:rPr>
        <w:t xml:space="preserve">Any exception to this policy must be documented, justified on a risk basis, and approved in writing by the CISO/Security Lead, with a defined review date.</w:t>
      </w:r>
      <w:r w:rsidDel="00000000" w:rsidR="00000000" w:rsidRPr="00000000">
        <w:rPr>
          <w:rtl w:val="0"/>
        </w:rPr>
      </w:r>
    </w:p>
    <w:p w:rsidR="00000000" w:rsidDel="00000000" w:rsidP="00000000" w:rsidRDefault="00000000" w:rsidRPr="00000000" w14:paraId="00000061">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15. Policy Enforcement</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sz w:val="22"/>
          <w:szCs w:val="22"/>
          <w:rtl w:val="0"/>
        </w:rPr>
        <w:t xml:space="preserve">Violation of this policy may result in disciplinary action up to and including termination of employment or contract, consistent with Solsphere's HR policies and applicable law.</w:t>
      </w:r>
      <w:r w:rsidDel="00000000" w:rsidR="00000000" w:rsidRPr="00000000">
        <w:rPr>
          <w:rtl w:val="0"/>
        </w:rPr>
      </w:r>
    </w:p>
    <w:p w:rsidR="00000000" w:rsidDel="00000000" w:rsidP="00000000" w:rsidRDefault="00000000" w:rsidRPr="00000000" w14:paraId="00000063">
      <w:pPr>
        <w:pBdr>
          <w:bottom w:color="1f4e79" w:space="2" w:sz="4" w:val="single"/>
        </w:pBdr>
        <w:spacing w:after="160" w:before="360" w:lineRule="auto"/>
        <w:rPr/>
      </w:pPr>
      <w:r w:rsidDel="00000000" w:rsidR="00000000" w:rsidRPr="00000000">
        <w:rPr>
          <w:rFonts w:ascii="Arial" w:cs="Arial" w:eastAsia="Arial" w:hAnsi="Arial"/>
          <w:b w:val="1"/>
          <w:bCs w:val="1"/>
          <w:sz w:val="28"/>
          <w:szCs w:val="28"/>
          <w:rtl w:val="0"/>
        </w:rPr>
        <w:t xml:space="preserve">16. Document Control</w:t>
      </w:r>
      <w:r w:rsidDel="00000000" w:rsidR="00000000" w:rsidRPr="00000000">
        <w:rPr>
          <w:rtl w:val="0"/>
        </w:rPr>
      </w:r>
    </w:p>
    <w:p w:rsidR="00000000" w:rsidDel="00000000" w:rsidP="00000000" w:rsidRDefault="00000000" w:rsidRPr="00000000" w14:paraId="00000064">
      <w:pPr>
        <w:spacing w:after="120" w:before="240" w:lineRule="auto"/>
        <w:rPr/>
      </w:pPr>
      <w:r w:rsidDel="00000000" w:rsidR="00000000" w:rsidRPr="00000000">
        <w:rPr>
          <w:rFonts w:ascii="Arial" w:cs="Arial" w:eastAsia="Arial" w:hAnsi="Arial"/>
          <w:b w:val="1"/>
          <w:bCs w:val="1"/>
          <w:sz w:val="24"/>
          <w:szCs w:val="24"/>
          <w:rtl w:val="0"/>
        </w:rPr>
        <w:t xml:space="preserve">Revision History</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2100"/>
        <w:gridCol w:w="2668"/>
        <w:gridCol w:w="3135"/>
        <w:tblGridChange w:id="0">
          <w:tblGrid>
            <w:gridCol w:w="1097"/>
            <w:gridCol w:w="2100"/>
            <w:gridCol w:w="2668"/>
            <w:gridCol w:w="3135"/>
          </w:tblGrid>
        </w:tblGridChange>
      </w:tblGrid>
      <w:tr>
        <w:trPr>
          <w:cantSplit w:val="0"/>
          <w:tblHeader w:val="0"/>
        </w:trPr>
        <w:tc>
          <w:tcPr>
            <w:shd w:fill="1f4e79" w:val="cle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rtl w:val="0"/>
              </w:rPr>
              <w:t xml:space="preserve">Version</w:t>
            </w:r>
            <w:r w:rsidDel="00000000" w:rsidR="00000000" w:rsidRPr="00000000">
              <w:rPr>
                <w:rtl w:val="0"/>
              </w:rPr>
            </w:r>
          </w:p>
        </w:tc>
        <w:tc>
          <w:tcPr>
            <w:shd w:fill="1f4e79" w:val="cle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rtl w:val="0"/>
              </w:rPr>
              <w:t xml:space="preserve">Date</w:t>
            </w:r>
            <w:r w:rsidDel="00000000" w:rsidR="00000000" w:rsidRPr="00000000">
              <w:rPr>
                <w:rtl w:val="0"/>
              </w:rPr>
            </w:r>
          </w:p>
        </w:tc>
        <w:tc>
          <w:tcPr>
            <w:shd w:fill="1f4e79" w:val="cle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rtl w:val="0"/>
              </w:rPr>
              <w:t xml:space="preserve">Author</w:t>
            </w:r>
            <w:r w:rsidDel="00000000" w:rsidR="00000000" w:rsidRPr="00000000">
              <w:rPr>
                <w:rtl w:val="0"/>
              </w:rPr>
            </w:r>
          </w:p>
        </w:tc>
        <w:tc>
          <w:tcPr>
            <w:shd w:fill="1f4e79" w:val="cle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Arial" w:cs="Arial" w:eastAsia="Arial" w:hAnsi="Arial"/>
                <w:rtl w:val="0"/>
              </w:rPr>
              <w:t xml:space="preserve">0.1</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Arial" w:cs="Arial" w:eastAsia="Arial" w:hAnsi="Arial"/>
                <w:rtl w:val="0"/>
              </w:rPr>
              <w:t xml:space="preserve">July 14 2026</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rial" w:cs="Arial" w:eastAsia="Arial" w:hAnsi="Arial"/>
                <w:rtl w:val="0"/>
              </w:rPr>
              <w:t xml:space="preserve">Priyanka Choudhury</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Arial" w:cs="Arial" w:eastAsia="Arial" w:hAnsi="Arial"/>
                <w:rtl w:val="0"/>
              </w:rPr>
              <w:t xml:space="preserve">Initial draft</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Arial" w:cs="Arial" w:eastAsia="Arial" w:hAnsi="Arial"/>
                <w:rtl w:val="0"/>
              </w:rPr>
              <w:t xml:space="preserve">[MODIFY: Date]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Arial" w:cs="Arial" w:eastAsia="Arial" w:hAnsi="Arial"/>
                <w:rtl w:val="0"/>
              </w:rPr>
              <w:t xml:space="preserve">[MODIFY: Author]</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Arial" w:cs="Arial" w:eastAsia="Arial" w:hAnsi="Arial"/>
                <w:rtl w:val="0"/>
              </w:rPr>
              <w:t xml:space="preserve">Approved for release</w:t>
            </w:r>
            <w:r w:rsidDel="00000000" w:rsidR="00000000" w:rsidRPr="00000000">
              <w:rPr>
                <w:rtl w:val="0"/>
              </w:rPr>
            </w:r>
          </w:p>
        </w:tc>
      </w:tr>
    </w:tbl>
    <w:p w:rsidR="00000000" w:rsidDel="00000000" w:rsidP="00000000" w:rsidRDefault="00000000" w:rsidRPr="00000000" w14:paraId="00000071">
      <w:pPr>
        <w:spacing w:after="120" w:before="240" w:lineRule="auto"/>
        <w:rPr/>
      </w:pPr>
      <w:r w:rsidDel="00000000" w:rsidR="00000000" w:rsidRPr="00000000">
        <w:rPr>
          <w:rFonts w:ascii="Arial" w:cs="Arial" w:eastAsia="Arial" w:hAnsi="Arial"/>
          <w:b w:val="1"/>
          <w:bCs w:val="1"/>
          <w:sz w:val="24"/>
          <w:szCs w:val="24"/>
          <w:rtl w:val="0"/>
        </w:rPr>
        <w:t xml:space="preserve">Approval</w:t>
      </w:r>
      <w:r w:rsidDel="00000000" w:rsidR="00000000" w:rsidRPr="00000000">
        <w:rPr>
          <w:rtl w:val="0"/>
        </w:rPr>
      </w:r>
    </w:p>
    <w:tbl>
      <w:tblPr>
        <w:tblStyle w:val="Table5"/>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1"/>
        <w:gridCol w:w="4036"/>
        <w:gridCol w:w="1717"/>
        <w:tblGridChange w:id="0">
          <w:tblGrid>
            <w:gridCol w:w="3301"/>
            <w:gridCol w:w="4036"/>
            <w:gridCol w:w="1717"/>
          </w:tblGrid>
        </w:tblGridChange>
      </w:tblGrid>
      <w:tr>
        <w:trPr>
          <w:cantSplit w:val="0"/>
          <w:trHeight w:val="248" w:hRule="atLeast"/>
          <w:tblHeader w:val="0"/>
        </w:trPr>
        <w:tc>
          <w:tcPr>
            <w:shd w:fill="1f4e79" w:val="cle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rtl w:val="0"/>
              </w:rPr>
              <w:t xml:space="preserve">Role</w:t>
            </w:r>
            <w:r w:rsidDel="00000000" w:rsidR="00000000" w:rsidRPr="00000000">
              <w:rPr>
                <w:rtl w:val="0"/>
              </w:rPr>
            </w:r>
          </w:p>
        </w:tc>
        <w:tc>
          <w:tcPr>
            <w:shd w:fill="1f4e79" w:val="cle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rtl w:val="0"/>
              </w:rPr>
              <w:t xml:space="preserve">Name</w:t>
            </w:r>
            <w:r w:rsidDel="00000000" w:rsidR="00000000" w:rsidRPr="00000000">
              <w:rPr>
                <w:rtl w:val="0"/>
              </w:rPr>
            </w:r>
          </w:p>
        </w:tc>
        <w:tc>
          <w:tcPr>
            <w:shd w:fill="1f4e79" w:val="cle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rtl w:val="0"/>
              </w:rPr>
              <w:t xml:space="preserve">Date</w:t>
            </w: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r>
      <w:tr>
        <w:trPr>
          <w:cantSplit w:val="0"/>
          <w:trHeight w:val="248" w:hRule="atLeast"/>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pPr>
    <w:r w:rsidDel="00000000" w:rsidR="00000000" w:rsidRPr="00000000">
      <w:rPr>
        <w:rFonts w:ascii="Arial" w:cs="Arial" w:eastAsia="Arial" w:hAnsi="Arial"/>
        <w:color w:val="808080"/>
        <w:sz w:val="16"/>
        <w:szCs w:val="16"/>
        <w:rtl w:val="0"/>
      </w:rPr>
      <w:t xml:space="preserve">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rFonts w:ascii="Arial" w:cs="Arial" w:eastAsia="Arial" w:hAnsi="Arial"/>
        <w:color w:val="808080"/>
        <w:sz w:val="16"/>
        <w:szCs w:val="16"/>
        <w:rtl w:val="0"/>
      </w:rPr>
      <w:t xml:space="preserve">Solsphere – Incident Management Policy</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1C4F6D"/>
    <w:pPr>
      <w:tabs>
        <w:tab w:val="center" w:pos="4680"/>
        <w:tab w:val="right" w:pos="9360"/>
      </w:tabs>
    </w:pPr>
  </w:style>
  <w:style w:type="character" w:styleId="HeaderChar" w:customStyle="1">
    <w:name w:val="Header Char"/>
    <w:basedOn w:val="DefaultParagraphFont"/>
    <w:link w:val="Header"/>
    <w:uiPriority w:val="99"/>
    <w:rsid w:val="001C4F6D"/>
  </w:style>
  <w:style w:type="paragraph" w:styleId="Footer">
    <w:name w:val="footer"/>
    <w:basedOn w:val="Normal"/>
    <w:link w:val="FooterChar"/>
    <w:uiPriority w:val="99"/>
    <w:unhideWhenUsed w:val="1"/>
    <w:rsid w:val="001C4F6D"/>
    <w:pPr>
      <w:tabs>
        <w:tab w:val="center" w:pos="4680"/>
        <w:tab w:val="right" w:pos="9360"/>
      </w:tabs>
    </w:pPr>
  </w:style>
  <w:style w:type="character" w:styleId="FooterChar" w:customStyle="1">
    <w:name w:val="Footer Char"/>
    <w:basedOn w:val="DefaultParagraphFont"/>
    <w:link w:val="Footer"/>
    <w:uiPriority w:val="99"/>
    <w:rsid w:val="001C4F6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tiKgeP36e6Md0lra2xUAbsHDvw==">CgMxLjA4AHIhMWZWeGk4S01SZ0M4NGNKMzlmTmVoYWZiZ2hlRFlVYkhr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2026-07-10T16:52:00Z</dcterms:created>
  <dc:creator>Un-named</dc:creator>
</cp:coreProperties>
</file>