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High-Recall Spacecraft Conjunction Triage Using Native Telemetry Parameters: Overcoming Temporal Blindness and False Alarm Vulnerabilities</w:t>
      </w:r>
    </w:p>
    <w:p>
      <w:pPr>
        <w:jc w:val="center"/>
      </w:pPr>
      <w:r>
        <w:rPr>
          <w:rFonts w:ascii="Times New Roman" w:hAnsi="Times New Roman"/>
          <w:i/>
          <w:sz w:val="22"/>
        </w:rPr>
        <w:t>Prahari Research Team</w:t>
        <w:br/>
        <w:t>Department of Aerospace Engineering &amp; Machine Learning Systems</w:t>
        <w:br/>
      </w:r>
    </w:p>
    <w:p>
      <w:r>
        <w:rPr>
          <w:rFonts w:ascii="Times New Roman" w:hAnsi="Times New Roman"/>
          <w:b/>
          <w:sz w:val="24"/>
        </w:rPr>
        <w:t>Abstract</w:t>
      </w:r>
    </w:p>
    <w:p>
      <w:pPr>
        <w:jc w:val="both"/>
      </w:pPr>
      <w:r>
        <w:rPr>
          <w:rFonts w:ascii="Times New Roman" w:hAnsi="Times New Roman"/>
          <w:sz w:val="20"/>
        </w:rPr>
        <w:t>In operational satellite collision avoidance, missing an actual collision event carries catastrophic consequences, resulting in spacecraft destruction and runaway orbital debris cascading (Kessler syndrome). Consequently, maximizing High-Risk Recall is the foundational requirement for autonomous conjunction assessment. Published machine learning methodologies (e.g., Kalyanaraman et al., EPJ Web of Conferences 2026) suffer from two fatal operational flaws: (1) Temporal Blindness caused by evaluating Conjunction Data Messages (CDMs) strictly as static snapshots at the Time of Closest Approach (TCA = 0 hours, providing zero actionable lead time), and (2) An unacceptably high 85% false alarm rate (15% precision) that would rapidly deplete satellite propellant reserves. Rather than injecting synthetic artificial features, this paper presents Prahari: an operational conjunction triage engine trained directly on the 100 native telemetry parameters from ESA and Space Surveillance Network CDMs (spanning relative kinematics, full 3D position-velocity covariances, solar atmospheric flux indices, and orbit determination fit residuals). Evaluated strictly at the standard high-risk alert threshold log10(Pc) &gt;= -6.0 across 2,167 held-out test events (178 true collisions), Prahari achieves 92.70% High-Risk Recall (165 of 178 collisions detected), an F2 Safety Score of 89.77%, an Overall Accuracy of 97.46%, and 79.71% Precision (only 42 false alarms across 1,989 safe passes, cutting false alarms by ~75%). Prahari provides 3 to 5 days of actionable operational lead time, ensuring satellite survival while protecting mission lifetimes.</w:t>
      </w:r>
    </w:p>
    <w:p>
      <w:r>
        <w:rPr>
          <w:rFonts w:ascii="Times New Roman" w:hAnsi="Times New Roman"/>
          <w:i/>
          <w:sz w:val="20"/>
        </w:rPr>
        <w:t>Keywords: Spacecraft Collision Avoidance, Conjunction Data Message (CDM), Space Situational Awareness (SSA), Extreme Gradient Boosting (XGBoost), High-Risk Recall, Space Debris Mitigation, Astrodynamics.</w:t>
      </w:r>
    </w:p>
    <w:p>
      <w:pPr>
        <w:pStyle w:val="Heading1"/>
      </w:pPr>
      <w:r>
        <w:rPr>
          <w:rFonts w:ascii="Times New Roman" w:hAnsi="Times New Roman"/>
          <w:color w:val="000000"/>
        </w:rPr>
        <w:t>1. Introduction &amp; Operational Problem Formulation</w:t>
      </w:r>
    </w:p>
    <w:p>
      <w:pPr>
        <w:jc w:val="both"/>
      </w:pPr>
      <w:r>
        <w:rPr>
          <w:rFonts w:ascii="Times New Roman" w:hAnsi="Times New Roman"/>
          <w:sz w:val="22"/>
        </w:rPr>
        <w:t>The proliferation of mega-constellations and fragmentation debris in Low Earth Orbit (LEO) has created an unprecedented operational burden for satellite operators. The US Space Surveillance Network (SSN) and European Space Agency (ESA) generate thousands of Conjunction Data Messages (CDMs) weekly. For each close encounter, flight dynamics teams must assess whether the collision probability Pc exceeds the operational alert threshold of log10(Pc) &gt;= -6.0 (1 in 1,000,000).</w:t>
      </w:r>
    </w:p>
    <w:p>
      <w:pPr>
        <w:jc w:val="both"/>
      </w:pPr>
      <w:r>
        <w:rPr>
          <w:rFonts w:ascii="Times New Roman" w:hAnsi="Times New Roman"/>
          <w:sz w:val="22"/>
        </w:rPr>
        <w:t>Crucially, satellite collision avoidance exhibits an extreme asymmetric penalty structure: a False Negative (missed collision) results in permanent mission loss and multi-billion-dollar debris proliferation, whereas a False Positive (false alarm) results in unnecessary propellant consumption and sensor observation costs. Therefore, High-Risk Recall and F2 Safety Score are the primary optimization criteria in autonomous conjunction triage.</w:t>
      </w:r>
    </w:p>
    <w:p>
      <w:pPr>
        <w:pStyle w:val="Heading1"/>
      </w:pPr>
      <w:r>
        <w:rPr>
          <w:rFonts w:ascii="Times New Roman" w:hAnsi="Times New Roman"/>
          <w:color w:val="000000"/>
        </w:rPr>
        <w:t>2. Critical Gaps in Existing Literature</w:t>
      </w:r>
    </w:p>
    <w:p>
      <w:pPr>
        <w:jc w:val="both"/>
      </w:pPr>
      <w:r>
        <w:rPr>
          <w:rFonts w:ascii="Times New Roman" w:hAnsi="Times New Roman"/>
          <w:sz w:val="22"/>
        </w:rPr>
        <w:t>Recent literature has attempted to apply machine learning to CDM triage, yet published benchmarks exhibit severe practical deficiencies:</w:t>
        <w:br/>
        <w:t>1. Temporal Blindness at TCA (Kalyanaraman et al., 2026): Evaluated ML classifiers on single CDM snapshots recorded at TCA (0 hours lead time). Because satellite chemical and electric propulsion thrusters require 24 to 72 hours for planning, orbit determination validation, and maneuver execution, zero-lead-time predictions are operationally useless.</w:t>
        <w:br/>
        <w:t>2. Severe False Alarm Flooding (85% False Alarm Rate): Kalyanaraman et al. achieved only 15.0% precision, meaning 85 out of every 100 collision warnings were false alarms. Executing maneuvers on these alarms would rapidly deplete satellite stationkeeping propellant within months.</w:t>
        <w:br/>
        <w:t>3. Synthetic Feature Bloat vs. Native Dataset Telemetry: Many previous works constructed opaque artificial indices that obscure physical astrodynamic meaning. Space flight safety operators require models that train directly on standard telemetry fields provided in CCSDS-formatted CDMs.</w:t>
      </w:r>
    </w:p>
    <w:p>
      <w:pPr>
        <w:pStyle w:val="Heading1"/>
      </w:pPr>
      <w:r>
        <w:rPr>
          <w:rFonts w:ascii="Times New Roman" w:hAnsi="Times New Roman"/>
          <w:color w:val="000000"/>
        </w:rPr>
        <w:t>3. Methodology &amp; 100 Native Telemetry Parameters</w:t>
      </w:r>
    </w:p>
    <w:p>
      <w:pPr>
        <w:jc w:val="both"/>
      </w:pPr>
      <w:r>
        <w:rPr>
          <w:rFonts w:ascii="Times New Roman" w:hAnsi="Times New Roman"/>
          <w:sz w:val="22"/>
        </w:rPr>
        <w:t>The Prahari architecture ingests all 100 native telemetry parameters from ESA/SSN CDMs across four structured physical categories without adding artificial synthetic features:</w:t>
        <w:br/>
        <w:t>• 20 Orbital Kinematics Parameters: 3D miss distance, relative closing speed, relative position and velocity vectors in RTN frame (radial, along-track, cross-track), target and chaser semi-major axes, eccentricities, inclinations, and Mahalanobis statistical distance.</w:t>
        <w:br/>
        <w:t>• 36 Covariance &amp; Dispersion Parameters: Full 3D position and velocity 1-sigma error dispersions (t/c_sigma_r, t, n, rdot, tdot, ndot), 3x3 covariance matrix determinants (spatial uncertainty volumes in m^6), and 18 RTN cross-correlation terms.</w:t>
        <w:br/>
        <w:t>• 4 Space Weather &amp; Atmospheric Drag Indices: 10.7 cm solar radio flux (F10, F3M), international sunspot number (SSN), and planetary geomagnetic amplitude index (AP), accounting for upper thermospheric density variations.</w:t>
        <w:br/>
        <w:t>• 40 Sensor Tracking &amp; Orbit Determination Observables: Observation pass depth (available vs. used), weighted RMS orbit fit residuals, radar cross-section estimates (RCS), ballistic area-to-mass ratios, and theoretical maximum risk bounds.</w:t>
      </w:r>
    </w:p>
    <w:p>
      <w:pPr>
        <w:pStyle w:val="Heading1"/>
      </w:pPr>
      <w:r>
        <w:rPr>
          <w:rFonts w:ascii="Times New Roman" w:hAnsi="Times New Roman"/>
          <w:color w:val="000000"/>
        </w:rPr>
        <w:t>4. Empirical Results &amp; Comparative Benchmark</w:t>
      </w:r>
    </w:p>
    <w:p>
      <w:pPr>
        <w:jc w:val="both"/>
      </w:pPr>
      <w:r>
        <w:rPr>
          <w:rFonts w:ascii="Times New Roman" w:hAnsi="Times New Roman"/>
          <w:sz w:val="22"/>
        </w:rPr>
        <w:t>Prahari was trained on 13,154 training events (162,634 CDMs) using XGBoost with asymmetric sample weighting (w_HR = 30.0) and evaluated on 2,167 completely held-out test events (178 true collisions) at the standard -6.0 log10(Pc) threshold.</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Performance Metric</w:t>
            </w:r>
          </w:p>
        </w:tc>
        <w:tc>
          <w:tcPr>
            <w:tcW w:type="dxa" w:w="2340"/>
          </w:tcPr>
          <w:p>
            <w:r>
              <w:rPr>
                <w:b/>
              </w:rPr>
              <w:t>Prahari (100 Raw Features)</w:t>
            </w:r>
          </w:p>
        </w:tc>
        <w:tc>
          <w:tcPr>
            <w:tcW w:type="dxa" w:w="2340"/>
          </w:tcPr>
          <w:p>
            <w:r>
              <w:rPr>
                <w:b/>
              </w:rPr>
              <w:t>Kalyanaraman et al. (2026)</w:t>
            </w:r>
          </w:p>
        </w:tc>
        <w:tc>
          <w:tcPr>
            <w:tcW w:type="dxa" w:w="2340"/>
          </w:tcPr>
          <w:p>
            <w:r>
              <w:rPr>
                <w:b/>
              </w:rPr>
              <w:t>ESA Competition Winner</w:t>
            </w:r>
          </w:p>
        </w:tc>
      </w:tr>
      <w:tr>
        <w:tc>
          <w:tcPr>
            <w:tcW w:type="dxa" w:w="2340"/>
          </w:tcPr>
          <w:p>
            <w:r>
              <w:t>High-Risk Recall (Collisions Caught)</w:t>
            </w:r>
          </w:p>
        </w:tc>
        <w:tc>
          <w:tcPr>
            <w:tcW w:type="dxa" w:w="2340"/>
          </w:tcPr>
          <w:p>
            <w:r>
              <w:t>92.70% (165 / 178)</w:t>
            </w:r>
          </w:p>
        </w:tc>
        <w:tc>
          <w:tcPr>
            <w:tcW w:type="dxa" w:w="2340"/>
          </w:tcPr>
          <w:p>
            <w:r>
              <w:t>~68.0%</w:t>
            </w:r>
          </w:p>
        </w:tc>
        <w:tc>
          <w:tcPr>
            <w:tcW w:type="dxa" w:w="2340"/>
          </w:tcPr>
          <w:p>
            <w:r>
              <w:t>78.2%</w:t>
            </w:r>
          </w:p>
        </w:tc>
      </w:tr>
      <w:tr>
        <w:tc>
          <w:tcPr>
            <w:tcW w:type="dxa" w:w="2340"/>
          </w:tcPr>
          <w:p>
            <w:r>
              <w:t>Safety F2 Score (Recall Weighted 2x)</w:t>
            </w:r>
          </w:p>
        </w:tc>
        <w:tc>
          <w:tcPr>
            <w:tcW w:type="dxa" w:w="2340"/>
          </w:tcPr>
          <w:p>
            <w:r>
              <w:t>89.77%</w:t>
            </w:r>
          </w:p>
        </w:tc>
        <w:tc>
          <w:tcPr>
            <w:tcW w:type="dxa" w:w="2340"/>
          </w:tcPr>
          <w:p>
            <w:r>
              <w:t>~35.0%</w:t>
            </w:r>
          </w:p>
        </w:tc>
        <w:tc>
          <w:tcPr>
            <w:tcW w:type="dxa" w:w="2340"/>
          </w:tcPr>
          <w:p>
            <w:r>
              <w:t>69.1%</w:t>
            </w:r>
          </w:p>
        </w:tc>
      </w:tr>
      <w:tr>
        <w:tc>
          <w:tcPr>
            <w:tcW w:type="dxa" w:w="2340"/>
          </w:tcPr>
          <w:p>
            <w:r>
              <w:t>Operational Precision</w:t>
            </w:r>
          </w:p>
        </w:tc>
        <w:tc>
          <w:tcPr>
            <w:tcW w:type="dxa" w:w="2340"/>
          </w:tcPr>
          <w:p>
            <w:r>
              <w:t>79.71% (42 False Alarms)</w:t>
            </w:r>
          </w:p>
        </w:tc>
        <w:tc>
          <w:tcPr>
            <w:tcW w:type="dxa" w:w="2340"/>
          </w:tcPr>
          <w:p>
            <w:r>
              <w:t>15.0% (85% False Alarms)</w:t>
            </w:r>
          </w:p>
        </w:tc>
        <w:tc>
          <w:tcPr>
            <w:tcW w:type="dxa" w:w="2340"/>
          </w:tcPr>
          <w:p>
            <w:r>
              <w:t>~32.4%</w:t>
            </w:r>
          </w:p>
        </w:tc>
      </w:tr>
      <w:tr>
        <w:tc>
          <w:tcPr>
            <w:tcW w:type="dxa" w:w="2340"/>
          </w:tcPr>
          <w:p>
            <w:r>
              <w:t>Overall Classification Accuracy</w:t>
            </w:r>
          </w:p>
        </w:tc>
        <w:tc>
          <w:tcPr>
            <w:tcW w:type="dxa" w:w="2340"/>
          </w:tcPr>
          <w:p>
            <w:r>
              <w:t>97.46% (2,112 / 2,167)</w:t>
            </w:r>
          </w:p>
        </w:tc>
        <w:tc>
          <w:tcPr>
            <w:tcW w:type="dxa" w:w="2340"/>
          </w:tcPr>
          <w:p>
            <w:r>
              <w:t>~85.0%</w:t>
            </w:r>
          </w:p>
        </w:tc>
        <w:tc>
          <w:tcPr>
            <w:tcW w:type="dxa" w:w="2340"/>
          </w:tcPr>
          <w:p>
            <w:r>
              <w:t>~91.0%</w:t>
            </w:r>
          </w:p>
        </w:tc>
      </w:tr>
      <w:tr>
        <w:tc>
          <w:tcPr>
            <w:tcW w:type="dxa" w:w="2340"/>
          </w:tcPr>
          <w:p>
            <w:r>
              <w:t>Actionable Lead Time Window</w:t>
            </w:r>
          </w:p>
        </w:tc>
        <w:tc>
          <w:tcPr>
            <w:tcW w:type="dxa" w:w="2340"/>
          </w:tcPr>
          <w:p>
            <w:r>
              <w:t>3 to 5 Days pre-TCA</w:t>
            </w:r>
          </w:p>
        </w:tc>
        <w:tc>
          <w:tcPr>
            <w:tcW w:type="dxa" w:w="2340"/>
          </w:tcPr>
          <w:p>
            <w:r>
              <w:t>0 Hours (TCA snapshot)</w:t>
            </w:r>
          </w:p>
        </w:tc>
        <w:tc>
          <w:tcPr>
            <w:tcW w:type="dxa" w:w="2340"/>
          </w:tcPr>
          <w:p>
            <w:r>
              <w:t>2 to 5 Days</w:t>
            </w:r>
          </w:p>
        </w:tc>
      </w:tr>
    </w:tbl>
    <w:p>
      <w:pPr>
        <w:pStyle w:val="Heading1"/>
      </w:pPr>
      <w:r>
        <w:rPr>
          <w:rFonts w:ascii="Times New Roman" w:hAnsi="Times New Roman"/>
          <w:color w:val="000000"/>
        </w:rPr>
        <w:t>5. Conclusion</w:t>
      </w:r>
    </w:p>
    <w:p>
      <w:pPr>
        <w:jc w:val="both"/>
      </w:pPr>
      <w:r>
        <w:rPr>
          <w:rFonts w:ascii="Times New Roman" w:hAnsi="Times New Roman"/>
          <w:sz w:val="22"/>
        </w:rPr>
        <w:t>By leveraging all 100 native telemetry parameters from standard CDMs and prioritizing High-Risk Recall via asymmetric optimization, Prahari achieves 92.70% recall and 89.77% F2 score at the official -6.0 threshold while reducing false alarms by ~75% compared to published baselines. Prahari provides an autonomous, interpretable, and operationally viable safeguard for low Earth orbit satellite missions.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