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March 12, 2025,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David Garcia ("Landlord")</w:t>
      </w:r>
    </w:p>
    <w:p w:rsidR="00000000" w:rsidDel="00000000" w:rsidP="00000000" w:rsidRDefault="00000000" w:rsidRPr="00000000" w14:paraId="00000007">
      <w:pPr>
        <w:rPr/>
      </w:pPr>
      <w:r w:rsidDel="00000000" w:rsidR="00000000" w:rsidRPr="00000000">
        <w:rPr>
          <w:rtl w:val="0"/>
        </w:rPr>
        <w:t xml:space="preserve">LESSEE: David Jones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7855 Maple Ave, Clinton, OH 83386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March 12, 2025 and shall terminate on March 12, 2026.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$3019.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$3622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David Garcia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David Jones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