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COMMERCIAL LEASE AGREEMENT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Lease Agreement ("Agreement") is entered into on March 20, 2009, by and between: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LESSOR: GUANGZHOU GOLDLION CITY PROPERTY CO., LTD. ("Landlord") LESSEE: QUAN TOODOU NETWORK SCIENCE AND TECHNOLOGY CO., LTD. ("Tenant")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PROPERTY: The Landlord hereby leases to the Tenant the commercial property located at: Room #02-03, 29th Floor, No. 138, East Tiyu Road, Tianhe District, Guangzhou Total Construction Area: 310.4504 square meters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TERM OF LEASE The initial lease term shall be from February 18, 2010, to April 30, 2011, with potential for renewal.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RENT The Tenant shall pay: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Rent: RMB 46,500.00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Property Management Fee: RMB 9,003.00 per month Rent and fees are payable in advance on the first day of each month.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DEPOSIT Deposits to be paid by Tenant: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Lease Deposit: RMB 93,000.00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Fee Deposit: RMB 18,006.00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Electricity Fee Deposit: RMB 3,105.00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PREMISES The premises shall be used exclusively for office purposes. Tenant must comply with all building regulations and usage guidelines.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UTILITIES Electricity will be charged based on actual consumption as measured by the kilowatt-hour meter installed in the premises.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MAINTENANCE AND REPAIRS Tenant is responsible for maintaining and cleaning the interior of the leased premises, including any renovations made by Tenant.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ALTERATIONS Tenant may make interior renovations only with prior written consent from Landlord, following specific guidelines in the Goldlion Digital Network Center Renovation Guide.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AREAS Tenant shall have access to common areas as specified in the lease agreement, subject to property management rules.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INSURANCE Tenant is responsible for maintaining appropriate insurance and ensuring security and fire prevention within the leased premises.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HAZARDOUS MATERIALS Tenant is prohibited from storing any inflammable, explosive, or toxic materials in the premises.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 OF ENTRY Landlord reserves the right to enter the premises with 24 hours' notice for maintenance and inspection purposes.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TERMINATION The lease may be terminated under specific conditions, including default, breach of contract, or mutual agreement.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Detailed provisions for breach of contract, including late payment penalties and potential lease termination.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GOVERNING LAW This Agreement shall be governed by the laws of the People's Republic of China.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ENTIRE AGREEMENT This document constitutes the entire agreement between the parties, superseding all prior negotiations and agreements.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SEVERABILITY If any provision of this Agreement is found to be invalid, the remaining provisions shall continue in full force and effect.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SIGNATURES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LANDLORD: Signature: /s/ Zhiming Zeng Print Name: Zhiming Zeng Title: Legal Representative Date: March 20, 2009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TENANT: Signature: [Not signed in original document] Print Name: Title: Date: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PROPERTY MANAGEMENT COMPANY: Guangzhou Yindie Property Management Co., Ltd. Signature: [Company Seal] Date: March 20, 2009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ACKNOWLEDGMENT By signing above, both parties acknowledge that they have read, understood, and agree to be bound by all terms and conditions of this Lease Agreement.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