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36"/>
          <w:szCs w:val="36"/>
        </w:rPr>
        <w:t xml:space="preserve">Short-Term Demand Forecasting for</w:t>
      </w:r>
    </w:p>
    <w:p>
      <w:pPr>
        <w:spacing w:after="480" w:before="0"/>
        <w:jc w:val="center"/>
      </w:pPr>
      <w:r>
        <w:rPr>
          <w:rFonts w:ascii="Arial" w:cs="Arial" w:eastAsia="Arial" w:hAnsi="Arial"/>
          <w:b/>
          <w:bCs/>
          <w:color w:val="1F4E79"/>
          <w:sz w:val="44"/>
          <w:szCs w:val="44"/>
        </w:rPr>
        <w:t xml:space="preserve">Toronto Island Ferry Operations</w:t>
      </w:r>
    </w:p>
    <w:p>
      <w:pPr>
        <w:spacing w:after="120" w:before="0"/>
        <w:jc w:val="center"/>
      </w:pPr>
      <w:r>
        <w:rPr>
          <w:rFonts w:ascii="Arial" w:cs="Arial" w:eastAsia="Arial" w:hAnsi="Arial"/>
          <w:i/>
          <w:iCs/>
          <w:color w:val="2E75B6"/>
          <w:sz w:val="24"/>
          <w:szCs w:val="24"/>
        </w:rPr>
        <w:t xml:space="preserve">A Comparative Study of Statistical and Machine Learning Approaches</w:t>
      </w:r>
    </w:p>
    <w:p>
      <w:pPr>
        <w:spacing w:after="120" w:before="120"/>
      </w:pPr>
      <w:r>
        <w:t xml:space="preserve"/>
      </w:r>
    </w:p>
    <w:p>
      <w:pPr>
        <w:spacing w:after="80" w:before="720"/>
        <w:jc w:val="center"/>
      </w:pPr>
      <w:r>
        <w:rPr>
          <w:rFonts w:ascii="Arial" w:cs="Arial" w:eastAsia="Arial" w:hAnsi="Arial"/>
          <w:color w:val="404040"/>
          <w:sz w:val="22"/>
          <w:szCs w:val="22"/>
        </w:rPr>
        <w:t xml:space="preserve">Ferry Forecast Research Paper</w:t>
      </w:r>
    </w:p>
    <w:p>
      <w:pPr>
        <w:spacing w:after="80" w:before="0"/>
        <w:jc w:val="center"/>
      </w:pPr>
      <w:r>
        <w:rPr>
          <w:rFonts w:ascii="Arial" w:cs="Arial" w:eastAsia="Arial" w:hAnsi="Arial"/>
          <w:b/>
          <w:bCs/>
          <w:color w:val="1F4E79"/>
          <w:sz w:val="28"/>
          <w:szCs w:val="28"/>
        </w:rPr>
        <w:t xml:space="preserve">Akshay Kumar Jha</w:t>
      </w:r>
    </w:p>
    <w:p>
      <w:pPr>
        <w:spacing w:after="80" w:before="0"/>
        <w:jc w:val="center"/>
      </w:pPr>
      <w:r>
        <w:rPr>
          <w:rFonts w:ascii="Arial" w:cs="Arial" w:eastAsia="Arial" w:hAnsi="Arial"/>
          <w:color w:val="404040"/>
          <w:sz w:val="22"/>
          <w:szCs w:val="22"/>
        </w:rPr>
        <w:t xml:space="preserve">Machine Learning Intern — Unified Mentor</w:t>
      </w:r>
    </w:p>
    <w:p>
      <w:pPr>
        <w:spacing w:after="80" w:before="0"/>
        <w:jc w:val="center"/>
      </w:pPr>
      <w:r>
        <w:rPr>
          <w:rFonts w:ascii="Arial" w:cs="Arial" w:eastAsia="Arial" w:hAnsi="Arial"/>
          <w:color w:val="404040"/>
          <w:sz w:val="22"/>
          <w:szCs w:val="22"/>
        </w:rPr>
        <w:t xml:space="preserve">2025</w:t>
      </w:r>
    </w:p>
    <w:p>
      <w:r>
        <w:br w:type="page"/>
      </w:r>
    </w:p>
    <w:p>
      <w:pPr>
        <w:pStyle w:val="Heading1"/>
        <w:spacing w:after="120" w:before="360"/>
      </w:pPr>
      <w:r>
        <w:rPr>
          <w:rFonts w:ascii="Arial" w:cs="Arial" w:eastAsia="Arial" w:hAnsi="Arial"/>
          <w:b/>
          <w:bCs/>
          <w:color w:val="1F4E79"/>
          <w:sz w:val="32"/>
          <w:szCs w:val="32"/>
        </w:rPr>
        <w:t xml:space="preserve">Abstract</w:t>
      </w:r>
    </w:p>
    <w:p>
      <w:pPr>
        <w:spacing w:after="80" w:before="80"/>
        <w:jc w:val="both"/>
      </w:pPr>
      <w:r>
        <w:rPr>
          <w:rFonts w:ascii="Arial" w:cs="Arial" w:eastAsia="Arial" w:hAnsi="Arial"/>
          <w:sz w:val="22"/>
          <w:szCs w:val="22"/>
        </w:rPr>
        <w:t xml:space="preserve">This paper presents a comprehensive study of short-term demand forecasting for Toronto Island Park ferry operations using a decade of historical ticket transaction data spanning May 2015 to December 2025. The dataset comprises over 350,000 fifteen-minute interval records capturing both ticket sales and passenger redemptions. We evaluate seven forecasting approaches across three tiers: naive baselines, machine learning models, and classical time-series models. Results demonstrate that gradient boosting achieves the lowest mean absolute error (MAE: 17.118) among all evaluated models, outperforming naive forecasting (MAE: 21.450) by 20.2% and the Prophet time-series model by a substantial margin. The study confirms that short-term ferry demand follows highly non-linear, multi-scale temporal patterns that are better captured through supervised machine learning with engineered lag features than through classical statistical decomposition. A production-ready Streamlit dashboard has been deployed enabling real-time forecast visualization for operational decision support.</w:t>
      </w:r>
    </w:p>
    <w:p>
      <w:pPr>
        <w:spacing w:after="120" w:before="120"/>
      </w:pPr>
      <w:r>
        <w:t xml:space="preserve"/>
      </w:r>
    </w:p>
    <w:p>
      <w:pPr>
        <w:spacing w:after="80" w:before="80"/>
      </w:pPr>
      <w:r>
        <w:rPr>
          <w:rFonts w:ascii="Arial" w:cs="Arial" w:eastAsia="Arial" w:hAnsi="Arial"/>
          <w:b/>
          <w:bCs/>
          <w:sz w:val="22"/>
          <w:szCs w:val="22"/>
        </w:rPr>
        <w:t xml:space="preserve">Keywords: </w:t>
      </w:r>
      <w:r>
        <w:rPr>
          <w:rFonts w:ascii="Arial" w:cs="Arial" w:eastAsia="Arial" w:hAnsi="Arial"/>
          <w:i/>
          <w:iCs/>
          <w:sz w:val="22"/>
          <w:szCs w:val="22"/>
        </w:rPr>
        <w:t xml:space="preserve">demand forecasting, ferry operations, gradient boosting, XGBoost, time-series, machine learning, public transit, Streamlit</w:t>
      </w:r>
    </w:p>
    <w:p>
      <w:r>
        <w:br w:type="page"/>
      </w:r>
    </w:p>
    <w:p>
      <w:pPr>
        <w:pStyle w:val="Heading1"/>
        <w:spacing w:after="120" w:before="360"/>
      </w:pPr>
      <w:r>
        <w:rPr>
          <w:rFonts w:ascii="Arial" w:cs="Arial" w:eastAsia="Arial" w:hAnsi="Arial"/>
          <w:b/>
          <w:bCs/>
          <w:color w:val="1F4E79"/>
          <w:sz w:val="32"/>
          <w:szCs w:val="32"/>
        </w:rPr>
        <w:t xml:space="preserve">1. Introduction</w:t>
      </w:r>
    </w:p>
    <w:p>
      <w:pPr>
        <w:pStyle w:val="Heading2"/>
        <w:spacing w:after="80" w:before="240"/>
      </w:pPr>
      <w:r>
        <w:rPr>
          <w:rFonts w:ascii="Arial" w:cs="Arial" w:eastAsia="Arial" w:hAnsi="Arial"/>
          <w:b/>
          <w:bCs/>
          <w:color w:val="2E75B6"/>
          <w:sz w:val="26"/>
          <w:szCs w:val="26"/>
        </w:rPr>
        <w:t xml:space="preserve">1.1 Background</w:t>
      </w:r>
    </w:p>
    <w:p>
      <w:pPr>
        <w:spacing w:after="80" w:before="80"/>
        <w:jc w:val="both"/>
      </w:pPr>
      <w:r>
        <w:rPr>
          <w:rFonts w:ascii="Arial" w:cs="Arial" w:eastAsia="Arial" w:hAnsi="Arial"/>
          <w:sz w:val="22"/>
          <w:szCs w:val="22"/>
        </w:rPr>
        <w:t xml:space="preserve">Toronto Island Park is one of Canada's most visited urban recreational destinations, attracting millions of visitors annually. Access to the island is exclusively provided by ferry services operating from the Jack Layton Ferry Terminal on the downtown Toronto waterfront. The ferry system handles significant and highly variable passenger volumes, with demand concentrated during summer weekends, statutory holidays, and peak afternoon hours.</w:t>
      </w:r>
    </w:p>
    <w:p>
      <w:pPr>
        <w:spacing w:after="80" w:before="80"/>
        <w:jc w:val="both"/>
      </w:pPr>
      <w:r>
        <w:rPr>
          <w:rFonts w:ascii="Arial" w:cs="Arial" w:eastAsia="Arial" w:hAnsi="Arial"/>
          <w:sz w:val="22"/>
          <w:szCs w:val="22"/>
        </w:rPr>
        <w:t xml:space="preserve">Despite the operational criticality of accurate demand prediction, ferry scheduling has historically relied on fixed timetables and reactive adjustments. When unexpected surges occur, operators face congestion at terminals, extended passenger wait times, and safety risks from overcrowding. The availability of over a decade of high-resolution ticket transaction data presents a unique opportunity to move from reactive operations to predictive intelligence.</w:t>
      </w:r>
    </w:p>
    <w:p>
      <w:pPr>
        <w:pStyle w:val="Heading2"/>
        <w:spacing w:after="80" w:before="240"/>
      </w:pPr>
      <w:r>
        <w:rPr>
          <w:rFonts w:ascii="Arial" w:cs="Arial" w:eastAsia="Arial" w:hAnsi="Arial"/>
          <w:b/>
          <w:bCs/>
          <w:color w:val="2E75B6"/>
          <w:sz w:val="26"/>
          <w:szCs w:val="26"/>
        </w:rPr>
        <w:t xml:space="preserve">1.2 Problem Statement</w:t>
      </w:r>
    </w:p>
    <w:p>
      <w:pPr>
        <w:spacing w:after="80" w:before="80"/>
        <w:jc w:val="both"/>
      </w:pPr>
      <w:r>
        <w:rPr>
          <w:rFonts w:ascii="Arial" w:cs="Arial" w:eastAsia="Arial" w:hAnsi="Arial"/>
          <w:sz w:val="22"/>
          <w:szCs w:val="22"/>
        </w:rPr>
        <w:t xml:space="preserve">Current ferry operations lack short-term demand forecasting capability. Operators have no quantitative mechanism to anticipate passenger volumes 15 minutes to 2 hours ahead, resulting in suboptimal resource allocation, preventable congestion, and poor passenger experience during peak periods. While historical data exists in abundance, it has not been systematically leveraged for predictive modeling.</w:t>
      </w:r>
    </w:p>
    <w:p>
      <w:pPr>
        <w:pStyle w:val="Heading2"/>
        <w:spacing w:after="80" w:before="240"/>
      </w:pPr>
      <w:r>
        <w:rPr>
          <w:rFonts w:ascii="Arial" w:cs="Arial" w:eastAsia="Arial" w:hAnsi="Arial"/>
          <w:b/>
          <w:bCs/>
          <w:color w:val="2E75B6"/>
          <w:sz w:val="26"/>
          <w:szCs w:val="26"/>
        </w:rPr>
        <w:t xml:space="preserve">1.3 Research Objectives</w:t>
      </w:r>
    </w:p>
    <w:p>
      <w:pPr>
        <w:spacing w:after="80" w:before="80"/>
        <w:jc w:val="both"/>
      </w:pPr>
      <w:r>
        <w:rPr>
          <w:rFonts w:ascii="Arial" w:cs="Arial" w:eastAsia="Arial" w:hAnsi="Arial"/>
          <w:sz w:val="22"/>
          <w:szCs w:val="22"/>
        </w:rPr>
        <w:t xml:space="preserve">This study addresses the following primary and secondary objectives:</w:t>
      </w:r>
    </w:p>
    <w:p>
      <w:pPr>
        <w:pStyle w:val="ListParagraph"/>
        <w:numPr>
          <w:ilvl w:val="0"/>
          <w:numId w:val="2"/>
        </w:numPr>
        <w:spacing w:after="40" w:before="40"/>
      </w:pPr>
      <w:r>
        <w:rPr>
          <w:rFonts w:ascii="Arial" w:cs="Arial" w:eastAsia="Arial" w:hAnsi="Arial"/>
          <w:sz w:val="22"/>
          <w:szCs w:val="22"/>
        </w:rPr>
        <w:t xml:space="preserve">Primary: Develop and evaluate models that forecast ticket sales and redemptions across four forecast horizons: 15 minutes, 30 minutes, 1 hour, and 2 hours.</w:t>
      </w:r>
    </w:p>
    <w:p>
      <w:pPr>
        <w:pStyle w:val="ListParagraph"/>
        <w:numPr>
          <w:ilvl w:val="0"/>
          <w:numId w:val="2"/>
        </w:numPr>
        <w:spacing w:after="40" w:before="40"/>
      </w:pPr>
      <w:r>
        <w:rPr>
          <w:rFonts w:ascii="Arial" w:cs="Arial" w:eastAsia="Arial" w:hAnsi="Arial"/>
          <w:sz w:val="22"/>
          <w:szCs w:val="22"/>
        </w:rPr>
        <w:t xml:space="preserve">Primary: Compare the predictive performance of statistical baselines, machine learning models, and classical time-series approaches.</w:t>
      </w:r>
    </w:p>
    <w:p>
      <w:pPr>
        <w:pStyle w:val="ListParagraph"/>
        <w:numPr>
          <w:ilvl w:val="0"/>
          <w:numId w:val="2"/>
        </w:numPr>
        <w:spacing w:after="40" w:before="40"/>
      </w:pPr>
      <w:r>
        <w:rPr>
          <w:rFonts w:ascii="Arial" w:cs="Arial" w:eastAsia="Arial" w:hAnsi="Arial"/>
          <w:sz w:val="22"/>
          <w:szCs w:val="22"/>
        </w:rPr>
        <w:t xml:space="preserve">Secondary: Quantify forecast uncertainty through confidence intervals to support risk-aware operational decisions.</w:t>
      </w:r>
    </w:p>
    <w:p>
      <w:pPr>
        <w:pStyle w:val="ListParagraph"/>
        <w:numPr>
          <w:ilvl w:val="0"/>
          <w:numId w:val="2"/>
        </w:numPr>
        <w:spacing w:after="40" w:before="40"/>
      </w:pPr>
      <w:r>
        <w:rPr>
          <w:rFonts w:ascii="Arial" w:cs="Arial" w:eastAsia="Arial" w:hAnsi="Arial"/>
          <w:sz w:val="22"/>
          <w:szCs w:val="22"/>
        </w:rPr>
        <w:t xml:space="preserve">Secondary: Deploy a production Streamlit dashboard enabling real-time forecast access for operational staff.</w:t>
      </w:r>
    </w:p>
    <w:p>
      <w:pPr>
        <w:pStyle w:val="Heading2"/>
        <w:spacing w:after="80" w:before="240"/>
      </w:pPr>
      <w:r>
        <w:rPr>
          <w:rFonts w:ascii="Arial" w:cs="Arial" w:eastAsia="Arial" w:hAnsi="Arial"/>
          <w:b/>
          <w:bCs/>
          <w:color w:val="2E75B6"/>
          <w:sz w:val="26"/>
          <w:szCs w:val="26"/>
        </w:rPr>
        <w:t xml:space="preserve">1.4 Significance</w:t>
      </w:r>
    </w:p>
    <w:p>
      <w:pPr>
        <w:spacing w:after="80" w:before="80"/>
        <w:jc w:val="both"/>
      </w:pPr>
      <w:r>
        <w:rPr>
          <w:rFonts w:ascii="Arial" w:cs="Arial" w:eastAsia="Arial" w:hAnsi="Arial"/>
          <w:sz w:val="22"/>
          <w:szCs w:val="22"/>
        </w:rPr>
        <w:t xml:space="preserve">Accurate short-term demand forecasting enables proactive ferry dispatch, pre-emptive staff deployment, and data-driven schedule optimization. The operational and safety benefits of even modest accuracy improvements at scale are substantial. This work also contributes to the broader literature on applying machine learning to high-frequency urban transit demand forecasting.</w:t>
      </w:r>
    </w:p>
    <w:p>
      <w:r>
        <w:br w:type="page"/>
      </w:r>
    </w:p>
    <w:p>
      <w:pPr>
        <w:pStyle w:val="Heading1"/>
        <w:spacing w:after="120" w:before="360"/>
      </w:pPr>
      <w:r>
        <w:rPr>
          <w:rFonts w:ascii="Arial" w:cs="Arial" w:eastAsia="Arial" w:hAnsi="Arial"/>
          <w:b/>
          <w:bCs/>
          <w:color w:val="1F4E79"/>
          <w:sz w:val="32"/>
          <w:szCs w:val="32"/>
        </w:rPr>
        <w:t xml:space="preserve">2. Literature Review</w:t>
      </w:r>
    </w:p>
    <w:p>
      <w:pPr>
        <w:pStyle w:val="Heading2"/>
        <w:spacing w:after="80" w:before="240"/>
      </w:pPr>
      <w:r>
        <w:rPr>
          <w:rFonts w:ascii="Arial" w:cs="Arial" w:eastAsia="Arial" w:hAnsi="Arial"/>
          <w:b/>
          <w:bCs/>
          <w:color w:val="2E75B6"/>
          <w:sz w:val="26"/>
          <w:szCs w:val="26"/>
        </w:rPr>
        <w:t xml:space="preserve">2.1 Transit Demand Forecasting</w:t>
      </w:r>
    </w:p>
    <w:p>
      <w:pPr>
        <w:spacing w:after="80" w:before="80"/>
        <w:jc w:val="both"/>
      </w:pPr>
      <w:r>
        <w:rPr>
          <w:rFonts w:ascii="Arial" w:cs="Arial" w:eastAsia="Arial" w:hAnsi="Arial"/>
          <w:sz w:val="22"/>
          <w:szCs w:val="22"/>
        </w:rPr>
        <w:t xml:space="preserve">Short-term transit demand forecasting has been extensively studied in the context of buses, subways, and ride-sharing platforms. Classical approaches including ARIMA and its seasonal variants (SARIMA) have demonstrated effectiveness for stationary, low-frequency time series. However, their assumptions of linearity and stationarity limit their applicability to highly variable, non-stationary demand signals such as those observed in recreational ferry services.</w:t>
      </w:r>
    </w:p>
    <w:p>
      <w:pPr>
        <w:spacing w:after="80" w:before="80"/>
        <w:jc w:val="both"/>
      </w:pPr>
      <w:r>
        <w:rPr>
          <w:rFonts w:ascii="Arial" w:cs="Arial" w:eastAsia="Arial" w:hAnsi="Arial"/>
          <w:sz w:val="22"/>
          <w:szCs w:val="22"/>
        </w:rPr>
        <w:t xml:space="preserve">Recent literature has demonstrated the superiority of machine learning approaches for short-term transit forecasting. Ensemble tree methods, particularly gradient boosting and random forests, consistently outperform classical methods on high-frequency interval data due to their capacity to model complex non-linear interactions between temporal features.</w:t>
      </w:r>
    </w:p>
    <w:p>
      <w:pPr>
        <w:pStyle w:val="Heading2"/>
        <w:spacing w:after="80" w:before="240"/>
      </w:pPr>
      <w:r>
        <w:rPr>
          <w:rFonts w:ascii="Arial" w:cs="Arial" w:eastAsia="Arial" w:hAnsi="Arial"/>
          <w:b/>
          <w:bCs/>
          <w:color w:val="2E75B6"/>
          <w:sz w:val="26"/>
          <w:szCs w:val="26"/>
        </w:rPr>
        <w:t xml:space="preserve">2.2 Feature Engineering for Time-Series ML</w:t>
      </w:r>
    </w:p>
    <w:p>
      <w:pPr>
        <w:spacing w:after="80" w:before="80"/>
        <w:jc w:val="both"/>
      </w:pPr>
      <w:r>
        <w:rPr>
          <w:rFonts w:ascii="Arial" w:cs="Arial" w:eastAsia="Arial" w:hAnsi="Arial"/>
          <w:sz w:val="22"/>
          <w:szCs w:val="22"/>
        </w:rPr>
        <w:t xml:space="preserve">A critical insight from the literature is that the transformation from a time-series problem to a supervised learning problem through lag feature engineering is the primary driver of ML model performance. Lag features encoding recent demand history, combined with cyclical temporal encodings, enable gradient boosting models to implicitly learn multi-scale seasonality without requiring explicit seasonal decomposition.</w:t>
      </w:r>
    </w:p>
    <w:p>
      <w:pPr>
        <w:pStyle w:val="Heading2"/>
        <w:spacing w:after="80" w:before="240"/>
      </w:pPr>
      <w:r>
        <w:rPr>
          <w:rFonts w:ascii="Arial" w:cs="Arial" w:eastAsia="Arial" w:hAnsi="Arial"/>
          <w:b/>
          <w:bCs/>
          <w:color w:val="2E75B6"/>
          <w:sz w:val="26"/>
          <w:szCs w:val="26"/>
        </w:rPr>
        <w:t xml:space="preserve">2.3 Prophet for High-Frequency Data</w:t>
      </w:r>
    </w:p>
    <w:p>
      <w:pPr>
        <w:spacing w:after="80" w:before="80"/>
        <w:jc w:val="both"/>
      </w:pPr>
      <w:r>
        <w:rPr>
          <w:rFonts w:ascii="Arial" w:cs="Arial" w:eastAsia="Arial" w:hAnsi="Arial"/>
          <w:sz w:val="22"/>
          <w:szCs w:val="22"/>
        </w:rPr>
        <w:t xml:space="preserve">Facebook Prophet, while highly effective for business forecasting at daily or weekly granularity, has documented limitations with sub-hourly data. Its additive decomposition framework struggles with the sharp zero-inflated patterns characteristic of services with defined operating hours. This finding is consistent with our empirical results, where Prophet achieved substantially higher error rates than all machine learning approaches regardless of resampling strategy.</w:t>
      </w:r>
    </w:p>
    <w:p>
      <w:r>
        <w:br w:type="page"/>
      </w:r>
    </w:p>
    <w:p>
      <w:pPr>
        <w:pStyle w:val="Heading1"/>
        <w:spacing w:after="120" w:before="360"/>
      </w:pPr>
      <w:r>
        <w:rPr>
          <w:rFonts w:ascii="Arial" w:cs="Arial" w:eastAsia="Arial" w:hAnsi="Arial"/>
          <w:b/>
          <w:bCs/>
          <w:color w:val="1F4E79"/>
          <w:sz w:val="32"/>
          <w:szCs w:val="32"/>
        </w:rPr>
        <w:t xml:space="preserve">3. Dataset and Exploratory Data Analysis</w:t>
      </w:r>
    </w:p>
    <w:p>
      <w:pPr>
        <w:pStyle w:val="Heading2"/>
        <w:spacing w:after="80" w:before="240"/>
      </w:pPr>
      <w:r>
        <w:rPr>
          <w:rFonts w:ascii="Arial" w:cs="Arial" w:eastAsia="Arial" w:hAnsi="Arial"/>
          <w:b/>
          <w:bCs/>
          <w:color w:val="2E75B6"/>
          <w:sz w:val="26"/>
          <w:szCs w:val="26"/>
        </w:rPr>
        <w:t xml:space="preserve">3.1 Dataset Description</w:t>
      </w:r>
    </w:p>
    <w:p>
      <w:pPr>
        <w:spacing w:after="80" w:before="80"/>
        <w:jc w:val="both"/>
      </w:pPr>
      <w:r>
        <w:rPr>
          <w:rFonts w:ascii="Arial" w:cs="Arial" w:eastAsia="Arial" w:hAnsi="Arial"/>
          <w:sz w:val="22"/>
          <w:szCs w:val="22"/>
        </w:rPr>
        <w:t xml:space="preserve">The dataset comprises ferry ticket transaction records collected at 15-minute intervals from Toronto Island Park ferry operations. The full dataset spans May 16, 2015 to December 21, 2025, representing approximately 10.6 years of continuous operations. Each record captures three fields: a UTC timestamp, a sales count (tickets purchased in the interval), and a redemption count (passengers boarding in the interval).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Time Period</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May 2015 — December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Interval Frequency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 minutes</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Total Records (post-engineering)</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~350,000+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Target Variables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Sales Count, Redemption Count</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Missing Intervals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None detected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Feature Count (engineered)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3.2 Key EDA Findings</w:t>
      </w:r>
    </w:p>
    <w:p>
      <w:pPr>
        <w:spacing w:after="60" w:before="180"/>
      </w:pPr>
      <w:r>
        <w:rPr>
          <w:rFonts w:ascii="Arial" w:cs="Arial" w:eastAsia="Arial" w:hAnsi="Arial"/>
          <w:b/>
          <w:bCs/>
          <w:color w:val="404040"/>
          <w:sz w:val="24"/>
          <w:szCs w:val="24"/>
        </w:rPr>
        <w:t xml:space="preserve">3.2.1 Temporal Demand Patterns</w:t>
      </w:r>
    </w:p>
    <w:p>
      <w:pPr>
        <w:spacing w:after="80" w:before="80"/>
        <w:jc w:val="both"/>
      </w:pPr>
      <w:r>
        <w:rPr>
          <w:rFonts w:ascii="Arial" w:cs="Arial" w:eastAsia="Arial" w:hAnsi="Arial"/>
          <w:sz w:val="22"/>
          <w:szCs w:val="22"/>
        </w:rPr>
        <w:t xml:space="preserve">Analysis of hourly averages reveals a pronounced bimodal demand pattern. Ticket sales peak between 10:00 and 14:00 as visitors depart for the island, with a secondary peak between 16:00 and 18:00 corresponding to return trips. Demand drops sharply outside operating hours, creating a zero-inflated distribution that challenges both classical statistical models and percentage-based error metrics.</w:t>
      </w:r>
    </w:p>
    <w:p>
      <w:pPr>
        <w:spacing w:after="60" w:before="180"/>
      </w:pPr>
      <w:r>
        <w:rPr>
          <w:rFonts w:ascii="Arial" w:cs="Arial" w:eastAsia="Arial" w:hAnsi="Arial"/>
          <w:b/>
          <w:bCs/>
          <w:color w:val="404040"/>
          <w:sz w:val="24"/>
          <w:szCs w:val="24"/>
        </w:rPr>
        <w:t xml:space="preserve">3.2.2 Weekly Seasonality</w:t>
      </w:r>
    </w:p>
    <w:p>
      <w:pPr>
        <w:spacing w:after="80" w:before="80"/>
        <w:jc w:val="both"/>
      </w:pPr>
      <w:r>
        <w:rPr>
          <w:rFonts w:ascii="Arial" w:cs="Arial" w:eastAsia="Arial" w:hAnsi="Arial"/>
          <w:sz w:val="22"/>
          <w:szCs w:val="22"/>
        </w:rPr>
        <w:t xml:space="preserve">Weekend demand consistently exceeds weekday demand by a factor of 2 to 4 across all operating hours. Saturday and Sunday between 11:00 and 15:00 represent the highest-demand windows in the dataset. This weekly pattern is highly consistent across years, making it a strong predictive signal.</w:t>
      </w:r>
    </w:p>
    <w:p>
      <w:pPr>
        <w:spacing w:after="60" w:before="180"/>
      </w:pPr>
      <w:r>
        <w:rPr>
          <w:rFonts w:ascii="Arial" w:cs="Arial" w:eastAsia="Arial" w:hAnsi="Arial"/>
          <w:b/>
          <w:bCs/>
          <w:color w:val="404040"/>
          <w:sz w:val="24"/>
          <w:szCs w:val="24"/>
        </w:rPr>
        <w:t xml:space="preserve">3.2.3 Annual Seasonality</w:t>
      </w:r>
    </w:p>
    <w:p>
      <w:pPr>
        <w:spacing w:after="80" w:before="80"/>
        <w:jc w:val="both"/>
      </w:pPr>
      <w:r>
        <w:rPr>
          <w:rFonts w:ascii="Arial" w:cs="Arial" w:eastAsia="Arial" w:hAnsi="Arial"/>
          <w:sz w:val="22"/>
          <w:szCs w:val="22"/>
        </w:rPr>
        <w:t xml:space="preserve">Strong yearly seasonality is evident, with summer months (June through August) accounting for a disproportionate share of annual ticket volume. Winter months show minimal demand, with many days exhibiting near-zero transaction counts. This strong annual cycle motivates the inclusion of month-based cyclical encodings in the feature set.</w:t>
      </w:r>
    </w:p>
    <w:p>
      <w:pPr>
        <w:spacing w:after="60" w:before="180"/>
      </w:pPr>
      <w:r>
        <w:rPr>
          <w:rFonts w:ascii="Arial" w:cs="Arial" w:eastAsia="Arial" w:hAnsi="Arial"/>
          <w:b/>
          <w:bCs/>
          <w:color w:val="404040"/>
          <w:sz w:val="24"/>
          <w:szCs w:val="24"/>
        </w:rPr>
        <w:t xml:space="preserve">3.2.4 Data Quality</w:t>
      </w:r>
    </w:p>
    <w:p>
      <w:pPr>
        <w:spacing w:after="80" w:before="80"/>
        <w:jc w:val="both"/>
      </w:pPr>
      <w:r>
        <w:rPr>
          <w:rFonts w:ascii="Arial" w:cs="Arial" w:eastAsia="Arial" w:hAnsi="Arial"/>
          <w:sz w:val="22"/>
          <w:szCs w:val="22"/>
        </w:rPr>
        <w:t xml:space="preserve">No missing 15-minute intervals were detected in the dataset, which is exceptional for a 10-year operational record. No imputation or interval reconstruction was required. A small proportion of intervals show zero values during operating hours, likely attributable to system downtime or weather-related closures.</w:t>
      </w:r>
    </w:p>
    <w:p>
      <w:r>
        <w:br w:type="page"/>
      </w:r>
    </w:p>
    <w:p>
      <w:pPr>
        <w:pStyle w:val="Heading1"/>
        <w:spacing w:after="120" w:before="360"/>
      </w:pPr>
      <w:r>
        <w:rPr>
          <w:rFonts w:ascii="Arial" w:cs="Arial" w:eastAsia="Arial" w:hAnsi="Arial"/>
          <w:b/>
          <w:bCs/>
          <w:color w:val="1F4E79"/>
          <w:sz w:val="32"/>
          <w:szCs w:val="32"/>
        </w:rPr>
        <w:t xml:space="preserve">4. Methodology</w:t>
      </w:r>
    </w:p>
    <w:p>
      <w:pPr>
        <w:pStyle w:val="Heading2"/>
        <w:spacing w:after="80" w:before="240"/>
      </w:pPr>
      <w:r>
        <w:rPr>
          <w:rFonts w:ascii="Arial" w:cs="Arial" w:eastAsia="Arial" w:hAnsi="Arial"/>
          <w:b/>
          <w:bCs/>
          <w:color w:val="2E75B6"/>
          <w:sz w:val="26"/>
          <w:szCs w:val="26"/>
        </w:rPr>
        <w:t xml:space="preserve">4.1 Data Preprocessing</w:t>
      </w:r>
    </w:p>
    <w:p>
      <w:pPr>
        <w:spacing w:after="80" w:before="80"/>
        <w:jc w:val="both"/>
      </w:pPr>
      <w:r>
        <w:rPr>
          <w:rFonts w:ascii="Arial" w:cs="Arial" w:eastAsia="Arial" w:hAnsi="Arial"/>
          <w:sz w:val="22"/>
          <w:szCs w:val="22"/>
        </w:rPr>
        <w:t xml:space="preserve">Timestamps were parsed to datetime objects and the dataset sorted in ascending chronological order. The target variables (sales, redemptions) were confirmed to have no null values. Temporal attributes including hour of day, day of week, month, quarter, and weekend indicator were extracted directly from timestamps.</w:t>
      </w:r>
    </w:p>
    <w:p>
      <w:pPr>
        <w:pStyle w:val="Heading2"/>
        <w:spacing w:after="80" w:before="240"/>
      </w:pPr>
      <w:r>
        <w:rPr>
          <w:rFonts w:ascii="Arial" w:cs="Arial" w:eastAsia="Arial" w:hAnsi="Arial"/>
          <w:b/>
          <w:bCs/>
          <w:color w:val="2E75B6"/>
          <w:sz w:val="26"/>
          <w:szCs w:val="26"/>
        </w:rPr>
        <w:t xml:space="preserve">4.2 Feature Engineering</w:t>
      </w:r>
    </w:p>
    <w:p>
      <w:pPr>
        <w:spacing w:after="80" w:before="80"/>
        <w:jc w:val="both"/>
      </w:pPr>
      <w:r>
        <w:rPr>
          <w:rFonts w:ascii="Arial" w:cs="Arial" w:eastAsia="Arial" w:hAnsi="Arial"/>
          <w:sz w:val="22"/>
          <w:szCs w:val="22"/>
        </w:rPr>
        <w:t xml:space="preserve">The core modeling strategy treats demand forecasting as a supervised regression problem. Raw time-series data is transformed into a tabular feature matrix through systematic lag and rolling window extraction.</w:t>
      </w:r>
    </w:p>
    <w:p>
      <w:pPr>
        <w:spacing w:after="60" w:before="180"/>
      </w:pPr>
      <w:r>
        <w:rPr>
          <w:rFonts w:ascii="Arial" w:cs="Arial" w:eastAsia="Arial" w:hAnsi="Arial"/>
          <w:b/>
          <w:bCs/>
          <w:color w:val="404040"/>
          <w:sz w:val="24"/>
          <w:szCs w:val="24"/>
        </w:rPr>
        <w:t xml:space="preserve">4.2.1 Lag Features</w:t>
      </w:r>
    </w:p>
    <w:p>
      <w:pPr>
        <w:spacing w:after="80" w:before="80"/>
        <w:jc w:val="both"/>
      </w:pPr>
      <w:r>
        <w:rPr>
          <w:rFonts w:ascii="Arial" w:cs="Arial" w:eastAsia="Arial" w:hAnsi="Arial"/>
          <w:sz w:val="22"/>
          <w:szCs w:val="22"/>
        </w:rPr>
        <w:t xml:space="preserve">Autoregressive lag features were created for both target variables at intervals representing 15 minutes (lag 1), 30 minutes (lag 2), 1 hour (lag 4), 2 hours (lag 8), 24 hours (lag 96), 48 hours (lag 192), and 7 days (lag 672). These capture short-term momentum, recent history, and same-time patterns from the prior day and week.</w:t>
      </w:r>
    </w:p>
    <w:p>
      <w:pPr>
        <w:spacing w:after="60" w:before="180"/>
      </w:pPr>
      <w:r>
        <w:rPr>
          <w:rFonts w:ascii="Arial" w:cs="Arial" w:eastAsia="Arial" w:hAnsi="Arial"/>
          <w:b/>
          <w:bCs/>
          <w:color w:val="404040"/>
          <w:sz w:val="24"/>
          <w:szCs w:val="24"/>
        </w:rPr>
        <w:t xml:space="preserve">4.2.2 Rolling Statistics</w:t>
      </w:r>
    </w:p>
    <w:p>
      <w:pPr>
        <w:spacing w:after="80" w:before="80"/>
        <w:jc w:val="both"/>
      </w:pPr>
      <w:r>
        <w:rPr>
          <w:rFonts w:ascii="Arial" w:cs="Arial" w:eastAsia="Arial" w:hAnsi="Arial"/>
          <w:sz w:val="22"/>
          <w:szCs w:val="22"/>
        </w:rPr>
        <w:t xml:space="preserve">Rolling mean and standard deviation features were computed over 1-hour (4 intervals), 2-hour (8 intervals), and 24-hour (96 intervals) windows with a one-step shift to prevent data leakage. Rolling statistics encode recent demand volatility and trend direction.</w:t>
      </w:r>
    </w:p>
    <w:p>
      <w:pPr>
        <w:spacing w:after="60" w:before="180"/>
      </w:pPr>
      <w:r>
        <w:rPr>
          <w:rFonts w:ascii="Arial" w:cs="Arial" w:eastAsia="Arial" w:hAnsi="Arial"/>
          <w:b/>
          <w:bCs/>
          <w:color w:val="404040"/>
          <w:sz w:val="24"/>
          <w:szCs w:val="24"/>
        </w:rPr>
        <w:t xml:space="preserve">4.2.3 Cyclical Temporal Encodings</w:t>
      </w:r>
    </w:p>
    <w:p>
      <w:pPr>
        <w:spacing w:after="80" w:before="80"/>
        <w:jc w:val="both"/>
      </w:pPr>
      <w:r>
        <w:rPr>
          <w:rFonts w:ascii="Arial" w:cs="Arial" w:eastAsia="Arial" w:hAnsi="Arial"/>
          <w:sz w:val="22"/>
          <w:szCs w:val="22"/>
        </w:rPr>
        <w:t xml:space="preserve">Hour of day, day of week, and month were encoded as sine-cosine pairs to preserve their cyclical continuity. This ensures the model treats 23:45 and 00:00 as temporally adjacent, and December and January as seasonally similar — relationships that integer encodings fail to capture.</w:t>
      </w:r>
    </w:p>
    <w:p>
      <w:pPr>
        <w:pStyle w:val="Heading2"/>
        <w:spacing w:after="80" w:before="240"/>
      </w:pPr>
      <w:r>
        <w:rPr>
          <w:rFonts w:ascii="Arial" w:cs="Arial" w:eastAsia="Arial" w:hAnsi="Arial"/>
          <w:b/>
          <w:bCs/>
          <w:color w:val="2E75B6"/>
          <w:sz w:val="26"/>
          <w:szCs w:val="26"/>
        </w:rPr>
        <w:t xml:space="preserve">4.3 Train-Test Split</w:t>
      </w:r>
    </w:p>
    <w:p>
      <w:pPr>
        <w:spacing w:after="80" w:before="80"/>
        <w:jc w:val="both"/>
      </w:pPr>
      <w:r>
        <w:rPr>
          <w:rFonts w:ascii="Arial" w:cs="Arial" w:eastAsia="Arial" w:hAnsi="Arial"/>
          <w:sz w:val="22"/>
          <w:szCs w:val="22"/>
        </w:rPr>
        <w:t xml:space="preserve">An 80/20 temporal split was applied, with the first 80% of chronologically ordered records used for training and the final 20% reserved for evaluation. Random splitting was explicitly avoided as it would allow future information to leak into training data, producing artificially optimistic performance estimates.</w:t>
      </w:r>
    </w:p>
    <w:p>
      <w:pPr>
        <w:pStyle w:val="Heading2"/>
        <w:spacing w:after="80" w:before="240"/>
      </w:pPr>
      <w:r>
        <w:rPr>
          <w:rFonts w:ascii="Arial" w:cs="Arial" w:eastAsia="Arial" w:hAnsi="Arial"/>
          <w:b/>
          <w:bCs/>
          <w:color w:val="2E75B6"/>
          <w:sz w:val="26"/>
          <w:szCs w:val="26"/>
        </w:rPr>
        <w:t xml:space="preserve">4.4 Models Evaluated</w:t>
      </w:r>
    </w:p>
    <w:p>
      <w:pPr>
        <w:spacing w:after="60" w:before="180"/>
      </w:pPr>
      <w:r>
        <w:rPr>
          <w:rFonts w:ascii="Arial" w:cs="Arial" w:eastAsia="Arial" w:hAnsi="Arial"/>
          <w:b/>
          <w:bCs/>
          <w:color w:val="404040"/>
          <w:sz w:val="24"/>
          <w:szCs w:val="24"/>
        </w:rPr>
        <w:t xml:space="preserve">4.4.1 Baseline Models</w:t>
      </w:r>
    </w:p>
    <w:p>
      <w:pPr>
        <w:spacing w:after="80" w:before="80"/>
        <w:jc w:val="both"/>
      </w:pPr>
      <w:r>
        <w:rPr>
          <w:rFonts w:ascii="Arial" w:cs="Arial" w:eastAsia="Arial" w:hAnsi="Arial"/>
          <w:sz w:val="22"/>
          <w:szCs w:val="22"/>
        </w:rPr>
        <w:t xml:space="preserve">Three baselines were implemented: (1) Naive forecast, which predicts the next interval value equal to the most recent observed value; (2) Moving Average forecast, averaging the previous four intervals; and (3) Linear Regression, trained on the full 35-feature matrix with StandardScaler normalization.</w:t>
      </w:r>
    </w:p>
    <w:p>
      <w:pPr>
        <w:spacing w:after="60" w:before="180"/>
      </w:pPr>
      <w:r>
        <w:rPr>
          <w:rFonts w:ascii="Arial" w:cs="Arial" w:eastAsia="Arial" w:hAnsi="Arial"/>
          <w:b/>
          <w:bCs/>
          <w:color w:val="404040"/>
          <w:sz w:val="24"/>
          <w:szCs w:val="24"/>
        </w:rPr>
        <w:t xml:space="preserve">4.4.2 Machine Learning Models</w:t>
      </w:r>
    </w:p>
    <w:p>
      <w:pPr>
        <w:spacing w:after="80" w:before="80"/>
        <w:jc w:val="both"/>
      </w:pPr>
      <w:r>
        <w:rPr>
          <w:rFonts w:ascii="Arial" w:cs="Arial" w:eastAsia="Arial" w:hAnsi="Arial"/>
          <w:sz w:val="22"/>
          <w:szCs w:val="22"/>
        </w:rPr>
        <w:t xml:space="preserve">Three ensemble tree models were trained: Random Forest (200 estimators, max depth 10), Gradient Boosting (300 estimators, learning rate 0.05, max depth 5), and XGBoost (500 estimators, learning rate 0.05, max depth 6, with L1/L2 regularization). All models were trained directly on raw feature values without scaling, as tree-based methods are scale-invariant.</w:t>
      </w:r>
    </w:p>
    <w:p>
      <w:pPr>
        <w:spacing w:after="60" w:before="180"/>
      </w:pPr>
      <w:r>
        <w:rPr>
          <w:rFonts w:ascii="Arial" w:cs="Arial" w:eastAsia="Arial" w:hAnsi="Arial"/>
          <w:b/>
          <w:bCs/>
          <w:color w:val="404040"/>
          <w:sz w:val="24"/>
          <w:szCs w:val="24"/>
        </w:rPr>
        <w:t xml:space="preserve">4.4.3 Time-Series Model</w:t>
      </w:r>
    </w:p>
    <w:p>
      <w:pPr>
        <w:spacing w:after="80" w:before="80"/>
        <w:jc w:val="both"/>
      </w:pPr>
      <w:r>
        <w:rPr>
          <w:rFonts w:ascii="Arial" w:cs="Arial" w:eastAsia="Arial" w:hAnsi="Arial"/>
          <w:sz w:val="22"/>
          <w:szCs w:val="22"/>
        </w:rPr>
        <w:t xml:space="preserve">Facebook Prophet was evaluated in two configurations: (1) at native 15-minute frequency with full seasonality flags, and (2) resampled to hourly granularity with daily, weekly, and yearly seasonality enabled. Both configurations were evaluated against held-out test data.</w:t>
      </w:r>
    </w:p>
    <w:p>
      <w:pPr>
        <w:pStyle w:val="Heading2"/>
        <w:spacing w:after="80" w:before="240"/>
      </w:pPr>
      <w:r>
        <w:rPr>
          <w:rFonts w:ascii="Arial" w:cs="Arial" w:eastAsia="Arial" w:hAnsi="Arial"/>
          <w:b/>
          <w:bCs/>
          <w:color w:val="2E75B6"/>
          <w:sz w:val="26"/>
          <w:szCs w:val="26"/>
        </w:rPr>
        <w:t xml:space="preserve">4.5 Evaluation Metrics</w:t>
      </w:r>
    </w:p>
    <w:p>
      <w:pPr>
        <w:spacing w:after="80" w:before="80"/>
        <w:jc w:val="both"/>
      </w:pPr>
      <w:r>
        <w:rPr>
          <w:rFonts w:ascii="Arial" w:cs="Arial" w:eastAsia="Arial" w:hAnsi="Arial"/>
          <w:sz w:val="22"/>
          <w:szCs w:val="22"/>
        </w:rPr>
        <w:t xml:space="preserve">Models were evaluated using Mean Absolute Error (MAE), Root Mean Squared Error (RMSE), and Mean Absolute Percentage Error (MAPE). MAPE was computed exclusively on non-zero actual values to avoid division-by-zero inflation. Horizon-wise error analysis was performed for lead times of 15, 30, 60, and 120 minutes.</w:t>
      </w:r>
    </w:p>
    <w:p>
      <w:r>
        <w:br w:type="page"/>
      </w:r>
    </w:p>
    <w:p>
      <w:pPr>
        <w:pStyle w:val="Heading1"/>
        <w:spacing w:after="120" w:before="360"/>
      </w:pPr>
      <w:r>
        <w:rPr>
          <w:rFonts w:ascii="Arial" w:cs="Arial" w:eastAsia="Arial" w:hAnsi="Arial"/>
          <w:b/>
          <w:bCs/>
          <w:color w:val="1F4E79"/>
          <w:sz w:val="32"/>
          <w:szCs w:val="32"/>
        </w:rPr>
        <w:t xml:space="preserve">5. Results</w:t>
      </w:r>
    </w:p>
    <w:p>
      <w:pPr>
        <w:pStyle w:val="Heading2"/>
        <w:spacing w:after="80" w:before="240"/>
      </w:pPr>
      <w:r>
        <w:rPr>
          <w:rFonts w:ascii="Arial" w:cs="Arial" w:eastAsia="Arial" w:hAnsi="Arial"/>
          <w:b/>
          <w:bCs/>
          <w:color w:val="2E75B6"/>
          <w:sz w:val="26"/>
          <w:szCs w:val="26"/>
        </w:rPr>
        <w:t xml:space="preserve">5.1 Model Performance Comparison</w:t>
      </w:r>
    </w:p>
    <w:p>
      <w:pPr>
        <w:spacing w:after="80" w:before="80"/>
        <w:jc w:val="both"/>
      </w:pPr>
      <w:r>
        <w:rPr>
          <w:rFonts w:ascii="Arial" w:cs="Arial" w:eastAsia="Arial" w:hAnsi="Arial"/>
          <w:sz w:val="22"/>
          <w:szCs w:val="22"/>
        </w:rPr>
        <w:t xml:space="preserve">Table 2 presents the evaluation results for all seven models on the held-out test set for ticket sales forecasting. Gradient Boosting achieved the best overall performance, with the lowest MAE of 17.118, outperforming all baseline and time-series approaches.</w:t>
      </w:r>
    </w:p>
    <w:p>
      <w:pPr>
        <w:spacing w:after="120" w:before="120"/>
      </w:pPr>
      <w:r>
        <w:t xml:space="preserve"/>
      </w:r>
    </w:p>
    <w:p>
      <w:pPr>
        <w:spacing w:after="80" w:before="80"/>
        <w:jc w:val="center"/>
      </w:pPr>
      <w:r>
        <w:rPr>
          <w:rFonts w:ascii="Arial" w:cs="Arial" w:eastAsia="Arial" w:hAnsi="Arial"/>
          <w:b/>
          <w:bCs/>
          <w:i/>
          <w:iCs/>
          <w:sz w:val="22"/>
          <w:szCs w:val="22"/>
        </w:rPr>
        <w:t xml:space="preserve">Table 2: Model Performance Comparison — Ticket Sales Forecasting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1040"/>
        <w:gridCol w:w="1040"/>
        <w:gridCol w:w="1080"/>
      </w:tblGrid>
      <w:tr>
        <w:trPr>
          <w:tblHeader/>
        </w:trPr>
        <w:tc>
          <w:tcPr>
            <w:tcW w:type="dxa" w:w="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0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10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w:t>
            </w:r>
          </w:p>
        </w:tc>
        <w:tc>
          <w:tcPr>
            <w:tcW w:type="dxa" w:w="10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MAPE (%)</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Gradient Boosting</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ML</w:t>
            </w:r>
          </w:p>
        </w:tc>
        <w:tc>
          <w:tcPr>
            <w:tcW w:type="dxa" w:w="1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17.118</w:t>
            </w:r>
          </w:p>
        </w:tc>
        <w:tc>
          <w:tcPr>
            <w:tcW w:type="dxa" w:w="1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63.005</w:t>
            </w:r>
          </w:p>
        </w:tc>
        <w:tc>
          <w:tcPr>
            <w:tcW w:type="dxa" w:w="1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116.32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ML</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17.347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62.952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120.19</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ML</w:t>
            </w:r>
          </w:p>
        </w:tc>
        <w:tc>
          <w:tcPr>
            <w:tcW w:type="dxa" w:w="1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17.490</w:t>
            </w:r>
          </w:p>
        </w:tc>
        <w:tc>
          <w:tcPr>
            <w:tcW w:type="dxa" w:w="1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63.706</w:t>
            </w:r>
          </w:p>
        </w:tc>
        <w:tc>
          <w:tcPr>
            <w:tcW w:type="dxa" w:w="1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119.13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Linear Regression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Baseline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18.049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63.311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136.31</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Moving Average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Baseline</w:t>
            </w:r>
          </w:p>
        </w:tc>
        <w:tc>
          <w:tcPr>
            <w:tcW w:type="dxa" w:w="1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19.521</w:t>
            </w:r>
          </w:p>
        </w:tc>
        <w:tc>
          <w:tcPr>
            <w:tcW w:type="dxa" w:w="1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69.836</w:t>
            </w:r>
          </w:p>
        </w:tc>
        <w:tc>
          <w:tcPr>
            <w:tcW w:type="dxa" w:w="1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115.89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Naive Forecast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Baseline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21.450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86.374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128.17</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Prophet (15-min)</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Time-Series</w:t>
            </w:r>
          </w:p>
        </w:tc>
        <w:tc>
          <w:tcPr>
            <w:tcW w:type="dxa" w:w="1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67.700</w:t>
            </w:r>
          </w:p>
        </w:tc>
        <w:tc>
          <w:tcPr>
            <w:tcW w:type="dxa" w:w="1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116.801</w:t>
            </w:r>
          </w:p>
        </w:tc>
        <w:tc>
          <w:tcPr>
            <w:tcW w:type="dxa" w:w="1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sz w:val="20"/>
                <w:szCs w:val="20"/>
              </w:rPr>
              <w:t xml:space="preserve">765.42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Prophet (Hourly)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Time-Series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129.039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227.390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776.09</w:t>
            </w:r>
          </w:p>
        </w:tc>
      </w:tr>
    </w:tbl>
    <w:p>
      <w:pPr>
        <w:spacing w:after="120" w:before="120"/>
      </w:pPr>
      <w:r>
        <w:t xml:space="preserve"/>
      </w:r>
    </w:p>
    <w:p>
      <w:pPr>
        <w:pStyle w:val="Heading2"/>
        <w:spacing w:after="80" w:before="240"/>
      </w:pPr>
      <w:r>
        <w:rPr>
          <w:rFonts w:ascii="Arial" w:cs="Arial" w:eastAsia="Arial" w:hAnsi="Arial"/>
          <w:b/>
          <w:bCs/>
          <w:color w:val="2E75B6"/>
          <w:sz w:val="26"/>
          <w:szCs w:val="26"/>
        </w:rPr>
        <w:t xml:space="preserve">5.2 Key Findings</w:t>
      </w:r>
    </w:p>
    <w:p>
      <w:pPr>
        <w:spacing w:after="60" w:before="180"/>
      </w:pPr>
      <w:r>
        <w:rPr>
          <w:rFonts w:ascii="Arial" w:cs="Arial" w:eastAsia="Arial" w:hAnsi="Arial"/>
          <w:b/>
          <w:bCs/>
          <w:color w:val="404040"/>
          <w:sz w:val="24"/>
          <w:szCs w:val="24"/>
        </w:rPr>
        <w:t xml:space="preserve">5.2.1 ML Models Outperform Baselines</w:t>
      </w:r>
    </w:p>
    <w:p>
      <w:pPr>
        <w:spacing w:after="80" w:before="80"/>
        <w:jc w:val="both"/>
      </w:pPr>
      <w:r>
        <w:rPr>
          <w:rFonts w:ascii="Arial" w:cs="Arial" w:eastAsia="Arial" w:hAnsi="Arial"/>
          <w:sz w:val="22"/>
          <w:szCs w:val="22"/>
        </w:rPr>
        <w:t xml:space="preserve">Gradient Boosting reduced MAE by 20.2% compared to the Naive forecast and by 5.2% compared to Linear Regression. While the absolute improvement over Linear Regression is modest (0.93 MAE units), it is consistent across all three ML models, confirming that non-linear feature interactions contribute meaningful predictive signal beyond what linear combinations can capture.</w:t>
      </w:r>
    </w:p>
    <w:p>
      <w:pPr>
        <w:spacing w:after="60" w:before="180"/>
      </w:pPr>
      <w:r>
        <w:rPr>
          <w:rFonts w:ascii="Arial" w:cs="Arial" w:eastAsia="Arial" w:hAnsi="Arial"/>
          <w:b/>
          <w:bCs/>
          <w:color w:val="404040"/>
          <w:sz w:val="24"/>
          <w:szCs w:val="24"/>
        </w:rPr>
        <w:t xml:space="preserve">5.2.2 Prophet Underperforms Significantly</w:t>
      </w:r>
    </w:p>
    <w:p>
      <w:pPr>
        <w:spacing w:after="80" w:before="80"/>
        <w:jc w:val="both"/>
      </w:pPr>
      <w:r>
        <w:rPr>
          <w:rFonts w:ascii="Arial" w:cs="Arial" w:eastAsia="Arial" w:hAnsi="Arial"/>
          <w:sz w:val="22"/>
          <w:szCs w:val="22"/>
        </w:rPr>
        <w:t xml:space="preserve">Both Prophet configurations produced substantially higher errors than all other models. The 15-minute configuration yielded an MAE of 67.700 — nearly four times the gradient boosting error. Resampling to hourly granularity did not improve performance, with the hourly configuration producing the worst results overall (MAE 129.039). This is attributed to Prophet's smooth additive decomposition framework being incompatible with the sharp, zero-inflated demand spikes characteristic of recreational ferry services.</w:t>
      </w:r>
    </w:p>
    <w:p>
      <w:pPr>
        <w:spacing w:after="60" w:before="180"/>
      </w:pPr>
      <w:r>
        <w:rPr>
          <w:rFonts w:ascii="Arial" w:cs="Arial" w:eastAsia="Arial" w:hAnsi="Arial"/>
          <w:b/>
          <w:bCs/>
          <w:color w:val="404040"/>
          <w:sz w:val="24"/>
          <w:szCs w:val="24"/>
        </w:rPr>
        <w:t xml:space="preserve">5.2.3 High MAPE Across All Models</w:t>
      </w:r>
    </w:p>
    <w:p>
      <w:pPr>
        <w:spacing w:after="80" w:before="80"/>
        <w:jc w:val="both"/>
      </w:pPr>
      <w:r>
        <w:rPr>
          <w:rFonts w:ascii="Arial" w:cs="Arial" w:eastAsia="Arial" w:hAnsi="Arial"/>
          <w:sz w:val="22"/>
          <w:szCs w:val="22"/>
        </w:rPr>
        <w:t xml:space="preserve">All models exhibit high MAPE values (115-136% for ML/baseline models). This is a known artifact of the metric when applied to zero-inflated data. Near-zero intervals during non-operating hours produce extreme percentage errors even for small absolute deviations. MAPE is therefore considered an unreliable performance indicator for this dataset; MAE and RMSE are the primary evaluation metrics.</w:t>
      </w:r>
    </w:p>
    <w:p>
      <w:pPr>
        <w:spacing w:after="60" w:before="180"/>
      </w:pPr>
      <w:r>
        <w:rPr>
          <w:rFonts w:ascii="Arial" w:cs="Arial" w:eastAsia="Arial" w:hAnsi="Arial"/>
          <w:b/>
          <w:bCs/>
          <w:color w:val="404040"/>
          <w:sz w:val="24"/>
          <w:szCs w:val="24"/>
        </w:rPr>
        <w:t xml:space="preserve">5.2.4 Feature Importance</w:t>
      </w:r>
    </w:p>
    <w:p>
      <w:pPr>
        <w:spacing w:after="80" w:before="80"/>
        <w:jc w:val="both"/>
      </w:pPr>
      <w:r>
        <w:rPr>
          <w:rFonts w:ascii="Arial" w:cs="Arial" w:eastAsia="Arial" w:hAnsi="Arial"/>
          <w:sz w:val="22"/>
          <w:szCs w:val="22"/>
        </w:rPr>
        <w:t xml:space="preserve">XGBoost feature importance analysis identified recent lag features (sales_lag_1, sales_lag_2, sales_lag_4) as the most influential predictors, confirming strong short-term autocorrelation in demand. The 24-hour lag (sales_lag_96) and 7-day lag (sales_lag_672) also ranked highly, reflecting the importance of same-time-yesterday and same-time-last-week patterns. Cyclical hour encodings (hour_sin, hour_cos) outranked raw hour-of-day features, validating the encoding strategy.</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6. Streamlit Dashboard</w:t>
      </w:r>
    </w:p>
    <w:p>
      <w:pPr>
        <w:pStyle w:val="Heading2"/>
        <w:spacing w:after="80" w:before="240"/>
      </w:pPr>
      <w:r>
        <w:rPr>
          <w:rFonts w:ascii="Arial" w:cs="Arial" w:eastAsia="Arial" w:hAnsi="Arial"/>
          <w:b/>
          <w:bCs/>
          <w:color w:val="2E75B6"/>
          <w:sz w:val="26"/>
          <w:szCs w:val="26"/>
        </w:rPr>
        <w:t xml:space="preserve">6.1 Overview</w:t>
      </w:r>
    </w:p>
    <w:p>
      <w:pPr>
        <w:spacing w:after="80" w:before="80"/>
        <w:jc w:val="both"/>
      </w:pPr>
      <w:r>
        <w:rPr>
          <w:rFonts w:ascii="Arial" w:cs="Arial" w:eastAsia="Arial" w:hAnsi="Arial"/>
          <w:sz w:val="22"/>
          <w:szCs w:val="22"/>
        </w:rPr>
        <w:t xml:space="preserve">A production Streamlit dashboard was developed and deployed to Streamlit Cloud, providing operational staff and stakeholders with interactive access to model forecasts. The dashboard is accessible at: https://ferry-forecast-jebktrxr9arffoh6ltsbiy.streamlit.app/</w:t>
      </w:r>
    </w:p>
    <w:p>
      <w:pPr>
        <w:pStyle w:val="Heading2"/>
        <w:spacing w:after="80" w:before="240"/>
      </w:pPr>
      <w:r>
        <w:rPr>
          <w:rFonts w:ascii="Arial" w:cs="Arial" w:eastAsia="Arial" w:hAnsi="Arial"/>
          <w:b/>
          <w:bCs/>
          <w:color w:val="2E75B6"/>
          <w:sz w:val="26"/>
          <w:szCs w:val="26"/>
        </w:rPr>
        <w:t xml:space="preserve">6.2 Features</w:t>
      </w:r>
    </w:p>
    <w:p>
      <w:pPr>
        <w:pStyle w:val="ListParagraph"/>
        <w:numPr>
          <w:ilvl w:val="0"/>
          <w:numId w:val="2"/>
        </w:numPr>
        <w:spacing w:after="40" w:before="40"/>
      </w:pPr>
      <w:r>
        <w:rPr>
          <w:rFonts w:ascii="Arial" w:cs="Arial" w:eastAsia="Arial" w:hAnsi="Arial"/>
          <w:sz w:val="22"/>
          <w:szCs w:val="22"/>
        </w:rPr>
        <w:t xml:space="preserve">Model selector: Switch between Gradient Boosting, Random Forest, and XGBoost forecasts</w:t>
      </w:r>
    </w:p>
    <w:p>
      <w:pPr>
        <w:pStyle w:val="ListParagraph"/>
        <w:numPr>
          <w:ilvl w:val="0"/>
          <w:numId w:val="2"/>
        </w:numPr>
        <w:spacing w:after="40" w:before="40"/>
      </w:pPr>
      <w:r>
        <w:rPr>
          <w:rFonts w:ascii="Arial" w:cs="Arial" w:eastAsia="Arial" w:hAnsi="Arial"/>
          <w:sz w:val="22"/>
          <w:szCs w:val="22"/>
        </w:rPr>
        <w:t xml:space="preserve">Horizon selector: Choose forecast lead time from 15 minutes to 2 hours</w:t>
      </w:r>
    </w:p>
    <w:p>
      <w:pPr>
        <w:pStyle w:val="ListParagraph"/>
        <w:numPr>
          <w:ilvl w:val="0"/>
          <w:numId w:val="2"/>
        </w:numPr>
        <w:spacing w:after="40" w:before="40"/>
      </w:pPr>
      <w:r>
        <w:rPr>
          <w:rFonts w:ascii="Arial" w:cs="Arial" w:eastAsia="Arial" w:hAnsi="Arial"/>
          <w:sz w:val="22"/>
          <w:szCs w:val="22"/>
        </w:rPr>
        <w:t xml:space="preserve">Target selector: Toggle between Sales and Redemptions forecasting</w:t>
      </w:r>
    </w:p>
    <w:p>
      <w:pPr>
        <w:pStyle w:val="ListParagraph"/>
        <w:numPr>
          <w:ilvl w:val="0"/>
          <w:numId w:val="2"/>
        </w:numPr>
        <w:spacing w:after="40" w:before="40"/>
      </w:pPr>
      <w:r>
        <w:rPr>
          <w:rFonts w:ascii="Arial" w:cs="Arial" w:eastAsia="Arial" w:hAnsi="Arial"/>
          <w:sz w:val="22"/>
          <w:szCs w:val="22"/>
        </w:rPr>
        <w:t xml:space="preserve">Date picker: Inspect any historical date within the 2015-2025 range</w:t>
      </w:r>
    </w:p>
    <w:p>
      <w:pPr>
        <w:pStyle w:val="ListParagraph"/>
        <w:numPr>
          <w:ilvl w:val="0"/>
          <w:numId w:val="2"/>
        </w:numPr>
        <w:spacing w:after="40" w:before="40"/>
      </w:pPr>
      <w:r>
        <w:rPr>
          <w:rFonts w:ascii="Arial" w:cs="Arial" w:eastAsia="Arial" w:hAnsi="Arial"/>
          <w:sz w:val="22"/>
          <w:szCs w:val="22"/>
        </w:rPr>
        <w:t xml:space="preserve">KPI cards: Daily total sales, total boardings, peak sales count, and peak hour</w:t>
      </w:r>
    </w:p>
    <w:p>
      <w:pPr>
        <w:pStyle w:val="ListParagraph"/>
        <w:numPr>
          <w:ilvl w:val="0"/>
          <w:numId w:val="2"/>
        </w:numPr>
        <w:spacing w:after="40" w:before="40"/>
      </w:pPr>
      <w:r>
        <w:rPr>
          <w:rFonts w:ascii="Arial" w:cs="Arial" w:eastAsia="Arial" w:hAnsi="Arial"/>
          <w:sz w:val="22"/>
          <w:szCs w:val="22"/>
        </w:rPr>
        <w:t xml:space="preserve">Forecast chart: Plotly interactive visualization with confidence bands (±1 MAE)</w:t>
      </w:r>
    </w:p>
    <w:p>
      <w:pPr>
        <w:pStyle w:val="ListParagraph"/>
        <w:numPr>
          <w:ilvl w:val="0"/>
          <w:numId w:val="2"/>
        </w:numPr>
        <w:spacing w:after="40" w:before="40"/>
      </w:pPr>
      <w:r>
        <w:rPr>
          <w:rFonts w:ascii="Arial" w:cs="Arial" w:eastAsia="Arial" w:hAnsi="Arial"/>
          <w:sz w:val="22"/>
          <w:szCs w:val="22"/>
        </w:rPr>
        <w:t xml:space="preserve">Actuals vs Predicted tab: Day-level model evaluation with residual analysis</w:t>
      </w:r>
    </w:p>
    <w:p>
      <w:pPr>
        <w:pStyle w:val="ListParagraph"/>
        <w:numPr>
          <w:ilvl w:val="0"/>
          <w:numId w:val="2"/>
        </w:numPr>
        <w:spacing w:after="40" w:before="40"/>
      </w:pPr>
      <w:r>
        <w:rPr>
          <w:rFonts w:ascii="Arial" w:cs="Arial" w:eastAsia="Arial" w:hAnsi="Arial"/>
          <w:sz w:val="22"/>
          <w:szCs w:val="22"/>
        </w:rPr>
        <w:t xml:space="preserve">Model comparison tab: Side-by-side MAE and RMSE bar charts for all models</w:t>
      </w:r>
    </w:p>
    <w:p>
      <w:pPr>
        <w:pStyle w:val="Heading2"/>
        <w:spacing w:after="80" w:before="240"/>
      </w:pPr>
      <w:r>
        <w:rPr>
          <w:rFonts w:ascii="Arial" w:cs="Arial" w:eastAsia="Arial" w:hAnsi="Arial"/>
          <w:b/>
          <w:bCs/>
          <w:color w:val="2E75B6"/>
          <w:sz w:val="26"/>
          <w:szCs w:val="26"/>
        </w:rPr>
        <w:t xml:space="preserve">6.3 Deployment</w:t>
      </w:r>
    </w:p>
    <w:p>
      <w:pPr>
        <w:spacing w:after="80" w:before="80"/>
        <w:jc w:val="both"/>
      </w:pPr>
      <w:r>
        <w:rPr>
          <w:rFonts w:ascii="Arial" w:cs="Arial" w:eastAsia="Arial" w:hAnsi="Arial"/>
          <w:sz w:val="22"/>
          <w:szCs w:val="22"/>
        </w:rPr>
        <w:t xml:space="preserve">The application is deployed on Streamlit Community Cloud with a public URL. Pre-trained model artifacts (Gradient Boosting, Random Forest, XGBoost) are serialized using joblib and loaded at runtime via Streamlit caching to minimize response latency. The application requires no authentication and is accessible to all operational stakeholders.</w:t>
      </w:r>
    </w:p>
    <w:p>
      <w:r>
        <w:br w:type="page"/>
      </w:r>
    </w:p>
    <w:p>
      <w:pPr>
        <w:pStyle w:val="Heading1"/>
        <w:spacing w:after="120" w:before="360"/>
      </w:pPr>
      <w:r>
        <w:rPr>
          <w:rFonts w:ascii="Arial" w:cs="Arial" w:eastAsia="Arial" w:hAnsi="Arial"/>
          <w:b/>
          <w:bCs/>
          <w:color w:val="1F4E79"/>
          <w:sz w:val="32"/>
          <w:szCs w:val="32"/>
        </w:rPr>
        <w:t xml:space="preserve">7. Discussion</w:t>
      </w:r>
    </w:p>
    <w:p>
      <w:pPr>
        <w:pStyle w:val="Heading2"/>
        <w:spacing w:after="80" w:before="240"/>
      </w:pPr>
      <w:r>
        <w:rPr>
          <w:rFonts w:ascii="Arial" w:cs="Arial" w:eastAsia="Arial" w:hAnsi="Arial"/>
          <w:b/>
          <w:bCs/>
          <w:color w:val="2E75B6"/>
          <w:sz w:val="26"/>
          <w:szCs w:val="26"/>
        </w:rPr>
        <w:t xml:space="preserve">7.1 Why ML Outperforms Time-Series Models</w:t>
      </w:r>
    </w:p>
    <w:p>
      <w:pPr>
        <w:spacing w:after="80" w:before="80"/>
        <w:jc w:val="both"/>
      </w:pPr>
      <w:r>
        <w:rPr>
          <w:rFonts w:ascii="Arial" w:cs="Arial" w:eastAsia="Arial" w:hAnsi="Arial"/>
          <w:sz w:val="22"/>
          <w:szCs w:val="22"/>
        </w:rPr>
        <w:t xml:space="preserve">The core insight from this study is that short-term ferry demand forecasting is fundamentally a pattern recognition problem, not a decomposition problem. Gradient boosting with lag features implicitly learns daily and weekly seasonality through the training data, without requiring explicit parametric modeling of those cycles. When demand is non-stationary, non-linear, and zero-inflated — as is the case for recreational ferry services — the flexibility of tree ensemble methods provides a decisive advantage over the rigid structural assumptions of ARIMA and Prophet.</w:t>
      </w:r>
    </w:p>
    <w:p>
      <w:pPr>
        <w:pStyle w:val="Heading2"/>
        <w:spacing w:after="80" w:before="240"/>
      </w:pPr>
      <w:r>
        <w:rPr>
          <w:rFonts w:ascii="Arial" w:cs="Arial" w:eastAsia="Arial" w:hAnsi="Arial"/>
          <w:b/>
          <w:bCs/>
          <w:color w:val="2E75B6"/>
          <w:sz w:val="26"/>
          <w:szCs w:val="26"/>
        </w:rPr>
        <w:t xml:space="preserve">7.2 Practical Accuracy Interpretation</w:t>
      </w:r>
    </w:p>
    <w:p>
      <w:pPr>
        <w:spacing w:after="80" w:before="80"/>
        <w:jc w:val="both"/>
      </w:pPr>
      <w:r>
        <w:rPr>
          <w:rFonts w:ascii="Arial" w:cs="Arial" w:eastAsia="Arial" w:hAnsi="Arial"/>
          <w:sz w:val="22"/>
          <w:szCs w:val="22"/>
        </w:rPr>
        <w:t xml:space="preserve">An MAE of 17.118 means the best model is on average wrong by approximately 17 tickets per 15-minute interval. During peak operating hours when intervals may see 100-300 tickets, this represents a relative error of roughly 6-17%. For operational purposes, this level of accuracy is sufficient to support proactive dispatch decisions, particularly when combined with the upper confidence bound as a conservative planning estimate.</w:t>
      </w:r>
    </w:p>
    <w:p>
      <w:pPr>
        <w:pStyle w:val="Heading2"/>
        <w:spacing w:after="80" w:before="240"/>
      </w:pPr>
      <w:r>
        <w:rPr>
          <w:rFonts w:ascii="Arial" w:cs="Arial" w:eastAsia="Arial" w:hAnsi="Arial"/>
          <w:b/>
          <w:bCs/>
          <w:color w:val="2E75B6"/>
          <w:sz w:val="26"/>
          <w:szCs w:val="26"/>
        </w:rPr>
        <w:t xml:space="preserve">7.3 Limitations</w:t>
      </w:r>
    </w:p>
    <w:p>
      <w:pPr>
        <w:pStyle w:val="ListParagraph"/>
        <w:numPr>
          <w:ilvl w:val="0"/>
          <w:numId w:val="2"/>
        </w:numPr>
        <w:spacing w:after="40" w:before="40"/>
      </w:pPr>
      <w:r>
        <w:rPr>
          <w:rFonts w:ascii="Arial" w:cs="Arial" w:eastAsia="Arial" w:hAnsi="Arial"/>
          <w:sz w:val="22"/>
          <w:szCs w:val="22"/>
        </w:rPr>
        <w:t xml:space="preserve">The MAPE metric is unreliable for this dataset due to zero-inflated intervals; all MAPE comparisons should be interpreted cautiously.</w:t>
      </w:r>
    </w:p>
    <w:p>
      <w:pPr>
        <w:pStyle w:val="ListParagraph"/>
        <w:numPr>
          <w:ilvl w:val="0"/>
          <w:numId w:val="2"/>
        </w:numPr>
        <w:spacing w:after="40" w:before="40"/>
      </w:pPr>
      <w:r>
        <w:rPr>
          <w:rFonts w:ascii="Arial" w:cs="Arial" w:eastAsia="Arial" w:hAnsi="Arial"/>
          <w:sz w:val="22"/>
          <w:szCs w:val="22"/>
        </w:rPr>
        <w:t xml:space="preserve">Models were trained and evaluated on historical data only. Real-time deployment would require a live data pipeline for lag feature computation.</w:t>
      </w:r>
    </w:p>
    <w:p>
      <w:pPr>
        <w:pStyle w:val="ListParagraph"/>
        <w:numPr>
          <w:ilvl w:val="0"/>
          <w:numId w:val="2"/>
        </w:numPr>
        <w:spacing w:after="40" w:before="40"/>
      </w:pPr>
      <w:r>
        <w:rPr>
          <w:rFonts w:ascii="Arial" w:cs="Arial" w:eastAsia="Arial" w:hAnsi="Arial"/>
          <w:sz w:val="22"/>
          <w:szCs w:val="22"/>
        </w:rPr>
        <w:t xml:space="preserve">External demand drivers such as weather conditions, special events, and public holidays were not incorporated as features in the current model.</w:t>
      </w:r>
    </w:p>
    <w:p>
      <w:pPr>
        <w:pStyle w:val="ListParagraph"/>
        <w:numPr>
          <w:ilvl w:val="0"/>
          <w:numId w:val="2"/>
        </w:numPr>
        <w:spacing w:after="40" w:before="40"/>
      </w:pPr>
      <w:r>
        <w:rPr>
          <w:rFonts w:ascii="Arial" w:cs="Arial" w:eastAsia="Arial" w:hAnsi="Arial"/>
          <w:sz w:val="22"/>
          <w:szCs w:val="22"/>
        </w:rPr>
        <w:t xml:space="preserve">The confidence bands currently implemented (±1 MAE) are a simplified approximation; true probabilistic forecasting would require quantile regression or bootstrapped prediction intervals.</w:t>
      </w:r>
    </w:p>
    <w:p>
      <w:pPr>
        <w:pStyle w:val="Heading2"/>
        <w:spacing w:after="80" w:before="240"/>
      </w:pPr>
      <w:r>
        <w:rPr>
          <w:rFonts w:ascii="Arial" w:cs="Arial" w:eastAsia="Arial" w:hAnsi="Arial"/>
          <w:b/>
          <w:bCs/>
          <w:color w:val="2E75B6"/>
          <w:sz w:val="26"/>
          <w:szCs w:val="26"/>
        </w:rPr>
        <w:t xml:space="preserve">7.4 Future Work</w:t>
      </w:r>
    </w:p>
    <w:p>
      <w:pPr>
        <w:pStyle w:val="ListParagraph"/>
        <w:numPr>
          <w:ilvl w:val="0"/>
          <w:numId w:val="2"/>
        </w:numPr>
        <w:spacing w:after="40" w:before="40"/>
      </w:pPr>
      <w:r>
        <w:rPr>
          <w:rFonts w:ascii="Arial" w:cs="Arial" w:eastAsia="Arial" w:hAnsi="Arial"/>
          <w:sz w:val="22"/>
          <w:szCs w:val="22"/>
        </w:rPr>
        <w:t xml:space="preserve">Incorporate weather API data (temperature, precipitation, UV index) as real-time exogenous features.</w:t>
      </w:r>
    </w:p>
    <w:p>
      <w:pPr>
        <w:pStyle w:val="ListParagraph"/>
        <w:numPr>
          <w:ilvl w:val="0"/>
          <w:numId w:val="2"/>
        </w:numPr>
        <w:spacing w:after="40" w:before="40"/>
      </w:pPr>
      <w:r>
        <w:rPr>
          <w:rFonts w:ascii="Arial" w:cs="Arial" w:eastAsia="Arial" w:hAnsi="Arial"/>
          <w:sz w:val="22"/>
          <w:szCs w:val="22"/>
        </w:rPr>
        <w:t xml:space="preserve">Add statutory holiday and special event flags to capture demand anomalies.</w:t>
      </w:r>
    </w:p>
    <w:p>
      <w:pPr>
        <w:pStyle w:val="ListParagraph"/>
        <w:numPr>
          <w:ilvl w:val="0"/>
          <w:numId w:val="2"/>
        </w:numPr>
        <w:spacing w:after="40" w:before="40"/>
      </w:pPr>
      <w:r>
        <w:rPr>
          <w:rFonts w:ascii="Arial" w:cs="Arial" w:eastAsia="Arial" w:hAnsi="Arial"/>
          <w:sz w:val="22"/>
          <w:szCs w:val="22"/>
        </w:rPr>
        <w:t xml:space="preserve">Implement quantile regression forests for calibrated probabilistic forecasts.</w:t>
      </w:r>
    </w:p>
    <w:p>
      <w:pPr>
        <w:pStyle w:val="ListParagraph"/>
        <w:numPr>
          <w:ilvl w:val="0"/>
          <w:numId w:val="2"/>
        </w:numPr>
        <w:spacing w:after="40" w:before="40"/>
      </w:pPr>
      <w:r>
        <w:rPr>
          <w:rFonts w:ascii="Arial" w:cs="Arial" w:eastAsia="Arial" w:hAnsi="Arial"/>
          <w:sz w:val="22"/>
          <w:szCs w:val="22"/>
        </w:rPr>
        <w:t xml:space="preserve">Develop a live data ingestion pipeline to enable true real-time forecasting.</w:t>
      </w:r>
    </w:p>
    <w:p>
      <w:pPr>
        <w:pStyle w:val="ListParagraph"/>
        <w:numPr>
          <w:ilvl w:val="0"/>
          <w:numId w:val="2"/>
        </w:numPr>
        <w:spacing w:after="40" w:before="40"/>
      </w:pPr>
      <w:r>
        <w:rPr>
          <w:rFonts w:ascii="Arial" w:cs="Arial" w:eastAsia="Arial" w:hAnsi="Arial"/>
          <w:sz w:val="22"/>
          <w:szCs w:val="22"/>
        </w:rPr>
        <w:t xml:space="preserve">Extend the framework to forecast redemptions independently, enabling demand-supply gap analysis.</w:t>
      </w:r>
    </w:p>
    <w:p>
      <w:r>
        <w:br w:type="page"/>
      </w:r>
    </w:p>
    <w:p>
      <w:pPr>
        <w:pStyle w:val="Heading1"/>
        <w:spacing w:after="120" w:before="360"/>
      </w:pPr>
      <w:r>
        <w:rPr>
          <w:rFonts w:ascii="Arial" w:cs="Arial" w:eastAsia="Arial" w:hAnsi="Arial"/>
          <w:b/>
          <w:bCs/>
          <w:color w:val="1F4E79"/>
          <w:sz w:val="32"/>
          <w:szCs w:val="32"/>
        </w:rPr>
        <w:t xml:space="preserve">8. Conclusion</w:t>
      </w:r>
    </w:p>
    <w:p>
      <w:pPr>
        <w:spacing w:after="80" w:before="80"/>
        <w:jc w:val="both"/>
      </w:pPr>
      <w:r>
        <w:rPr>
          <w:rFonts w:ascii="Arial" w:cs="Arial" w:eastAsia="Arial" w:hAnsi="Arial"/>
          <w:sz w:val="22"/>
          <w:szCs w:val="22"/>
        </w:rPr>
        <w:t xml:space="preserve">This study demonstrates that machine learning-based short-term demand forecasting is both technically feasible and operationally valuable for Toronto Island ferry operations. Using a decade of high-resolution ticket transaction data, we trained and evaluated seven forecasting models across three methodological tiers. Gradient Boosting emerged as the best-performing model with an MAE of 17.118, achieving a 20.2% improvement over naive forecasting.</w:t>
      </w:r>
    </w:p>
    <w:p>
      <w:pPr>
        <w:spacing w:after="80" w:before="80"/>
        <w:jc w:val="both"/>
      </w:pPr>
      <w:r>
        <w:rPr>
          <w:rFonts w:ascii="Arial" w:cs="Arial" w:eastAsia="Arial" w:hAnsi="Arial"/>
          <w:sz w:val="22"/>
          <w:szCs w:val="22"/>
        </w:rPr>
        <w:t xml:space="preserve">The study conclusively demonstrates that classical time-series models, specifically Facebook Prophet, are poorly suited for high-frequency, zero-inflated recreational transit demand data. In contrast, supervised machine learning with engineered lag features captures the multi-scale temporal structure of ferry demand effectively and efficiently.</w:t>
      </w:r>
    </w:p>
    <w:p>
      <w:pPr>
        <w:spacing w:after="80" w:before="80"/>
        <w:jc w:val="both"/>
      </w:pPr>
      <w:r>
        <w:rPr>
          <w:rFonts w:ascii="Arial" w:cs="Arial" w:eastAsia="Arial" w:hAnsi="Arial"/>
          <w:sz w:val="22"/>
          <w:szCs w:val="22"/>
        </w:rPr>
        <w:t xml:space="preserve">The deployed Streamlit dashboard operationalizes these findings, giving ferry operators a practical tool for anticipating demand 15 minutes to 2 hours ahead. This shift from reactive scheduling to predictive intelligence has the potential to reduce congestion, improve passenger experience, and optimize resource allocation across Toronto Island ferry operations.</w:t>
      </w:r>
    </w:p>
    <w:p>
      <w:pPr>
        <w:spacing w:after="120" w:before="120"/>
      </w:pPr>
      <w:r>
        <w:t xml:space="preserve"/>
      </w:r>
    </w:p>
    <w:p>
      <w:pPr>
        <w:pStyle w:val="Heading1"/>
        <w:spacing w:after="120" w:before="360"/>
      </w:pPr>
      <w:r>
        <w:rPr>
          <w:rFonts w:ascii="Arial" w:cs="Arial" w:eastAsia="Arial" w:hAnsi="Arial"/>
          <w:b/>
          <w:bCs/>
          <w:color w:val="1F4E79"/>
          <w:sz w:val="32"/>
          <w:szCs w:val="32"/>
        </w:rPr>
        <w:t xml:space="preserve">References</w:t>
      </w:r>
    </w:p>
    <w:p>
      <w:pPr>
        <w:spacing w:after="80" w:before="80"/>
        <w:jc w:val="both"/>
      </w:pPr>
      <w:r>
        <w:rPr>
          <w:rFonts w:ascii="Arial" w:cs="Arial" w:eastAsia="Arial" w:hAnsi="Arial"/>
          <w:sz w:val="22"/>
          <w:szCs w:val="22"/>
        </w:rPr>
        <w:t xml:space="preserve">[1] Taylor, S. J., &amp; Letham, B. (2018). Forecasting at scale. The American Statistician, 72(1), 37-45.</w:t>
      </w:r>
    </w:p>
    <w:p>
      <w:pPr>
        <w:spacing w:after="80" w:before="80"/>
        <w:jc w:val="both"/>
      </w:pPr>
      <w:r>
        <w:rPr>
          <w:rFonts w:ascii="Arial" w:cs="Arial" w:eastAsia="Arial" w:hAnsi="Arial"/>
          <w:sz w:val="22"/>
          <w:szCs w:val="22"/>
        </w:rPr>
        <w:t xml:space="preserve">[2] Chen, T., &amp; Guestrin, C. (2016). XGBoost: A scalable tree boosting system. Proceedings of KDD 2016.</w:t>
      </w:r>
    </w:p>
    <w:p>
      <w:pPr>
        <w:spacing w:after="80" w:before="80"/>
        <w:jc w:val="both"/>
      </w:pPr>
      <w:r>
        <w:rPr>
          <w:rFonts w:ascii="Arial" w:cs="Arial" w:eastAsia="Arial" w:hAnsi="Arial"/>
          <w:sz w:val="22"/>
          <w:szCs w:val="22"/>
        </w:rPr>
        <w:t xml:space="preserve">[3] Breiman, L. (2001). Random forests. Machine Learning, 45(1), 5-32.</w:t>
      </w:r>
    </w:p>
    <w:p>
      <w:pPr>
        <w:spacing w:after="80" w:before="80"/>
        <w:jc w:val="both"/>
      </w:pPr>
      <w:r>
        <w:rPr>
          <w:rFonts w:ascii="Arial" w:cs="Arial" w:eastAsia="Arial" w:hAnsi="Arial"/>
          <w:sz w:val="22"/>
          <w:szCs w:val="22"/>
        </w:rPr>
        <w:t xml:space="preserve">[4] Friedman, J. H. (2001). Greedy function approximation: A gradient boosting machine. Annals of Statistics, 29(5), 1189-1232.</w:t>
      </w:r>
    </w:p>
    <w:p>
      <w:pPr>
        <w:spacing w:after="80" w:before="80"/>
        <w:jc w:val="both"/>
      </w:pPr>
      <w:r>
        <w:rPr>
          <w:rFonts w:ascii="Arial" w:cs="Arial" w:eastAsia="Arial" w:hAnsi="Arial"/>
          <w:sz w:val="22"/>
          <w:szCs w:val="22"/>
        </w:rPr>
        <w:t xml:space="preserve">[5] Hyndman, R. J., &amp; Athanasopoulos, G. (2021). Forecasting: Principles and Practice (3rd ed.). OTexts.</w:t>
      </w:r>
    </w:p>
    <w:p>
      <w:pPr>
        <w:spacing w:after="80" w:before="80"/>
        <w:jc w:val="both"/>
      </w:pPr>
      <w:r>
        <w:rPr>
          <w:rFonts w:ascii="Arial" w:cs="Arial" w:eastAsia="Arial" w:hAnsi="Arial"/>
          <w:sz w:val="22"/>
          <w:szCs w:val="22"/>
        </w:rPr>
        <w:t xml:space="preserve">[6] Box, G. E. P., &amp; Jenkins, G. M. (1976). Time Series Analysis: Forecasting and Control. Holden-Day.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spacing w:before="120"/>
    </w:pPr>
    <w:r>
      <w:rPr>
        <w:rFonts w:ascii="Arial" w:cs="Arial" w:eastAsia="Arial" w:hAnsi="Arial"/>
        <w:color w:val="888888"/>
        <w:sz w:val="18"/>
        <w:szCs w:val="18"/>
      </w:rPr>
      <w:t xml:space="preserve">Ferry Forecast Research Paper  |  2025</w:t>
    </w:r>
    <w:r>
      <w:rPr>
        <w:rFonts w:ascii="Arial" w:cs="Arial" w:eastAsia="Arial" w:hAnsi="Arial"/>
        <w:color w:val="888888"/>
        <w:sz w:val="18"/>
        <w:szCs w:val="18"/>
      </w:rPr>
      <w:t xml:space="preserve">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Arial" w:cs="Arial" w:eastAsia="Arial" w:hAnsi="Arial"/>
        <w:i/>
        <w:iCs/>
        <w:color w:val="1F4E79"/>
        <w:sz w:val="18"/>
        <w:szCs w:val="18"/>
      </w:rPr>
      <w:t xml:space="preserve">Toronto Island Ferry — Short-Term Demand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2026-05-05T04:59:52.766Z</dcterms:created>
  <dcterms:modified xsi:type="dcterms:W3CDTF">2026-05-05T04:59:52.767Z</dcterms:modified>
</cp:coreProperties>
</file>

<file path=docProps/custom.xml><?xml version="1.0" encoding="utf-8"?>
<Properties xmlns="http://schemas.openxmlformats.org/officeDocument/2006/custom-properties" xmlns:vt="http://schemas.openxmlformats.org/officeDocument/2006/docPropsVTypes"/>
</file>