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51 - Page 1 of 5</w:t>
      </w:r>
    </w:p>
    <w:p>
      <w:pPr>
        <w:pStyle w:val="IntenseQuote"/>
      </w:pPr>
      <w:r>
        <w:t>Document ID: PAY-051</w:t>
      </w:r>
    </w:p>
    <w:p>
      <w:r>
        <w:t>EU payment failures: Verify PSD2 compliance, SCA completion, and issuer 3DS configuration.</w:t>
      </w:r>
    </w:p>
    <w:p>
      <w:r>
        <w:t>Error 5003 indicates gateway timeout. Typical causes: network issues, gateway overload, DNS failure.</w:t>
      </w:r>
    </w:p>
    <w:p>
      <w:r>
        <w:t>Financial compliance: PCI-DSS Level 1, SOC 2, ISO 27001 requirements for payment systems.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51 - Page 2 of 5</w:t>
      </w:r>
    </w:p>
    <w:p>
      <w:pPr>
        <w:pStyle w:val="IntenseQuote"/>
      </w:pPr>
      <w:r>
        <w:t>Document ID: PAY-051</w:t>
      </w:r>
    </w:p>
    <w:p>
      <w:r>
        <w:t>Intermittent payment failures: Review gateway logs, check rate limits, verify certificate expiry.</w:t>
      </w:r>
    </w:p>
    <w:p>
      <w:r>
        <w:t>Connection pooling for payment DB: set max_connections=50, connection_timeout=30s.</w:t>
      </w:r>
    </w:p>
    <w:p>
      <w:r>
        <w:t>Transaction reconciliation: daily settlement, mismatch resolution, and reconciliation report generation.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51 - Page 3 of 5</w:t>
      </w:r>
    </w:p>
    <w:p>
      <w:pPr>
        <w:pStyle w:val="IntenseQuote"/>
      </w:pPr>
      <w:r>
        <w:t>Document ID: PAY-051</w:t>
      </w:r>
    </w:p>
    <w:p>
      <w:r>
        <w:t>Currency mismatch: Ensure amount and currency code match. INR to USD conversion requires FX rates.</w:t>
      </w:r>
    </w:p>
    <w:p>
      <w:r>
        <w:t>For INR to USD discrepancy: verify FX rate source, conversion timestamp, and rounding rules.</w:t>
      </w:r>
    </w:p>
    <w:p>
      <w:r>
        <w:t>Payment fraud detection: velocity checks, device fingerprinting, and ML-based risk scoring.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51 - Page 4 of 5</w:t>
      </w:r>
    </w:p>
    <w:p>
      <w:pPr>
        <w:pStyle w:val="IntenseQuote"/>
      </w:pPr>
      <w:r>
        <w:t>Document ID: PAY-051</w:t>
      </w:r>
    </w:p>
    <w:p>
      <w:r>
        <w:t>Duplicate transaction prevention: Use idempotency keys. Check idempotency_key in request headers.</w:t>
      </w:r>
    </w:p>
    <w:p>
      <w:r>
        <w:t>Chargeback reason code 10.4: customer disputes transaction. Gather proof of delivery and authorization.</w:t>
      </w:r>
    </w:p>
    <w:p>
      <w:r>
        <w:t>Merchant account management: onboarding, KYC verification, and settlement schedule configuration.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51 - Page 5 of 5</w:t>
      </w:r>
    </w:p>
    <w:p>
      <w:pPr>
        <w:pStyle w:val="IntenseQuote"/>
      </w:pPr>
      <w:r>
        <w:t>Document ID: PAY-051</w:t>
      </w:r>
    </w:p>
    <w:p>
      <w:r>
        <w:t>Webhook delivery failures: Verify endpoint URL, SSL certificate, and signature validation logic.</w:t>
      </w:r>
    </w:p>
    <w:p>
      <w:r>
        <w:t>Payment API rate limit: 100 requests/second. Use exponential backoff for 429 responses.</w:t>
      </w:r>
    </w:p>
    <w:p>
      <w:r>
        <w:t>Payment webhooks: event types, signature verification, retry policy, and idempotency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