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52 - Page 1 of 5</w:t>
      </w:r>
    </w:p>
    <w:p>
      <w:pPr>
        <w:pStyle w:val="IntenseQuote"/>
      </w:pPr>
      <w:r>
        <w:t>Document ID: PAY-052</w:t>
      </w:r>
    </w:p>
    <w:p>
      <w:r>
        <w:t>Intermittent payment failures: Review gateway logs, check rate limits, verify certificate expiry.</w:t>
      </w:r>
    </w:p>
    <w:p>
      <w:r>
        <w:t>For INR to USD discrepancy: verify FX rate source, conversion timestamp, and rounding rules.</w:t>
      </w:r>
    </w:p>
    <w:p>
      <w:r>
        <w:t>Merchant account management: onboarding, KYC verification, and settlement schedule configuration.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52 - Page 2 of 5</w:t>
      </w:r>
    </w:p>
    <w:p>
      <w:pPr>
        <w:pStyle w:val="IntenseQuote"/>
      </w:pPr>
      <w:r>
        <w:t>Document ID: PAY-052</w:t>
      </w:r>
    </w:p>
    <w:p>
      <w:r>
        <w:t>Currency mismatch: Ensure amount and currency code match. INR to USD conversion requires FX rates.</w:t>
      </w:r>
    </w:p>
    <w:p>
      <w:r>
        <w:t>Chargeback reason code 10.4: customer disputes transaction. Gather proof of delivery and authorization.</w:t>
      </w:r>
    </w:p>
    <w:p>
      <w:r>
        <w:t>Payment webhooks: event types, signature verification, retry policy, and idempotency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52 - Page 3 of 5</w:t>
      </w:r>
    </w:p>
    <w:p>
      <w:pPr>
        <w:pStyle w:val="IntenseQuote"/>
      </w:pPr>
      <w:r>
        <w:t>Document ID: PAY-052</w:t>
      </w:r>
    </w:p>
    <w:p>
      <w:r>
        <w:t>Duplicate transaction prevention: Use idempotency keys. Check idempotency_key in request headers.</w:t>
      </w:r>
    </w:p>
    <w:p>
      <w:r>
        <w:t>Payment API rate limit: 100 requests/second. Use exponential backoff for 429 responses.</w:t>
      </w:r>
    </w:p>
    <w:p>
      <w:r>
        <w:t>Financial reporting: transaction reports, revenue analytics, and regulatory reporting formats.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52 - Page 4 of 5</w:t>
      </w:r>
    </w:p>
    <w:p>
      <w:pPr>
        <w:pStyle w:val="IntenseQuote"/>
      </w:pPr>
      <w:r>
        <w:t>Document ID: PAY-052</w:t>
      </w:r>
    </w:p>
    <w:p>
      <w:r>
        <w:t>Webhook delivery failures: Verify endpoint URL, SSL certificate, and signature validation logic.</w:t>
      </w:r>
    </w:p>
    <w:p>
      <w:r>
        <w:t>PCI-DSS: Never log full card numbers. Mask to last 4 digits. Secure log storage required.</w:t>
      </w:r>
    </w:p>
    <w:p>
      <w:r>
        <w:t>Payment SLA and uptime: 99.9% target, incident response times, and status page communication.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52 - Page 5 of 5</w:t>
      </w:r>
    </w:p>
    <w:p>
      <w:pPr>
        <w:pStyle w:val="IntenseQuote"/>
      </w:pPr>
      <w:r>
        <w:t>Document ID: PAY-052</w:t>
      </w:r>
    </w:p>
    <w:p>
      <w:r>
        <w:t>Payment gateway integration architecture and secure token handling procedures for PCI-DSS compliance.</w:t>
      </w:r>
    </w:p>
    <w:p>
      <w:r>
        <w:t>Webhook retry: 3 attempts at 1h, 4h, 24h. Implement idempotent handlers for duplicate events.</w:t>
      </w:r>
    </w:p>
    <w:p>
      <w:r>
        <w:t>Error code 5003: Payment gateway connection timeout. Check network connectivity and gateway health.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