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Payment &amp; Financial Services - Document 53 - Page 1 of 5</w:t>
      </w:r>
    </w:p>
    <w:p>
      <w:pPr>
        <w:pStyle w:val="IntenseQuote"/>
      </w:pPr>
      <w:r>
        <w:t>Document ID: PAY-053</w:t>
      </w:r>
    </w:p>
    <w:p>
      <w:r>
        <w:t>Currency mismatch: Ensure amount and currency code match. INR to USD conversion requires FX rates.</w:t>
      </w:r>
    </w:p>
    <w:p>
      <w:r>
        <w:t>Payment API rate limit: 100 requests/second. Use exponential backoff for 429 responses.</w:t>
      </w:r>
    </w:p>
    <w:p>
      <w:r>
        <w:t>Payment SLA and uptime: 99.9% target, incident response times, and status page communication.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53 - Page 2 of 5</w:t>
      </w:r>
    </w:p>
    <w:p>
      <w:pPr>
        <w:pStyle w:val="IntenseQuote"/>
      </w:pPr>
      <w:r>
        <w:t>Document ID: PAY-053</w:t>
      </w:r>
    </w:p>
    <w:p>
      <w:r>
        <w:t>Duplicate transaction prevention: Use idempotency keys. Check idempotency_key in request headers.</w:t>
      </w:r>
    </w:p>
    <w:p>
      <w:r>
        <w:t>PCI-DSS: Never log full card numbers. Mask to last 4 digits. Secure log storage required.</w:t>
      </w:r>
    </w:p>
    <w:p>
      <w:r>
        <w:t>Error code 5003: Payment gateway connection timeout. Check network connectivity and gateway health.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53 - Page 3 of 5</w:t>
      </w:r>
    </w:p>
    <w:p>
      <w:pPr>
        <w:pStyle w:val="IntenseQuote"/>
      </w:pPr>
      <w:r>
        <w:t>Document ID: PAY-053</w:t>
      </w:r>
    </w:p>
    <w:p>
      <w:r>
        <w:t>Webhook delivery failures: Verify endpoint URL, SSL certificate, and signature validation logic.</w:t>
      </w:r>
    </w:p>
    <w:p>
      <w:r>
        <w:t>Webhook retry: 3 attempts at 1h, 4h, 24h. Implement idempotent handlers for duplicate events.</w:t>
      </w:r>
    </w:p>
    <w:p>
      <w:r>
        <w:t>Error code 4001: Invalid payment method. Verify card details and expiry. Support 3DS if required.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53 - Page 4 of 5</w:t>
      </w:r>
    </w:p>
    <w:p>
      <w:pPr>
        <w:pStyle w:val="IntenseQuote"/>
      </w:pPr>
      <w:r>
        <w:t>Document ID: PAY-053</w:t>
      </w:r>
    </w:p>
    <w:p>
      <w:r>
        <w:t>Payment gateway integration architecture and secure token handling procedures for PCI-DSS compliance.</w:t>
      </w:r>
    </w:p>
    <w:p>
      <w:r>
        <w:t>Gateway failover: primary EU, secondary US. Health check every 30s. Auto-switch on 3 consecutive failures.</w:t>
      </w:r>
    </w:p>
    <w:p>
      <w:r>
        <w:t>Error code 4002: Insufficient funds. Customer must use alternative payment method or add funds.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53 - Page 5 of 5</w:t>
      </w:r>
    </w:p>
    <w:p>
      <w:pPr>
        <w:pStyle w:val="IntenseQuote"/>
      </w:pPr>
      <w:r>
        <w:t>Document ID: PAY-053</w:t>
      </w:r>
    </w:p>
    <w:p>
      <w:r>
        <w:t>Transaction processing workflows and error recovery mechanisms for financial services including retry logic and idempotency.</w:t>
      </w:r>
    </w:p>
    <w:p>
      <w:r>
        <w:t>Refund must be &lt;= original amount. Partial refunds supported. Full refund voids original transaction.</w:t>
      </w:r>
    </w:p>
    <w:p>
      <w:r>
        <w:t>EU payment failures: Verify PSD2 compliance, SCA completion, and issuer 3DS configuration.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