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55 - Page 1 of 5</w:t>
      </w:r>
    </w:p>
    <w:p>
      <w:pPr>
        <w:pStyle w:val="IntenseQuote"/>
      </w:pPr>
      <w:r>
        <w:t>Document ID: PAY-055</w:t>
      </w:r>
    </w:p>
    <w:p>
      <w:r>
        <w:t>Webhook delivery failures: Verify endpoint URL, SSL certificate, and signature validation logic.</w:t>
      </w:r>
    </w:p>
    <w:p>
      <w:r>
        <w:t>Refund must be &lt;= original amount. Partial refunds supported. Full refund voids original transaction.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55 - Page 2 of 5</w:t>
      </w:r>
    </w:p>
    <w:p>
      <w:pPr>
        <w:pStyle w:val="IntenseQuote"/>
      </w:pPr>
      <w:r>
        <w:t>Document ID: PAY-055</w:t>
      </w:r>
    </w:p>
    <w:p>
      <w:r>
        <w:t>Payment gateway integration architecture and secure token handling procedures for PCI-DSS compliance.</w:t>
      </w:r>
    </w:p>
    <w:p>
      <w:r>
        <w:t>3DS2 challenge: customer may receive OTP from bank. Timeout 5 minutes. Handle challenge completion.</w:t>
      </w:r>
    </w:p>
    <w:p>
      <w:r>
        <w:t>Duplicate transaction prevention: Use idempotency keys. Check idempotency_key in request headers.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55 - Page 3 of 5</w:t>
      </w:r>
    </w:p>
    <w:p>
      <w:pPr>
        <w:pStyle w:val="IntenseQuote"/>
      </w:pPr>
      <w:r>
        <w:t>Document ID: PAY-055</w:t>
      </w:r>
    </w:p>
    <w:p>
      <w:r>
        <w:t>Transaction processing workflows and error recovery mechanisms for financial services including retry logic and idempotency.</w:t>
      </w:r>
    </w:p>
    <w:p>
      <w:r>
        <w:t>Settlement cycle: T+2 for cards, T+1 for bank transfer. Check processor-specific timelines.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55 - Page 4 of 5</w:t>
      </w:r>
    </w:p>
    <w:p>
      <w:pPr>
        <w:pStyle w:val="IntenseQuote"/>
      </w:pPr>
      <w:r>
        <w:t>Document ID: PAY-055</w:t>
      </w:r>
    </w:p>
    <w:p>
      <w:r>
        <w:t>Payment API integration guidelines: REST endpoints, authentication, webhook callbacks, and error code handling.</w:t>
      </w:r>
    </w:p>
    <w:p>
      <w:r>
        <w:t>Payment reconciliation: match transaction ID, amount, currency. Flag mismatches for manual review.</w:t>
      </w:r>
    </w:p>
    <w:p>
      <w:r>
        <w:t>Payment gateway integration architecture and secure token handling procedures for PCI-DSS compliance.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55 - Page 5 of 5</w:t>
      </w:r>
    </w:p>
    <w:p>
      <w:pPr>
        <w:pStyle w:val="IntenseQuote"/>
      </w:pPr>
      <w:r>
        <w:t>Document ID: PAY-055</w:t>
      </w:r>
    </w:p>
    <w:p>
      <w:r>
        <w:t>Financial transaction security protocols: TLS 1.3, tokenization, encryption at rest and in transit.</w:t>
      </w:r>
    </w:p>
    <w:p>
      <w:r>
        <w:t>Merchant KYC: business registration, bank account verification, beneficial owner disclosure.</w:t>
      </w:r>
    </w:p>
    <w:p>
      <w:r>
        <w:t>Transaction processing workflows and error recovery mechanisms for financial services including retry logic and idempotency.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