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56 - Page 1 of 6</w:t>
      </w:r>
    </w:p>
    <w:p>
      <w:pPr>
        <w:pStyle w:val="IntenseQuote"/>
      </w:pPr>
      <w:r>
        <w:t>Document ID: PAY-056</w:t>
      </w:r>
    </w:p>
    <w:p>
      <w:r>
        <w:t>Payment gateway integration architecture and secure token handling procedures for PCI-DSS compliance.</w:t>
      </w:r>
    </w:p>
    <w:p>
      <w:r>
        <w:t>Settlement cycle: T+2 for cards, T+1 for bank transfer. Check processor-specific timelines.</w:t>
      </w:r>
    </w:p>
    <w:p>
      <w:r>
        <w:t>Payment gateway integration architecture and secure token handling procedures for PCI-DSS compliance.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56 - Page 2 of 6</w:t>
      </w:r>
    </w:p>
    <w:p>
      <w:pPr>
        <w:pStyle w:val="IntenseQuote"/>
      </w:pPr>
      <w:r>
        <w:t>Document ID: PAY-056</w:t>
      </w:r>
    </w:p>
    <w:p>
      <w:r>
        <w:t>Transaction processing workflows and error recovery mechanisms for financial services including retry logic and idempotency.</w:t>
      </w:r>
    </w:p>
    <w:p>
      <w:r>
        <w:t>Payment reconciliation: match transaction ID, amount, currency. Flag mismatches for manual review.</w:t>
      </w:r>
    </w:p>
    <w:p>
      <w:r>
        <w:t>Transaction processing workflows and error recovery mechanisms for financial services including retry logic and idempotency.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56 - Page 3 of 6</w:t>
      </w:r>
    </w:p>
    <w:p>
      <w:pPr>
        <w:pStyle w:val="IntenseQuote"/>
      </w:pPr>
      <w:r>
        <w:t>Document ID: PAY-056</w:t>
      </w:r>
    </w:p>
    <w:p>
      <w:r>
        <w:t>Payment API integration guidelines: REST endpoints, authentication, webhook callbacks, and error code handling.</w:t>
      </w:r>
    </w:p>
    <w:p>
      <w:r>
        <w:t>Merchant KYC: business registration, bank account verification, beneficial owner disclosure.</w:t>
      </w:r>
    </w:p>
    <w:p>
      <w:r>
        <w:t>Payment API integration guidelines: REST endpoints, authentication, webhook callbacks, and error code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56 - Page 4 of 6</w:t>
      </w:r>
    </w:p>
    <w:p>
      <w:pPr>
        <w:pStyle w:val="IntenseQuote"/>
      </w:pPr>
      <w:r>
        <w:t>Document ID: PAY-056</w:t>
      </w:r>
    </w:p>
    <w:p>
      <w:r>
        <w:t>Financial transaction security protocols: TLS 1.3, tokenization, encryption at rest and in transit.</w:t>
      </w:r>
    </w:p>
    <w:p>
      <w:r>
        <w:t>Subscription billing: prorate on upgrade/downgrade. Credit unused portion. Send invoice 7 days before charge.</w:t>
      </w:r>
    </w:p>
    <w:p>
      <w:r>
        <w:t>Financial transaction security protocols: TLS 1.3, tokenization, encryption at rest and in transit.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56 - Page 5 of 6</w:t>
      </w:r>
    </w:p>
    <w:p>
      <w:pPr>
        <w:pStyle w:val="IntenseQuote"/>
      </w:pPr>
      <w:r>
        <w:t>Document ID: PAY-056</w:t>
      </w:r>
    </w:p>
    <w:p>
      <w:r>
        <w:t>Payment processing performance monitoring: latency metrics, throughput, success rates, and SLA thresholds.</w:t>
      </w:r>
    </w:p>
    <w:p>
      <w:r>
        <w:t>Multi-currency: store amount in minor units (cents). Display in major units. Use ISO 4217 codes.</w:t>
      </w:r>
    </w:p>
    <w:p>
      <w:r>
        <w:t>Payment processing performance monitoring: latency metrics, throughput, success rates, and SLA thresholds.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56 - Page 6 of 6</w:t>
      </w:r>
    </w:p>
    <w:p>
      <w:pPr>
        <w:pStyle w:val="IntenseQuote"/>
      </w:pPr>
      <w:r>
        <w:t>Document ID: PAY-056</w:t>
      </w:r>
    </w:p>
    <w:p>
      <w:r>
        <w:t>Payment database management: transaction logs, audit trails, backup procedures, and data retention policies.</w:t>
      </w:r>
    </w:p>
    <w:p>
      <w:r>
        <w:t>Fraud score &gt; 80: block transaction. Score 50-80: require 3DS. Score &lt; 50: auto-approve.</w:t>
      </w:r>
    </w:p>
    <w:p>
      <w:r>
        <w:t>Payment database management: transaction logs, audit trails, backup procedures, and data retention policies.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