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Payment &amp; Financial Services - Document 57 - Page 1 of 6</w:t>
      </w:r>
    </w:p>
    <w:p>
      <w:pPr>
        <w:pStyle w:val="IntenseQuote"/>
      </w:pPr>
      <w:r>
        <w:t>Document ID: PAY-057</w:t>
      </w:r>
    </w:p>
    <w:p>
      <w:r>
        <w:t>Transaction processing workflows and error recovery mechanisms for financial services including retry logic and idempotency.</w:t>
      </w:r>
    </w:p>
    <w:p>
      <w:r>
        <w:t>Merchant KYC: business registration, bank account verification, beneficial owner disclosure.</w:t>
      </w:r>
    </w:p>
    <w:p>
      <w:r>
        <w:t>Financial transaction security protocols: TLS 1.3, tokenization, encryption at rest and in transit.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57 - Page 2 of 6</w:t>
      </w:r>
    </w:p>
    <w:p>
      <w:pPr>
        <w:pStyle w:val="IntenseQuote"/>
      </w:pPr>
      <w:r>
        <w:t>Document ID: PAY-057</w:t>
      </w:r>
    </w:p>
    <w:p>
      <w:r>
        <w:t>Payment API integration guidelines: REST endpoints, authentication, webhook callbacks, and error code handling.</w:t>
      </w:r>
    </w:p>
    <w:p>
      <w:r>
        <w:t>Subscription billing: prorate on upgrade/downgrade. Credit unused portion. Send invoice 7 days before charge.</w:t>
      </w:r>
    </w:p>
    <w:p>
      <w:r>
        <w:t>Payment processing performance monitoring: latency metrics, throughput, success rates, and SLA thresholds.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57 - Page 3 of 6</w:t>
      </w:r>
    </w:p>
    <w:p>
      <w:pPr>
        <w:pStyle w:val="IntenseQuote"/>
      </w:pPr>
      <w:r>
        <w:t>Document ID: PAY-057</w:t>
      </w:r>
    </w:p>
    <w:p>
      <w:r>
        <w:t>Financial transaction security protocols: TLS 1.3, tokenization, encryption at rest and in transit.</w:t>
      </w:r>
    </w:p>
    <w:p>
      <w:r>
        <w:t>Multi-currency: store amount in minor units (cents). Display in major units. Use ISO 4217 codes.</w:t>
      </w:r>
    </w:p>
    <w:p>
      <w:r>
        <w:t>Payment database management: transaction logs, audit trails, backup procedures, and data retention policies.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57 - Page 4 of 6</w:t>
      </w:r>
    </w:p>
    <w:p>
      <w:pPr>
        <w:pStyle w:val="IntenseQuote"/>
      </w:pPr>
      <w:r>
        <w:t>Document ID: PAY-057</w:t>
      </w:r>
    </w:p>
    <w:p>
      <w:r>
        <w:t>Payment processing performance monitoring: latency metrics, throughput, success rates, and SLA thresholds.</w:t>
      </w:r>
    </w:p>
    <w:p>
      <w:r>
        <w:t>Fraud score &gt; 80: block transaction. Score 50-80: require 3DS. Score &lt; 50: auto-approve.</w:t>
      </w:r>
    </w:p>
    <w:p>
      <w:r>
        <w:t>Payment gateway configuration for EU region: PSD2 compliance, SCA requirements, and GDPR data handling.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57 - Page 5 of 6</w:t>
      </w:r>
    </w:p>
    <w:p>
      <w:pPr>
        <w:pStyle w:val="IntenseQuote"/>
      </w:pPr>
      <w:r>
        <w:t>Document ID: PAY-057</w:t>
      </w:r>
    </w:p>
    <w:p>
      <w:r>
        <w:t>Payment database management: transaction logs, audit trails, backup procedures, and data retention policies.</w:t>
      </w:r>
    </w:p>
    <w:p>
      <w:r>
        <w:t>Audit log retention: 7 years for financial transactions. Immutable storage. Tamper-evident.</w:t>
      </w:r>
    </w:p>
    <w:p>
      <w:r>
        <w:t>Payment user authentication: 3DS2 flows, biometric verification, and risk-based authentication.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p>
      <w:r>
        <w:br w:type="page"/>
      </w:r>
    </w:p>
    <w:p>
      <w:pPr>
        <w:pStyle w:val="Heading1"/>
      </w:pPr>
      <w:r>
        <w:t>Payment &amp; Financial Services - Document 57 - Page 6 of 6</w:t>
      </w:r>
    </w:p>
    <w:p>
      <w:pPr>
        <w:pStyle w:val="IntenseQuote"/>
      </w:pPr>
      <w:r>
        <w:t>Document ID: PAY-057</w:t>
      </w:r>
    </w:p>
    <w:p>
      <w:r>
        <w:t>Payment gateway configuration for EU region: PSD2 compliance, SCA requirements, and GDPR data handling.</w:t>
      </w:r>
    </w:p>
    <w:p>
      <w:r>
        <w:t>Incident severity: P1 payment down, P2 degraded, P3 single merchant. P1 requires 15-min acknowledgment.</w:t>
      </w:r>
    </w:p>
    <w:p>
      <w:r>
        <w:t>Payment transaction logging: structured logs, trace IDs, and observability for incident investigation.</w:t>
      </w:r>
    </w:p>
    <w:p>
      <w:r>
        <w:t>Key considerations: PCI-DSS compliance, secure tokenization, EU PSD2/SCA for card payments.</w:t>
      </w:r>
    </w:p>
    <w:p>
      <w:r>
        <w:t>Troubleshooting: Error 5003 = gateway timeout. Error 4001 = invalid payment method. Verify FX rates for multi-currency.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