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60 - Page 1 of 6</w:t>
      </w:r>
    </w:p>
    <w:p>
      <w:pPr>
        <w:pStyle w:val="IntenseQuote"/>
      </w:pPr>
      <w:r>
        <w:t>Document ID: PAY-060</w:t>
      </w:r>
    </w:p>
    <w:p>
      <w:r>
        <w:t>Payment processing performance monitoring: latency metrics, throughput, success rates, and SLA thresholds.</w:t>
      </w:r>
    </w:p>
    <w:p>
      <w:r>
        <w:t>Payment gateway requires secure token handling. Never store raw card numbers. Use payment tokens.</w:t>
      </w:r>
    </w:p>
    <w:p>
      <w:r>
        <w:t>Payment processor integration: Stripe, Adyen, Braintree API documentation and migration guides.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60 - Page 2 of 6</w:t>
      </w:r>
    </w:p>
    <w:p>
      <w:pPr>
        <w:pStyle w:val="IntenseQuote"/>
      </w:pPr>
      <w:r>
        <w:t>Document ID: PAY-060</w:t>
      </w:r>
    </w:p>
    <w:p>
      <w:r>
        <w:t>Payment database management: transaction logs, audit trails, backup procedures, and data retention policies.</w:t>
      </w:r>
    </w:p>
    <w:p>
      <w:r>
        <w:t>EU region mandates PSD2 and Strong Customer Authentication (SCA) for card payments.</w:t>
      </w:r>
    </w:p>
    <w:p>
      <w:r>
        <w:t>Financial compliance: PCI-DSS Level 1, SOC 2, ISO 27001 requirements for payment systems.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60 - Page 3 of 6</w:t>
      </w:r>
    </w:p>
    <w:p>
      <w:pPr>
        <w:pStyle w:val="IntenseQuote"/>
      </w:pPr>
      <w:r>
        <w:t>Document ID: PAY-060</w:t>
      </w:r>
    </w:p>
    <w:p>
      <w:r>
        <w:t>Payment gateway configuration for EU region: PSD2 compliance, SCA requirements, and GDPR data handling.</w:t>
      </w:r>
    </w:p>
    <w:p>
      <w:r>
        <w:t>Error 5003 indicates gateway timeout. Typical causes: network issues, gateway overload, DNS failure.</w:t>
      </w:r>
    </w:p>
    <w:p>
      <w:r>
        <w:t>Transaction reconciliation: daily settlement, mismatch resolution, and reconciliation report generation.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60 - Page 4 of 6</w:t>
      </w:r>
    </w:p>
    <w:p>
      <w:pPr>
        <w:pStyle w:val="IntenseQuote"/>
      </w:pPr>
      <w:r>
        <w:t>Document ID: PAY-060</w:t>
      </w:r>
    </w:p>
    <w:p>
      <w:r>
        <w:t>Payment user authentication: 3DS2 flows, biometric verification, and risk-based authentication.</w:t>
      </w:r>
    </w:p>
    <w:p>
      <w:r>
        <w:t>Connection pooling for payment DB: set max_connections=50, connection_timeout=30s.</w:t>
      </w:r>
    </w:p>
    <w:p>
      <w:r>
        <w:t>Payment fraud detection: velocity checks, device fingerprinting, and ML-based risk scoring.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60 - Page 5 of 6</w:t>
      </w:r>
    </w:p>
    <w:p>
      <w:pPr>
        <w:pStyle w:val="IntenseQuote"/>
      </w:pPr>
      <w:r>
        <w:t>Document ID: PAY-060</w:t>
      </w:r>
    </w:p>
    <w:p>
      <w:r>
        <w:t>Payment transaction logging: structured logs, trace IDs, and observability for incident investigation.</w:t>
      </w:r>
    </w:p>
    <w:p>
      <w:r>
        <w:t>For INR to USD discrepancy: verify FX rate source, conversion timestamp, and rounding rules.</w:t>
      </w:r>
    </w:p>
    <w:p>
      <w:r>
        <w:t>Merchant account management: onboarding, KYC verification, and settlement schedule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60 - Page 6 of 6</w:t>
      </w:r>
    </w:p>
    <w:p>
      <w:pPr>
        <w:pStyle w:val="IntenseQuote"/>
      </w:pPr>
      <w:r>
        <w:t>Document ID: PAY-060</w:t>
      </w:r>
    </w:p>
    <w:p>
      <w:r>
        <w:t>Payment service deployment: blue-green releases, canary deployments, and rollback procedures.</w:t>
      </w:r>
    </w:p>
    <w:p>
      <w:r>
        <w:t>Chargeback reason code 10.4: customer disputes transaction. Gather proof of delivery and authorization.</w:t>
      </w:r>
    </w:p>
    <w:p>
      <w:r>
        <w:t>Payment webhooks: event types, signature verification, retry policy, and idempotency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