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62 - Page 1 of 5</w:t>
      </w:r>
    </w:p>
    <w:p>
      <w:pPr>
        <w:pStyle w:val="IntenseQuote"/>
      </w:pPr>
      <w:r>
        <w:t>Document ID: PAY-062</w:t>
      </w:r>
    </w:p>
    <w:p>
      <w:r>
        <w:t>Payment gateway configuration for EU region: PSD2 compliance, SCA requirements, and GDPR data handling.</w:t>
      </w:r>
    </w:p>
    <w:p>
      <w:r>
        <w:t>For INR to USD discrepancy: verify FX rate source, conversion timestamp, and rounding rules.</w:t>
      </w:r>
    </w:p>
    <w:p>
      <w:r>
        <w:t>Financial reporting: transaction reports, revenue analytics, and regulatory reporting formats.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62 - Page 2 of 5</w:t>
      </w:r>
    </w:p>
    <w:p>
      <w:pPr>
        <w:pStyle w:val="IntenseQuote"/>
      </w:pPr>
      <w:r>
        <w:t>Document ID: PAY-062</w:t>
      </w:r>
    </w:p>
    <w:p>
      <w:r>
        <w:t>Payment user authentication: 3DS2 flows, biometric verification, and risk-based authentication.</w:t>
      </w:r>
    </w:p>
    <w:p>
      <w:r>
        <w:t>Chargeback reason code 10.4: customer disputes transaction. Gather proof of delivery and authorization.</w:t>
      </w:r>
    </w:p>
    <w:p>
      <w:r>
        <w:t>Payment SLA and uptime: 99.9% target, incident response times, and status page communication.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62 - Page 3 of 5</w:t>
      </w:r>
    </w:p>
    <w:p>
      <w:pPr>
        <w:pStyle w:val="IntenseQuote"/>
      </w:pPr>
      <w:r>
        <w:t>Document ID: PAY-062</w:t>
      </w:r>
    </w:p>
    <w:p>
      <w:r>
        <w:t>Payment transaction logging: structured logs, trace IDs, and observability for incident investigation.</w:t>
      </w:r>
    </w:p>
    <w:p>
      <w:r>
        <w:t>Payment API rate limit: 100 requests/second. Use exponential backoff for 429 responses.</w:t>
      </w:r>
    </w:p>
    <w:p>
      <w:r>
        <w:t>Error code 5003: Payment gateway connection timeout. Check network connectivity and gateway health.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62 - Page 4 of 5</w:t>
      </w:r>
    </w:p>
    <w:p>
      <w:pPr>
        <w:pStyle w:val="IntenseQuote"/>
      </w:pPr>
      <w:r>
        <w:t>Document ID: PAY-062</w:t>
      </w:r>
    </w:p>
    <w:p>
      <w:r>
        <w:t>Payment service deployment: blue-green releases, canary deployments, and rollback procedures.</w:t>
      </w:r>
    </w:p>
    <w:p>
      <w:r>
        <w:t>PCI-DSS: Never log full card numbers. Mask to last 4 digits. Secure log storage required.</w:t>
      </w:r>
    </w:p>
    <w:p>
      <w:r>
        <w:t>Error code 4001: Invalid payment method. Verify card details and expiry. Support 3DS if required.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62 - Page 5 of 5</w:t>
      </w:r>
    </w:p>
    <w:p>
      <w:pPr>
        <w:pStyle w:val="IntenseQuote"/>
      </w:pPr>
      <w:r>
        <w:t>Document ID: PAY-062</w:t>
      </w:r>
    </w:p>
    <w:p>
      <w:r>
        <w:t>Billing and invoicing: subscription management, proration, tax calculation, and invoice generation.</w:t>
      </w:r>
    </w:p>
    <w:p>
      <w:r>
        <w:t>Webhook retry: 3 attempts at 1h, 4h, 24h. Implement idempotent handlers for duplicate events.</w:t>
      </w:r>
    </w:p>
    <w:p>
      <w:r>
        <w:t>Error code 4002: Insufficient funds. Customer must use alternative payment method or add funds.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