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63 - Page 1 of 5</w:t>
      </w:r>
    </w:p>
    <w:p>
      <w:pPr>
        <w:pStyle w:val="IntenseQuote"/>
      </w:pPr>
      <w:r>
        <w:t>Document ID: PAY-063</w:t>
      </w:r>
    </w:p>
    <w:p>
      <w:r>
        <w:t>Payment user authentication: 3DS2 flows, biometric verification, and risk-based authentication.</w:t>
      </w:r>
    </w:p>
    <w:p>
      <w:r>
        <w:t>Payment API rate limit: 100 requests/second. Use exponential backoff for 429 responses.</w:t>
      </w:r>
    </w:p>
    <w:p>
      <w:r>
        <w:t>Error code 4001: Invalid payment method. Verify card details and expiry. Support 3DS if required.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63 - Page 2 of 5</w:t>
      </w:r>
    </w:p>
    <w:p>
      <w:pPr>
        <w:pStyle w:val="IntenseQuote"/>
      </w:pPr>
      <w:r>
        <w:t>Document ID: PAY-063</w:t>
      </w:r>
    </w:p>
    <w:p>
      <w:r>
        <w:t>Payment transaction logging: structured logs, trace IDs, and observability for incident investigation.</w:t>
      </w:r>
    </w:p>
    <w:p>
      <w:r>
        <w:t>PCI-DSS: Never log full card numbers. Mask to last 4 digits. Secure log storage required.</w:t>
      </w:r>
    </w:p>
    <w:p>
      <w:r>
        <w:t>Error code 4002: Insufficient funds. Customer must use alternative payment method or add funds.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63 - Page 3 of 5</w:t>
      </w:r>
    </w:p>
    <w:p>
      <w:pPr>
        <w:pStyle w:val="IntenseQuote"/>
      </w:pPr>
      <w:r>
        <w:t>Document ID: PAY-063</w:t>
      </w:r>
    </w:p>
    <w:p>
      <w:r>
        <w:t>Payment service deployment: blue-green releases, canary deployments, and rollback procedures.</w:t>
      </w:r>
    </w:p>
    <w:p>
      <w:r>
        <w:t>Webhook retry: 3 attempts at 1h, 4h, 24h. Implement idempotent handlers for duplicate events.</w:t>
      </w:r>
    </w:p>
    <w:p>
      <w:r>
        <w:t>EU payment failures: Verify PSD2 compliance, SCA completion, and issuer 3DS configuration.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63 - Page 4 of 5</w:t>
      </w:r>
    </w:p>
    <w:p>
      <w:pPr>
        <w:pStyle w:val="IntenseQuote"/>
      </w:pPr>
      <w:r>
        <w:t>Document ID: PAY-063</w:t>
      </w:r>
    </w:p>
    <w:p>
      <w:r>
        <w:t>Billing and invoicing: subscription management, proration, tax calculation, and invoice generation.</w:t>
      </w:r>
    </w:p>
    <w:p>
      <w:r>
        <w:t>Gateway failover: primary EU, secondary US. Health check every 30s. Auto-switch on 3 consecutive failures.</w:t>
      </w:r>
    </w:p>
    <w:p>
      <w:r>
        <w:t>Intermittent payment failures: Review gateway logs, check rate limits, verify certificate expiry.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63 - Page 5 of 5</w:t>
      </w:r>
    </w:p>
    <w:p>
      <w:pPr>
        <w:pStyle w:val="IntenseQuote"/>
      </w:pPr>
      <w:r>
        <w:t>Document ID: PAY-063</w:t>
      </w:r>
    </w:p>
    <w:p>
      <w:r>
        <w:t>Refund and chargeback processing: initiation, status tracking, dispute resolution, and reason codes.</w:t>
      </w:r>
    </w:p>
    <w:p>
      <w:r>
        <w:t>Refund must be &lt;= original amount. Partial refunds supported. Full refund voids original transaction.</w:t>
      </w:r>
    </w:p>
    <w:p>
      <w:r>
        <w:t>Currency mismatch: Ensure amount and currency code match. INR to USD conversion requires FX rates.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